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26E7" w14:textId="2FB41D10" w:rsidR="00CF0570" w:rsidRDefault="009E5CCF">
      <w:pPr>
        <w:pStyle w:val="Ttulo1"/>
      </w:pPr>
      <w:r>
        <w:t xml:space="preserve">No primeiro mês do ano, comércio varejista </w:t>
      </w:r>
      <w:r w:rsidR="00F10BBE">
        <w:t>registra retração</w:t>
      </w:r>
    </w:p>
    <w:p w14:paraId="140326E8" w14:textId="26D2A015" w:rsidR="00CF0570" w:rsidRDefault="00EF6595">
      <w:r>
        <w:t xml:space="preserve">De acordo com o Instituto Brasileiro de Geografia e Estatística (IBGE), o varejo restrito nacional registrou crescimento </w:t>
      </w:r>
      <w:r w:rsidR="00F65EA0">
        <w:t>de 1,8% no acumulado dos últimos 12 meses encerrados em janeiro de 2020. O comércio ampliado, que inclui o varejo restrito, a comercialização</w:t>
      </w:r>
      <w:r w:rsidR="00F860EA">
        <w:t xml:space="preserve"> de veículos e de material de construção, expandiu 3,9% nessa mesma base de comparação (</w:t>
      </w:r>
      <w:r w:rsidR="00F860EA">
        <w:fldChar w:fldCharType="begin"/>
      </w:r>
      <w:r w:rsidR="00F860EA">
        <w:instrText xml:space="preserve"> REF _Ref36571277 \h </w:instrText>
      </w:r>
      <w:r w:rsidR="00F860EA">
        <w:fldChar w:fldCharType="separate"/>
      </w:r>
      <w:r w:rsidR="000F1412" w:rsidRPr="007B1657">
        <w:t xml:space="preserve">Gráfico </w:t>
      </w:r>
      <w:r w:rsidR="000F1412">
        <w:rPr>
          <w:noProof/>
        </w:rPr>
        <w:t>1</w:t>
      </w:r>
      <w:r w:rsidR="00F860EA">
        <w:fldChar w:fldCharType="end"/>
      </w:r>
      <w:r w:rsidR="00F860EA">
        <w:t>).</w:t>
      </w:r>
    </w:p>
    <w:p w14:paraId="26FB5E64" w14:textId="78B3E400" w:rsidR="00F72C1E" w:rsidRDefault="001D04E3">
      <w:r>
        <w:t xml:space="preserve">Dentre os dez grupos de atividades pesquisadas, </w:t>
      </w:r>
      <w:r w:rsidR="00BE4855">
        <w:t>nove registraram crescimento nos últimos 12 meses, com desta</w:t>
      </w:r>
      <w:r w:rsidR="003E2365">
        <w:t xml:space="preserve">que para: </w:t>
      </w:r>
      <w:r w:rsidR="00736844">
        <w:t xml:space="preserve">Móveis e eletrodomésticos (+11,0%), </w:t>
      </w:r>
      <w:r w:rsidR="005A035D">
        <w:t xml:space="preserve">Veículos, motocicletas, partes e peças (+10,2%) </w:t>
      </w:r>
      <w:proofErr w:type="gramStart"/>
      <w:r w:rsidR="005A035D">
        <w:t xml:space="preserve">e </w:t>
      </w:r>
      <w:r w:rsidR="00AB5429">
        <w:t>Outros</w:t>
      </w:r>
      <w:proofErr w:type="gramEnd"/>
      <w:r w:rsidR="00AB5429">
        <w:t xml:space="preserve"> artigos de uso pessoal e doméstico (</w:t>
      </w:r>
      <w:r w:rsidR="00311059">
        <w:t>+7,6%)</w:t>
      </w:r>
      <w:r w:rsidR="007F3C47">
        <w:t xml:space="preserve">. Em contraposição, </w:t>
      </w:r>
      <w:r w:rsidR="00254459">
        <w:t>Hipermercados, supermercados, produtos alimentícios, bebidas e fumo (-2,8%)</w:t>
      </w:r>
      <w:r w:rsidR="00C94A27">
        <w:t xml:space="preserve"> e </w:t>
      </w:r>
      <w:r w:rsidR="00AA12AC">
        <w:t>Combustíveis e lubrificantes (-2,3%)</w:t>
      </w:r>
      <w:r w:rsidR="00D9438D">
        <w:t xml:space="preserve"> declinaram no período estudado, conforme os dados específicos na </w:t>
      </w:r>
      <w:r w:rsidR="00D9438D">
        <w:fldChar w:fldCharType="begin"/>
      </w:r>
      <w:r w:rsidR="00D9438D">
        <w:instrText xml:space="preserve"> REF _Ref36573675 \h </w:instrText>
      </w:r>
      <w:r w:rsidR="00D9438D">
        <w:fldChar w:fldCharType="separate"/>
      </w:r>
      <w:r w:rsidR="000F1412" w:rsidRPr="00036414">
        <w:t xml:space="preserve">Tabela </w:t>
      </w:r>
      <w:r w:rsidR="000F1412">
        <w:rPr>
          <w:noProof/>
        </w:rPr>
        <w:t>1</w:t>
      </w:r>
      <w:r w:rsidR="00D9438D">
        <w:fldChar w:fldCharType="end"/>
      </w:r>
      <w:r w:rsidR="00D9438D">
        <w:t>.</w:t>
      </w:r>
    </w:p>
    <w:p w14:paraId="14F30219" w14:textId="5E6E39C2" w:rsidR="00CA6777" w:rsidRDefault="00D9438D">
      <w:r>
        <w:t xml:space="preserve">Quanto aos estados, </w:t>
      </w:r>
      <w:r w:rsidR="00312F68">
        <w:t xml:space="preserve">apenas Espírito Santo </w:t>
      </w:r>
      <w:r w:rsidR="002D75F4">
        <w:t xml:space="preserve">(+4,4%) e Bahia (+2,2%) </w:t>
      </w:r>
      <w:r w:rsidR="00BD767A">
        <w:t xml:space="preserve">registraram crescimento </w:t>
      </w:r>
      <w:r w:rsidR="00D52A48">
        <w:t xml:space="preserve">no varejo restrito </w:t>
      </w:r>
      <w:r w:rsidR="00BD767A">
        <w:t>maior que a média nacional (+</w:t>
      </w:r>
      <w:r w:rsidR="00EE6D0B">
        <w:t xml:space="preserve">1,8%) </w:t>
      </w:r>
      <w:r w:rsidR="009947DF">
        <w:t xml:space="preserve">no acumulado dos últimos 12 meses. </w:t>
      </w:r>
      <w:r w:rsidR="00EF6776">
        <w:t xml:space="preserve">Os demais estados que registraram crescimento positivo foram </w:t>
      </w:r>
      <w:r w:rsidR="00F130DA">
        <w:t>Per</w:t>
      </w:r>
      <w:r w:rsidR="001046E2">
        <w:t>n</w:t>
      </w:r>
      <w:r w:rsidR="00F130DA">
        <w:t>ambuco (</w:t>
      </w:r>
      <w:r w:rsidR="001046E2">
        <w:t xml:space="preserve">+1,1%), </w:t>
      </w:r>
      <w:r w:rsidR="001F6FC5">
        <w:t>Minas Gerais (+1,0%)</w:t>
      </w:r>
      <w:r w:rsidR="00493838">
        <w:t>, Maranhão (+0,7%) e Rio Grande do Norte (+0,1%)</w:t>
      </w:r>
      <w:r w:rsidR="00CB6E3B">
        <w:t>.</w:t>
      </w:r>
      <w:r w:rsidR="00317AC5">
        <w:t xml:space="preserve"> Por outro lado, Ceará (-1,6%), Sergipe (-</w:t>
      </w:r>
      <w:r w:rsidR="00FD6DDD">
        <w:t>1,8%)</w:t>
      </w:r>
      <w:r w:rsidR="00CA6777">
        <w:t>, Alagoas (-2,2%) e Piauí (-5,4%)</w:t>
      </w:r>
      <w:r w:rsidR="00EB3EF2">
        <w:t xml:space="preserve"> registraram queda, enquanto Paraíba (+0</w:t>
      </w:r>
      <w:r w:rsidR="00C31BCF">
        <w:t>,0%) não mostrou variação</w:t>
      </w:r>
      <w:r w:rsidR="00CC51E2">
        <w:t xml:space="preserve">, como demonstra o </w:t>
      </w:r>
      <w:r w:rsidR="00CC51E2">
        <w:fldChar w:fldCharType="begin"/>
      </w:r>
      <w:r w:rsidR="00CC51E2">
        <w:instrText xml:space="preserve"> REF _Ref36571277 \h </w:instrText>
      </w:r>
      <w:r w:rsidR="00CC51E2">
        <w:fldChar w:fldCharType="separate"/>
      </w:r>
      <w:r w:rsidR="000F1412" w:rsidRPr="007B1657">
        <w:t xml:space="preserve">Gráfico </w:t>
      </w:r>
      <w:r w:rsidR="000F1412">
        <w:rPr>
          <w:noProof/>
        </w:rPr>
        <w:t>1</w:t>
      </w:r>
      <w:r w:rsidR="00CC51E2">
        <w:fldChar w:fldCharType="end"/>
      </w:r>
      <w:r w:rsidR="00CC51E2">
        <w:t>.</w:t>
      </w:r>
    </w:p>
    <w:p w14:paraId="5B472097" w14:textId="0545FA95" w:rsidR="00AB2E13" w:rsidRDefault="004C2B46">
      <w:r>
        <w:t>Em relação ao varejo ampliado,</w:t>
      </w:r>
      <w:r w:rsidR="000562AF">
        <w:t xml:space="preserve"> apenas</w:t>
      </w:r>
      <w:r>
        <w:t xml:space="preserve"> </w:t>
      </w:r>
      <w:r w:rsidR="00706768">
        <w:t>Espírito Santo (+4,8</w:t>
      </w:r>
      <w:r w:rsidR="00845353">
        <w:t>%</w:t>
      </w:r>
      <w:r w:rsidR="00706768">
        <w:t>)</w:t>
      </w:r>
      <w:r w:rsidR="000562AF">
        <w:t xml:space="preserve"> </w:t>
      </w:r>
      <w:r w:rsidR="005B3557">
        <w:t>apresentou crescimento acima da</w:t>
      </w:r>
      <w:r w:rsidR="00962453">
        <w:t xml:space="preserve"> </w:t>
      </w:r>
      <w:r w:rsidR="005B3557">
        <w:t>média nacional (</w:t>
      </w:r>
      <w:r w:rsidR="00962453">
        <w:t>+3,9%)</w:t>
      </w:r>
      <w:r w:rsidR="00506884">
        <w:t xml:space="preserve"> </w:t>
      </w:r>
      <w:r w:rsidR="00CB276A">
        <w:t>nos 12 meses</w:t>
      </w:r>
      <w:r w:rsidR="00962453">
        <w:t xml:space="preserve">. </w:t>
      </w:r>
      <w:r w:rsidR="00966AD2">
        <w:t xml:space="preserve">Ceará (+3,4%), </w:t>
      </w:r>
      <w:r w:rsidR="00FC2DD7">
        <w:t>Pernambuco (+2,7%)</w:t>
      </w:r>
      <w:r w:rsidR="00D92E67">
        <w:t>, Minas Gerais (+2,6%)</w:t>
      </w:r>
      <w:r w:rsidR="003830A6">
        <w:t xml:space="preserve">, </w:t>
      </w:r>
      <w:r w:rsidR="00740BD9">
        <w:t>Bahia (+2,2%)</w:t>
      </w:r>
      <w:r w:rsidR="00556743">
        <w:t xml:space="preserve">, </w:t>
      </w:r>
      <w:r w:rsidR="00F43EA5">
        <w:t>Alagoas (+1,0%), Rio Grande do Norte (+0,8%)</w:t>
      </w:r>
      <w:r w:rsidR="007B0F37">
        <w:t>, Paraíba (+0,5%), Maranhão (</w:t>
      </w:r>
      <w:r w:rsidR="003B5D35">
        <w:t xml:space="preserve">+0,1%) expandiram no período estudado. </w:t>
      </w:r>
      <w:r w:rsidR="0032026C">
        <w:t>Em contraste, Sergipe (</w:t>
      </w:r>
      <w:r w:rsidR="00F62255">
        <w:t xml:space="preserve">-1,1%) e Piauí (-3,1%) </w:t>
      </w:r>
      <w:r w:rsidR="00631AD6">
        <w:t>registraram qued</w:t>
      </w:r>
      <w:r w:rsidR="00052074">
        <w:t xml:space="preserve">a, como mostra o </w:t>
      </w:r>
      <w:r w:rsidR="00052074">
        <w:fldChar w:fldCharType="begin"/>
      </w:r>
      <w:r w:rsidR="00052074">
        <w:instrText xml:space="preserve"> REF _Ref36571277 \h </w:instrText>
      </w:r>
      <w:r w:rsidR="00052074">
        <w:fldChar w:fldCharType="separate"/>
      </w:r>
      <w:r w:rsidR="000F1412" w:rsidRPr="007B1657">
        <w:t xml:space="preserve">Gráfico </w:t>
      </w:r>
      <w:r w:rsidR="000F1412">
        <w:rPr>
          <w:noProof/>
        </w:rPr>
        <w:t>1</w:t>
      </w:r>
      <w:r w:rsidR="00052074">
        <w:fldChar w:fldCharType="end"/>
      </w:r>
      <w:r w:rsidR="00052074">
        <w:t>.</w:t>
      </w:r>
    </w:p>
    <w:p w14:paraId="20CC3714" w14:textId="1780FA2B" w:rsidR="006D1BEB" w:rsidRDefault="006646EA">
      <w:r>
        <w:t xml:space="preserve">O IBGE detalha o setor comercial para cinco estados da área de atuação do Banco do Nordeste. No Ceará, </w:t>
      </w:r>
      <w:r w:rsidR="00355768" w:rsidRPr="00355768">
        <w:t>Material de construção</w:t>
      </w:r>
      <w:r w:rsidR="00355768">
        <w:t xml:space="preserve"> (+20,5%), </w:t>
      </w:r>
      <w:r w:rsidR="008065E4" w:rsidRPr="008065E4">
        <w:t>Veículos, motocicletas, partes e peças</w:t>
      </w:r>
      <w:r w:rsidR="008065E4">
        <w:t xml:space="preserve"> (+14,8%), </w:t>
      </w:r>
      <w:r w:rsidR="00BD4453" w:rsidRPr="00BD4453">
        <w:t>Livros, jornais, revistas e papelaria</w:t>
      </w:r>
      <w:r w:rsidR="00BD4453">
        <w:t xml:space="preserve"> (+10,9%) </w:t>
      </w:r>
      <w:r w:rsidR="00A15233">
        <w:t xml:space="preserve">apresentou destacada </w:t>
      </w:r>
      <w:r w:rsidR="00F63CF7">
        <w:t xml:space="preserve">expansão. </w:t>
      </w:r>
      <w:r w:rsidR="00247903">
        <w:t xml:space="preserve">Em Pernambuco, </w:t>
      </w:r>
      <w:r w:rsidR="007B467F">
        <w:t>cabe men</w:t>
      </w:r>
      <w:r w:rsidR="00E631AC">
        <w:t xml:space="preserve">cionar </w:t>
      </w:r>
      <w:r w:rsidR="00F53D75" w:rsidRPr="00F53D75">
        <w:t>Móveis e eletrodomésticos</w:t>
      </w:r>
      <w:r w:rsidR="00F53D75">
        <w:t xml:space="preserve"> (+45,7%), </w:t>
      </w:r>
      <w:r w:rsidR="00467FD2" w:rsidRPr="00467FD2">
        <w:t>Equipamentos e materiais para escritório, informática e comunicação</w:t>
      </w:r>
      <w:r w:rsidR="00467FD2">
        <w:t xml:space="preserve"> (+21,8%)</w:t>
      </w:r>
      <w:r w:rsidR="00B0010C">
        <w:t xml:space="preserve"> </w:t>
      </w:r>
      <w:proofErr w:type="gramStart"/>
      <w:r w:rsidR="00B0010C">
        <w:t xml:space="preserve">e </w:t>
      </w:r>
      <w:r w:rsidR="00EF61DC" w:rsidRPr="00EF61DC">
        <w:t>Outros</w:t>
      </w:r>
      <w:proofErr w:type="gramEnd"/>
      <w:r w:rsidR="00EF61DC" w:rsidRPr="00EF61DC">
        <w:t xml:space="preserve"> artigos de uso pessoal e doméstico</w:t>
      </w:r>
      <w:r w:rsidR="00EF61DC">
        <w:t xml:space="preserve"> (+10,0%)</w:t>
      </w:r>
      <w:r w:rsidR="00437817">
        <w:t xml:space="preserve">. Na Bahia, </w:t>
      </w:r>
      <w:r w:rsidR="007A0177">
        <w:t>a maior alta verificou-se</w:t>
      </w:r>
      <w:r w:rsidR="00ED0747">
        <w:t xml:space="preserve"> em </w:t>
      </w:r>
      <w:r w:rsidR="00ED0747" w:rsidRPr="00ED0747">
        <w:t>Móveis e eletrodomésticos</w:t>
      </w:r>
      <w:r w:rsidR="00ED0747">
        <w:t xml:space="preserve"> (+10,4%), </w:t>
      </w:r>
      <w:r w:rsidR="00F3123C" w:rsidRPr="00F3123C">
        <w:t>Combustíveis e lubrificantes</w:t>
      </w:r>
      <w:r w:rsidR="00F3123C">
        <w:t xml:space="preserve"> (+7,6%) </w:t>
      </w:r>
      <w:proofErr w:type="gramStart"/>
      <w:r w:rsidR="00F3123C">
        <w:t xml:space="preserve">e </w:t>
      </w:r>
      <w:r w:rsidR="00BF3838" w:rsidRPr="00BF3838">
        <w:t>Outros</w:t>
      </w:r>
      <w:proofErr w:type="gramEnd"/>
      <w:r w:rsidR="00BF3838" w:rsidRPr="00BF3838">
        <w:t xml:space="preserve"> artigos de uso pessoal e doméstico</w:t>
      </w:r>
      <w:r w:rsidR="00BF3838">
        <w:t xml:space="preserve"> (+3,0%). </w:t>
      </w:r>
      <w:r w:rsidR="00E74FD6">
        <w:t>Em Minas Gerais</w:t>
      </w:r>
      <w:r w:rsidR="00C416DB">
        <w:t xml:space="preserve">, o resultado de maior expressão ocorreu em </w:t>
      </w:r>
      <w:r w:rsidR="003A4EBB" w:rsidRPr="003A4EBB">
        <w:t>Veículos, motocicletas, partes e peças</w:t>
      </w:r>
      <w:r w:rsidR="003A4EBB">
        <w:t xml:space="preserve"> (+21,0%), </w:t>
      </w:r>
      <w:r w:rsidR="004E5A5F" w:rsidRPr="004E5A5F">
        <w:t>Equipamentos e materiais para escritório, informática e comunicação</w:t>
      </w:r>
      <w:r w:rsidR="004E5A5F">
        <w:t xml:space="preserve"> (+19,8%) </w:t>
      </w:r>
      <w:proofErr w:type="gramStart"/>
      <w:r w:rsidR="004E5A5F">
        <w:t xml:space="preserve">e </w:t>
      </w:r>
      <w:r w:rsidR="00AB4AA3" w:rsidRPr="00AB4AA3">
        <w:t>Tecidos</w:t>
      </w:r>
      <w:proofErr w:type="gramEnd"/>
      <w:r w:rsidR="00AB4AA3" w:rsidRPr="00AB4AA3">
        <w:t>, vestuário e calçados</w:t>
      </w:r>
      <w:r w:rsidR="00AB4AA3">
        <w:t xml:space="preserve"> (+10,3%)</w:t>
      </w:r>
      <w:r w:rsidR="00272038">
        <w:t>. No Espírito Santo</w:t>
      </w:r>
      <w:r w:rsidR="00602D34">
        <w:t xml:space="preserve">, </w:t>
      </w:r>
      <w:r w:rsidR="00C33451" w:rsidRPr="00C33451">
        <w:t>Móveis e eletrodomésticos</w:t>
      </w:r>
      <w:r w:rsidR="00C33451">
        <w:t xml:space="preserve"> (+</w:t>
      </w:r>
      <w:r w:rsidR="00E66862">
        <w:t xml:space="preserve">25,3%), </w:t>
      </w:r>
      <w:proofErr w:type="gramStart"/>
      <w:r w:rsidR="00E66862" w:rsidRPr="00E66862">
        <w:t>Tecidos</w:t>
      </w:r>
      <w:proofErr w:type="gramEnd"/>
      <w:r w:rsidR="00E66862" w:rsidRPr="00E66862">
        <w:t>, vestuário e calçados</w:t>
      </w:r>
      <w:r w:rsidR="00E66862">
        <w:t xml:space="preserve"> (</w:t>
      </w:r>
      <w:r w:rsidR="00FA1904">
        <w:t>+20,9%)</w:t>
      </w:r>
      <w:r w:rsidR="00032C90">
        <w:t xml:space="preserve"> e </w:t>
      </w:r>
      <w:r w:rsidR="00027123" w:rsidRPr="00027123">
        <w:t>Veículos, motocicletas, partes e peças</w:t>
      </w:r>
      <w:r w:rsidR="00027123">
        <w:t xml:space="preserve"> (+</w:t>
      </w:r>
      <w:r w:rsidR="005E6F98">
        <w:t>10,8%)</w:t>
      </w:r>
      <w:r w:rsidR="00206C5E">
        <w:t xml:space="preserve"> sobressaíram-se. Os dados para os cincos estados mencionados estão especificados na </w:t>
      </w:r>
      <w:r w:rsidR="00206C5E">
        <w:fldChar w:fldCharType="begin"/>
      </w:r>
      <w:r w:rsidR="00206C5E">
        <w:instrText xml:space="preserve"> REF _Ref36573675 \h </w:instrText>
      </w:r>
      <w:r w:rsidR="00206C5E">
        <w:fldChar w:fldCharType="separate"/>
      </w:r>
      <w:r w:rsidR="000F1412" w:rsidRPr="00036414">
        <w:t xml:space="preserve">Tabela </w:t>
      </w:r>
      <w:r w:rsidR="000F1412">
        <w:rPr>
          <w:noProof/>
        </w:rPr>
        <w:t>1</w:t>
      </w:r>
      <w:r w:rsidR="00206C5E">
        <w:fldChar w:fldCharType="end"/>
      </w:r>
      <w:r w:rsidR="00206C5E">
        <w:t>.</w:t>
      </w:r>
    </w:p>
    <w:p w14:paraId="5251D65E" w14:textId="10E2F419" w:rsidR="009E5CCF" w:rsidRDefault="00206C5E">
      <w:r>
        <w:t xml:space="preserve">De acordo com a Confederação Nacional de Bens, Serviços e Turismo (CNC), </w:t>
      </w:r>
      <w:r w:rsidR="00CB6FBB">
        <w:t xml:space="preserve">as perdas estimadas </w:t>
      </w:r>
      <w:r w:rsidR="0001002E">
        <w:t xml:space="preserve">para o setor de comércio </w:t>
      </w:r>
      <w:r w:rsidR="00DF61EA">
        <w:t xml:space="preserve">devido ao coronavírus </w:t>
      </w:r>
      <w:r w:rsidR="00A5253C">
        <w:t>“</w:t>
      </w:r>
      <w:r w:rsidR="00EA0B69">
        <w:t>devem chegar a R$ 25,3 bilhões</w:t>
      </w:r>
      <w:r w:rsidR="00A5253C">
        <w:t xml:space="preserve"> na segunda metade de ma</w:t>
      </w:r>
      <w:r w:rsidR="00255A9F">
        <w:t>r</w:t>
      </w:r>
      <w:r w:rsidR="00A5253C">
        <w:t>ço de 2020”.</w:t>
      </w:r>
      <w:r w:rsidR="005B3BC6">
        <w:t xml:space="preserve"> O CNC </w:t>
      </w:r>
      <w:r w:rsidR="004A3CA7">
        <w:t>ressalta</w:t>
      </w:r>
      <w:r w:rsidR="005B3BC6">
        <w:t xml:space="preserve"> que </w:t>
      </w:r>
      <w:r w:rsidR="007E4206">
        <w:t xml:space="preserve">o comércio, que antes vinha </w:t>
      </w:r>
      <w:r w:rsidR="004127F3">
        <w:t>apresentando melhoras e expectativas</w:t>
      </w:r>
      <w:r w:rsidR="004D470B">
        <w:t xml:space="preserve"> </w:t>
      </w:r>
      <w:r w:rsidR="004127F3">
        <w:t xml:space="preserve">de crescimento, agora </w:t>
      </w:r>
      <w:r w:rsidR="00A00390">
        <w:t xml:space="preserve">registram prejuízos que </w:t>
      </w:r>
      <w:r w:rsidR="00927F76">
        <w:t xml:space="preserve">serão </w:t>
      </w:r>
      <w:r w:rsidR="00E5515A">
        <w:t xml:space="preserve">“um desafio histórico </w:t>
      </w:r>
      <w:r w:rsidR="0026429F">
        <w:t>para as empresas”.</w:t>
      </w:r>
      <w:r w:rsidR="00985FC7">
        <w:t xml:space="preserve"> </w:t>
      </w:r>
      <w:r w:rsidR="004D470B">
        <w:t>Para o economista da CNC</w:t>
      </w:r>
      <w:r w:rsidR="00C85403">
        <w:t xml:space="preserve"> Fabio Bentes, a fraca retomada de janeiro </w:t>
      </w:r>
      <w:r w:rsidR="00683913">
        <w:t xml:space="preserve">representa a fragilidade que a economia </w:t>
      </w:r>
      <w:r w:rsidR="00F3027C">
        <w:t xml:space="preserve">brasileira </w:t>
      </w:r>
      <w:r w:rsidR="005E6AE2">
        <w:t>apresentava</w:t>
      </w:r>
      <w:r w:rsidR="00AA05A1">
        <w:t xml:space="preserve"> em sua</w:t>
      </w:r>
      <w:r w:rsidR="005E6AE2">
        <w:t xml:space="preserve"> </w:t>
      </w:r>
      <w:r w:rsidR="00097B30">
        <w:t>recuperação antes</w:t>
      </w:r>
      <w:r w:rsidR="00A13765">
        <w:t xml:space="preserve"> mesmo da pandemia </w:t>
      </w:r>
      <w:r w:rsidR="00AE5107">
        <w:t xml:space="preserve">causada pelo coronavírus. Portanto, tendo em vista </w:t>
      </w:r>
      <w:r w:rsidR="0089514D">
        <w:t xml:space="preserve">o cenário atual, </w:t>
      </w:r>
      <w:r w:rsidR="00E17439">
        <w:t>a CNC não apresentará</w:t>
      </w:r>
      <w:r w:rsidR="00E82CE9">
        <w:t xml:space="preserve">, neste mês, projeções </w:t>
      </w:r>
      <w:r w:rsidR="002938DE">
        <w:t>para o comércio</w:t>
      </w:r>
      <w:r w:rsidR="00D27476">
        <w:t xml:space="preserve"> ficando</w:t>
      </w:r>
      <w:r w:rsidR="00FC0DEF">
        <w:t xml:space="preserve"> de apresentar novas revisões para os meses subsequentes</w:t>
      </w:r>
      <w:r w:rsidR="002615E8">
        <w:t>.</w:t>
      </w:r>
    </w:p>
    <w:p w14:paraId="79772986" w14:textId="1D2E3800" w:rsidR="002615E8" w:rsidRDefault="002615E8"/>
    <w:p w14:paraId="140326EE" w14:textId="434DF567" w:rsidR="00CF0570" w:rsidRDefault="00730BF0">
      <w:r>
        <w:rPr>
          <w:b/>
        </w:rPr>
        <w:t>Autores:</w:t>
      </w:r>
      <w:r>
        <w:t xml:space="preserve"> Nicolino Trompieri Neto, Professor da Universidade de Fortaleza -Unifor. Alysson Inácio de Oliveira e Rafael Queiroz Pinheiro, graduandos em Economia, Universidade de Fortaleza - UNIFOR e estagiários do Núcleo de Pesquisas Econômicas - NUPE.</w:t>
      </w:r>
      <w:r>
        <w:br w:type="page"/>
      </w:r>
    </w:p>
    <w:p w14:paraId="55C5C7DA" w14:textId="410208F0" w:rsidR="00967E28" w:rsidRPr="007B1657" w:rsidRDefault="00967E28" w:rsidP="00036414">
      <w:pPr>
        <w:pStyle w:val="Legenda"/>
      </w:pPr>
      <w:bookmarkStart w:id="0" w:name="_Ref36571277"/>
      <w:r w:rsidRPr="007B1657">
        <w:lastRenderedPageBreak/>
        <w:t xml:space="preserve">Gráfico </w:t>
      </w:r>
      <w:r w:rsidR="00297F93">
        <w:fldChar w:fldCharType="begin"/>
      </w:r>
      <w:r w:rsidR="00297F93">
        <w:instrText xml:space="preserve"> SEQ Gráfico \* ARABIC </w:instrText>
      </w:r>
      <w:r w:rsidR="00297F93">
        <w:fldChar w:fldCharType="separate"/>
      </w:r>
      <w:r w:rsidR="000F1412">
        <w:rPr>
          <w:noProof/>
        </w:rPr>
        <w:t>1</w:t>
      </w:r>
      <w:r w:rsidR="00297F93">
        <w:rPr>
          <w:noProof/>
        </w:rPr>
        <w:fldChar w:fldCharType="end"/>
      </w:r>
      <w:bookmarkEnd w:id="0"/>
      <w:r w:rsidRPr="007B1657">
        <w:t xml:space="preserve">- Variação (%) do volume de vendas do comércio – Brasil e Estados selecionados – Acumulado em </w:t>
      </w:r>
      <w:r w:rsidR="00D844DC">
        <w:t xml:space="preserve">12 </w:t>
      </w:r>
      <w:r w:rsidR="006D1BEB">
        <w:t>meses</w:t>
      </w:r>
      <w:r w:rsidR="006D1BEB" w:rsidRPr="00F85085">
        <w:rPr>
          <w:vertAlign w:val="superscript"/>
        </w:rPr>
        <w:t xml:space="preserve"> (</w:t>
      </w:r>
      <w:r w:rsidRPr="00F85085">
        <w:rPr>
          <w:vertAlign w:val="superscript"/>
        </w:rPr>
        <w:t>1)</w:t>
      </w:r>
    </w:p>
    <w:p w14:paraId="6928D61B" w14:textId="761FC2F5" w:rsidR="006C665D" w:rsidRDefault="003C7B18" w:rsidP="003C7B18">
      <w:pPr>
        <w:spacing w:after="0"/>
      </w:pPr>
      <w:bookmarkStart w:id="1" w:name="_GoBack"/>
      <w:r>
        <w:rPr>
          <w:noProof/>
        </w:rPr>
        <w:drawing>
          <wp:inline distT="0" distB="0" distL="0" distR="0" wp14:anchorId="3B871E7A" wp14:editId="6CCECACE">
            <wp:extent cx="5375863" cy="2912124"/>
            <wp:effectExtent l="0" t="0" r="15875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1"/>
    </w:p>
    <w:p w14:paraId="664D8CEC" w14:textId="75669EC8" w:rsidR="00036414" w:rsidRPr="00036414" w:rsidRDefault="002876D7" w:rsidP="00036414">
      <w:pPr>
        <w:pStyle w:val="Legenda1"/>
      </w:pPr>
      <w:r w:rsidRPr="002876D7">
        <w:t xml:space="preserve">Fonte: Elaboração BNB/ETENE, com dados do IBGE. Nota: (1) Variação acumulada </w:t>
      </w:r>
      <w:r w:rsidR="00EB1BDD">
        <w:t>em 12 meses</w:t>
      </w:r>
      <w:r w:rsidRPr="002876D7">
        <w:t>.</w:t>
      </w:r>
    </w:p>
    <w:p w14:paraId="0ADB7239" w14:textId="766C7267" w:rsidR="002876D7" w:rsidRPr="00036414" w:rsidRDefault="002876D7" w:rsidP="00036414">
      <w:pPr>
        <w:pStyle w:val="Legenda"/>
      </w:pPr>
      <w:bookmarkStart w:id="2" w:name="_Ref36573675"/>
      <w:r w:rsidRPr="00036414">
        <w:t xml:space="preserve">Tabela </w:t>
      </w:r>
      <w:r w:rsidR="00297F93">
        <w:fldChar w:fldCharType="begin"/>
      </w:r>
      <w:r w:rsidR="00297F93">
        <w:instrText xml:space="preserve"> SEQ Tabela \* ARABIC </w:instrText>
      </w:r>
      <w:r w:rsidR="00297F93">
        <w:fldChar w:fldCharType="separate"/>
      </w:r>
      <w:r w:rsidR="000F1412">
        <w:rPr>
          <w:noProof/>
        </w:rPr>
        <w:t>1</w:t>
      </w:r>
      <w:r w:rsidR="00297F93">
        <w:rPr>
          <w:noProof/>
        </w:rPr>
        <w:fldChar w:fldCharType="end"/>
      </w:r>
      <w:bookmarkEnd w:id="2"/>
      <w:r w:rsidRPr="00036414">
        <w:t xml:space="preserve"> - Variação (%) do volume de vendas do comércio e atividades – Brasil e Estados selecionados Acumulado em </w:t>
      </w:r>
      <w:r w:rsidR="00505BEE">
        <w:t xml:space="preserve">12 </w:t>
      </w:r>
      <w:r w:rsidR="006D1BEB">
        <w:t>meses</w:t>
      </w:r>
      <w:r w:rsidR="006D1BEB" w:rsidRPr="00F85085">
        <w:rPr>
          <w:vertAlign w:val="superscript"/>
        </w:rPr>
        <w:t xml:space="preserve"> (</w:t>
      </w:r>
      <w:r w:rsidRPr="00F85085">
        <w:rPr>
          <w:vertAlign w:val="superscript"/>
        </w:rPr>
        <w:t>1)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57"/>
        <w:gridCol w:w="614"/>
        <w:gridCol w:w="628"/>
        <w:gridCol w:w="1148"/>
        <w:gridCol w:w="620"/>
        <w:gridCol w:w="929"/>
        <w:gridCol w:w="1008"/>
      </w:tblGrid>
      <w:tr w:rsidR="00CF0570" w:rsidRPr="00B90FE4" w14:paraId="140326F8" w14:textId="77777777" w:rsidTr="00B90FE4">
        <w:trPr>
          <w:cantSplit/>
          <w:tblHeader/>
          <w:jc w:val="center"/>
        </w:trPr>
        <w:tc>
          <w:tcPr>
            <w:tcW w:w="0" w:type="auto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1" w14:textId="77777777" w:rsidR="00CF0570" w:rsidRPr="00B90FE4" w:rsidRDefault="00730BF0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  <w:t>Comércio e atividades</w:t>
            </w:r>
          </w:p>
        </w:tc>
        <w:tc>
          <w:tcPr>
            <w:tcW w:w="0" w:type="auto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2" w14:textId="77777777" w:rsidR="00CF0570" w:rsidRPr="00B90FE4" w:rsidRDefault="00730BF0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  <w:t>Brasil</w:t>
            </w:r>
          </w:p>
        </w:tc>
        <w:tc>
          <w:tcPr>
            <w:tcW w:w="0" w:type="auto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3" w14:textId="77777777" w:rsidR="00CF0570" w:rsidRPr="00B90FE4" w:rsidRDefault="00730BF0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  <w:t>Ceará</w:t>
            </w:r>
          </w:p>
        </w:tc>
        <w:tc>
          <w:tcPr>
            <w:tcW w:w="0" w:type="auto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4" w14:textId="77777777" w:rsidR="00CF0570" w:rsidRPr="00B90FE4" w:rsidRDefault="00730BF0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  <w:t>Pernambuco</w:t>
            </w:r>
          </w:p>
        </w:tc>
        <w:tc>
          <w:tcPr>
            <w:tcW w:w="0" w:type="auto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5" w14:textId="77777777" w:rsidR="00CF0570" w:rsidRPr="00B90FE4" w:rsidRDefault="00730BF0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  <w:t>Bahia</w:t>
            </w:r>
          </w:p>
        </w:tc>
        <w:tc>
          <w:tcPr>
            <w:tcW w:w="0" w:type="auto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6" w14:textId="77777777" w:rsidR="00CF0570" w:rsidRPr="00B90FE4" w:rsidRDefault="00730BF0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  <w:t>Minas Gerais</w:t>
            </w:r>
          </w:p>
        </w:tc>
        <w:tc>
          <w:tcPr>
            <w:tcW w:w="0" w:type="auto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7" w14:textId="77777777" w:rsidR="00CF0570" w:rsidRPr="00B90FE4" w:rsidRDefault="00730BF0">
            <w:pPr>
              <w:spacing w:before="40" w:after="40"/>
              <w:ind w:left="100" w:right="100"/>
              <w:jc w:val="center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  <w:t>Espírito Santo</w:t>
            </w:r>
          </w:p>
        </w:tc>
      </w:tr>
      <w:tr w:rsidR="0078461B" w:rsidRPr="00B90FE4" w14:paraId="14032700" w14:textId="77777777" w:rsidTr="00805359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9" w14:textId="77777777" w:rsidR="0078461B" w:rsidRPr="00B90FE4" w:rsidRDefault="0078461B" w:rsidP="0078461B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Comércio varejista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A" w14:textId="02B9C619" w:rsidR="0078461B" w:rsidRPr="0078461B" w:rsidRDefault="0078461B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</w:pPr>
            <w:r w:rsidRPr="0078461B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1</w:t>
            </w:r>
            <w:r w:rsidR="00A46E9F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,</w:t>
            </w:r>
            <w:r w:rsidRPr="0078461B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B" w14:textId="62F5E372" w:rsidR="0078461B" w:rsidRPr="0078461B" w:rsidRDefault="0078461B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</w:pPr>
            <w:r w:rsidRPr="0078461B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-1</w:t>
            </w:r>
            <w:r w:rsidR="00A46E9F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,</w:t>
            </w:r>
            <w:r w:rsidRPr="0078461B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C" w14:textId="01108687" w:rsidR="0078461B" w:rsidRPr="0078461B" w:rsidRDefault="0078461B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</w:pPr>
            <w:r w:rsidRPr="0078461B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1</w:t>
            </w:r>
            <w:r w:rsidR="00A46E9F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,</w:t>
            </w:r>
            <w:r w:rsidRPr="0078461B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D" w14:textId="5CCB268E" w:rsidR="0078461B" w:rsidRPr="0078461B" w:rsidRDefault="0078461B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</w:pPr>
            <w:r w:rsidRPr="0078461B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2</w:t>
            </w:r>
            <w:r w:rsidR="00A46E9F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,</w:t>
            </w:r>
            <w:r w:rsidRPr="0078461B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E" w14:textId="3C7006CC" w:rsidR="0078461B" w:rsidRPr="0078461B" w:rsidRDefault="0078461B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</w:pPr>
            <w:r w:rsidRPr="0078461B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1</w:t>
            </w:r>
            <w:r w:rsidR="00A46E9F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,</w:t>
            </w:r>
            <w:r w:rsidRPr="0078461B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6FF" w14:textId="058E62A8" w:rsidR="0078461B" w:rsidRPr="00B90FE4" w:rsidRDefault="0078461B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5</w:t>
            </w:r>
            <w:r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,</w:t>
            </w:r>
            <w:r w:rsidRPr="00B90F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3</w:t>
            </w:r>
          </w:p>
        </w:tc>
      </w:tr>
      <w:tr w:rsidR="00990A2F" w:rsidRPr="00B90FE4" w14:paraId="14032708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1" w14:textId="77777777" w:rsidR="00990A2F" w:rsidRPr="00B90FE4" w:rsidRDefault="00990A2F" w:rsidP="00990A2F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Combustíveis e lubrificantes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2" w14:textId="0F94C16F" w:rsidR="00990A2F" w:rsidRPr="00990A2F" w:rsidRDefault="00990A2F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990A2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990A2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3" w14:textId="5D49ADAD" w:rsidR="00990A2F" w:rsidRPr="00990A2F" w:rsidRDefault="00990A2F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990A2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990A2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4" w14:textId="73BF4BBD" w:rsidR="00990A2F" w:rsidRPr="00990A2F" w:rsidRDefault="00990A2F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990A2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990A2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5" w14:textId="2C3299EE" w:rsidR="00990A2F" w:rsidRPr="00990A2F" w:rsidRDefault="00990A2F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990A2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7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990A2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6" w14:textId="62A6ABAC" w:rsidR="00990A2F" w:rsidRPr="00990A2F" w:rsidRDefault="00990A2F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990A2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-5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990A2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7" w14:textId="735FD17E" w:rsidR="00990A2F" w:rsidRPr="00B90FE4" w:rsidRDefault="00A22955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2,4</w:t>
            </w:r>
          </w:p>
        </w:tc>
      </w:tr>
      <w:tr w:rsidR="00A22955" w:rsidRPr="00B90FE4" w14:paraId="14032710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9" w14:textId="77777777" w:rsidR="00A22955" w:rsidRPr="00B90FE4" w:rsidRDefault="00A22955" w:rsidP="00A22955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Hipermercados, supermercados, produtos alimentícios, bebidas e fumo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A" w14:textId="4C8367BA" w:rsidR="00A22955" w:rsidRPr="00A22955" w:rsidRDefault="00A22955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A22955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A22955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B" w14:textId="72894DD7" w:rsidR="00A22955" w:rsidRPr="00A22955" w:rsidRDefault="00A22955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A22955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-7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A22955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C" w14:textId="6F5CD6CB" w:rsidR="00A22955" w:rsidRPr="00A22955" w:rsidRDefault="00A22955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A22955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-7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A22955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D" w14:textId="0AF57811" w:rsidR="00A22955" w:rsidRPr="00A22955" w:rsidRDefault="00A22955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A22955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A22955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E" w14:textId="0F6592F5" w:rsidR="00A22955" w:rsidRPr="00A22955" w:rsidRDefault="00A22955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A22955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A22955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0F" w14:textId="241276AF" w:rsidR="00A22955" w:rsidRPr="00B90FE4" w:rsidRDefault="00A22955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2,4</w:t>
            </w:r>
          </w:p>
        </w:tc>
      </w:tr>
      <w:tr w:rsidR="00A05C66" w:rsidRPr="00B90FE4" w14:paraId="14032718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1" w14:textId="77777777" w:rsidR="00A05C66" w:rsidRPr="00B90FE4" w:rsidRDefault="00A05C66" w:rsidP="00A05C66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Hipermercados e supermercados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2" w14:textId="516CDA78" w:rsidR="00A05C66" w:rsidRPr="00A05C66" w:rsidRDefault="00A05C6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3" w14:textId="7C660753" w:rsidR="00A05C66" w:rsidRPr="00A05C66" w:rsidRDefault="00A05C6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-8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4" w14:textId="74246DDF" w:rsidR="00A05C66" w:rsidRPr="00A05C66" w:rsidRDefault="00A05C6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-5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5" w14:textId="45F50E97" w:rsidR="00A05C66" w:rsidRPr="00A05C66" w:rsidRDefault="00A05C6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6" w14:textId="07016189" w:rsidR="00A05C66" w:rsidRPr="00A05C66" w:rsidRDefault="00A05C6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7" w14:textId="4AA52326" w:rsidR="00A05C66" w:rsidRPr="00A05C66" w:rsidRDefault="00A05C6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A05C6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</w:p>
        </w:tc>
      </w:tr>
      <w:tr w:rsidR="00FF1D67" w:rsidRPr="00B90FE4" w14:paraId="14032720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9" w14:textId="77777777" w:rsidR="00FF1D67" w:rsidRPr="00B90FE4" w:rsidRDefault="00FF1D67" w:rsidP="00FF1D67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Tecidos, vestuário e calçados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A" w14:textId="58258188" w:rsidR="00FF1D67" w:rsidRPr="00FF1D67" w:rsidRDefault="00FF1D6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B" w14:textId="09B3D966" w:rsidR="00FF1D67" w:rsidRPr="00FF1D67" w:rsidRDefault="00FF1D6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C" w14:textId="683DBEA7" w:rsidR="00FF1D67" w:rsidRPr="00FF1D67" w:rsidRDefault="00FF1D6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D" w14:textId="4B86057D" w:rsidR="00FF1D67" w:rsidRPr="00FF1D67" w:rsidRDefault="00FF1D6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E" w14:textId="1C6DAFE2" w:rsidR="00FF1D67" w:rsidRPr="00FF1D67" w:rsidRDefault="00FF1D6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1F" w14:textId="460CA396" w:rsidR="00FF1D67" w:rsidRPr="00FF1D67" w:rsidRDefault="00FF1D6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8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FF1D6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</w:p>
        </w:tc>
      </w:tr>
      <w:tr w:rsidR="00CB0CF8" w:rsidRPr="00B90FE4" w14:paraId="14032728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1" w14:textId="77777777" w:rsidR="00CB0CF8" w:rsidRPr="00B90FE4" w:rsidRDefault="00CB0CF8" w:rsidP="00CB0CF8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Móveis e eletrodomésticos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2" w14:textId="280E7D84" w:rsidR="00CB0CF8" w:rsidRPr="00CB0CF8" w:rsidRDefault="00CB0CF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3" w14:textId="34B1F525" w:rsidR="00CB0CF8" w:rsidRPr="00CB0CF8" w:rsidRDefault="00CB0CF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16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4" w14:textId="38926780" w:rsidR="00CB0CF8" w:rsidRPr="00CB0CF8" w:rsidRDefault="00CB0CF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8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5" w14:textId="113B1EA9" w:rsidR="00CB0CF8" w:rsidRPr="00CB0CF8" w:rsidRDefault="00CB0CF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9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6" w14:textId="2B5639FA" w:rsidR="00CB0CF8" w:rsidRPr="00CB0CF8" w:rsidRDefault="00CB0CF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-5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7" w14:textId="2A70F1EE" w:rsidR="00CB0CF8" w:rsidRPr="00CB0CF8" w:rsidRDefault="00CB0CF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B0CF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</w:p>
        </w:tc>
      </w:tr>
      <w:tr w:rsidR="00686EF6" w:rsidRPr="00B90FE4" w14:paraId="14032730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9" w14:textId="77777777" w:rsidR="00686EF6" w:rsidRPr="00B90FE4" w:rsidRDefault="00686EF6" w:rsidP="00686EF6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Móveis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A" w14:textId="30556664" w:rsidR="00686EF6" w:rsidRPr="00686EF6" w:rsidRDefault="00686EF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B" w14:textId="2D8EAB78" w:rsidR="00686EF6" w:rsidRPr="00686EF6" w:rsidRDefault="00686EF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C" w14:textId="35BC68CF" w:rsidR="00686EF6" w:rsidRPr="00686EF6" w:rsidRDefault="00686EF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-5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D" w14:textId="5E88FF68" w:rsidR="00686EF6" w:rsidRPr="00686EF6" w:rsidRDefault="00686EF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E" w14:textId="4F07C9EE" w:rsidR="00686EF6" w:rsidRPr="00686EF6" w:rsidRDefault="00686EF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5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2F" w14:textId="71E0AB81" w:rsidR="00686EF6" w:rsidRPr="00686EF6" w:rsidRDefault="00686EF6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7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686EF6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</w:p>
        </w:tc>
      </w:tr>
      <w:tr w:rsidR="005D1FE8" w:rsidRPr="00B90FE4" w14:paraId="14032738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1" w14:textId="77777777" w:rsidR="005D1FE8" w:rsidRPr="00B90FE4" w:rsidRDefault="005D1FE8" w:rsidP="005D1FE8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Eletrodomésticos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2" w14:textId="1F2880E4" w:rsidR="005D1FE8" w:rsidRPr="005D1FE8" w:rsidRDefault="005D1FE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3" w14:textId="4F28B372" w:rsidR="005D1FE8" w:rsidRPr="005D1FE8" w:rsidRDefault="005D1FE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36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4" w14:textId="2607B33C" w:rsidR="005D1FE8" w:rsidRPr="005D1FE8" w:rsidRDefault="005D1FE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5" w14:textId="47C9698B" w:rsidR="005D1FE8" w:rsidRPr="005D1FE8" w:rsidRDefault="005D1FE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11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6" w14:textId="5BFDA57C" w:rsidR="005D1FE8" w:rsidRPr="005D1FE8" w:rsidRDefault="005D1FE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-7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7" w14:textId="37895D47" w:rsidR="005D1FE8" w:rsidRPr="005D1FE8" w:rsidRDefault="005D1FE8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5D1FE8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</w:t>
            </w:r>
          </w:p>
        </w:tc>
      </w:tr>
      <w:tr w:rsidR="00B12674" w:rsidRPr="00B90FE4" w14:paraId="14032740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9" w14:textId="77777777" w:rsidR="00B12674" w:rsidRPr="00B90FE4" w:rsidRDefault="00B12674" w:rsidP="00B12674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Artigos farmacêuticos, médicos, ortopédicos, de perfumaria e cosméticos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A" w14:textId="53716C8B" w:rsidR="00B12674" w:rsidRPr="00B12674" w:rsidRDefault="00B12674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B" w14:textId="4E3B1126" w:rsidR="00B12674" w:rsidRPr="00B12674" w:rsidRDefault="00B12674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C" w14:textId="6C037A7C" w:rsidR="00B12674" w:rsidRPr="00B12674" w:rsidRDefault="00B12674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D" w14:textId="0A7D5F62" w:rsidR="00B12674" w:rsidRPr="00B12674" w:rsidRDefault="00B12674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E" w14:textId="2F1C97E6" w:rsidR="00B12674" w:rsidRPr="00B12674" w:rsidRDefault="00B12674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3F" w14:textId="41A4E2DB" w:rsidR="00B12674" w:rsidRPr="00B12674" w:rsidRDefault="00B12674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1267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</w:p>
        </w:tc>
      </w:tr>
      <w:tr w:rsidR="00C71F8C" w:rsidRPr="00B90FE4" w14:paraId="14032748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1" w14:textId="77777777" w:rsidR="00C71F8C" w:rsidRPr="00B90FE4" w:rsidRDefault="00C71F8C" w:rsidP="00C71F8C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Livros, jornais, revistas e papelaria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2" w14:textId="276A1473" w:rsidR="00C71F8C" w:rsidRPr="00C71F8C" w:rsidRDefault="00C71F8C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-16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3" w14:textId="1943EAD6" w:rsidR="00C71F8C" w:rsidRPr="00C71F8C" w:rsidRDefault="00C71F8C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4" w14:textId="2F104800" w:rsidR="00C71F8C" w:rsidRPr="00C71F8C" w:rsidRDefault="00C71F8C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-13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5" w14:textId="06C7F4C0" w:rsidR="00C71F8C" w:rsidRPr="00C71F8C" w:rsidRDefault="00C71F8C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-42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6" w14:textId="1CE366E7" w:rsidR="00C71F8C" w:rsidRPr="00C71F8C" w:rsidRDefault="00C71F8C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7" w14:textId="2F505327" w:rsidR="00C71F8C" w:rsidRPr="00C71F8C" w:rsidRDefault="00C71F8C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-33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C71F8C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</w:t>
            </w:r>
          </w:p>
        </w:tc>
      </w:tr>
      <w:tr w:rsidR="000B6DFD" w:rsidRPr="00B90FE4" w14:paraId="14032750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9" w14:textId="77777777" w:rsidR="000B6DFD" w:rsidRPr="00B90FE4" w:rsidRDefault="000B6DFD" w:rsidP="000B6DFD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Equipamentos e materiais para escritório, informática e comunicação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A" w14:textId="1717B95A" w:rsidR="000B6DFD" w:rsidRPr="000B6DFD" w:rsidRDefault="000B6DFD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B" w14:textId="02849F51" w:rsidR="000B6DFD" w:rsidRPr="000B6DFD" w:rsidRDefault="000B6DFD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C" w14:textId="26A84E2A" w:rsidR="000B6DFD" w:rsidRPr="000B6DFD" w:rsidRDefault="000B6DFD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-8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D" w14:textId="1394FE68" w:rsidR="000B6DFD" w:rsidRPr="000B6DFD" w:rsidRDefault="000B6DFD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-14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E" w14:textId="0B46EB09" w:rsidR="000B6DFD" w:rsidRPr="000B6DFD" w:rsidRDefault="000B6DFD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4F" w14:textId="12755653" w:rsidR="000B6DFD" w:rsidRPr="000B6DFD" w:rsidRDefault="000B6DFD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39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0B6DFD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9</w:t>
            </w:r>
          </w:p>
        </w:tc>
      </w:tr>
      <w:tr w:rsidR="00BA09B7" w:rsidRPr="00B90FE4" w14:paraId="14032758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1" w14:textId="77777777" w:rsidR="00BA09B7" w:rsidRPr="00B90FE4" w:rsidRDefault="00BA09B7" w:rsidP="00BA09B7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Outros artigos de uso pessoal e doméstico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2" w14:textId="7A9AE6AE" w:rsidR="00BA09B7" w:rsidRPr="00BA09B7" w:rsidRDefault="00BA09B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3" w14:textId="7AE6FB5B" w:rsidR="00BA09B7" w:rsidRPr="00BA09B7" w:rsidRDefault="00BA09B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4" w14:textId="352434B4" w:rsidR="00BA09B7" w:rsidRPr="00BA09B7" w:rsidRDefault="00BA09B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5" w14:textId="20D2CE11" w:rsidR="00BA09B7" w:rsidRPr="00BA09B7" w:rsidRDefault="00BA09B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1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6" w14:textId="4E21C824" w:rsidR="00BA09B7" w:rsidRPr="00BA09B7" w:rsidRDefault="00BA09B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-0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7" w14:textId="257ACAD5" w:rsidR="00BA09B7" w:rsidRPr="00BA09B7" w:rsidRDefault="00BA09B7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color w:val="111111"/>
                <w:sz w:val="18"/>
                <w:szCs w:val="18"/>
              </w:rPr>
            </w:pP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4</w:t>
            </w:r>
            <w:r w:rsidR="00A46E9F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,</w:t>
            </w:r>
            <w:r w:rsidRPr="00BA09B7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6</w:t>
            </w:r>
          </w:p>
        </w:tc>
      </w:tr>
      <w:tr w:rsidR="009950E4" w:rsidRPr="00B90FE4" w14:paraId="14032760" w14:textId="77777777" w:rsidTr="00805359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9" w14:textId="77777777" w:rsidR="009950E4" w:rsidRPr="00B90FE4" w:rsidRDefault="009950E4" w:rsidP="009950E4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Comércio varejista ampliado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A" w14:textId="7099FED7" w:rsidR="009950E4" w:rsidRPr="009950E4" w:rsidRDefault="009950E4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3,</w:t>
            </w:r>
            <w:r w:rsidRPr="009950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B" w14:textId="66D172AB" w:rsidR="009950E4" w:rsidRPr="009950E4" w:rsidRDefault="009950E4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</w:pPr>
            <w:r w:rsidRPr="009950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3</w:t>
            </w:r>
            <w:r w:rsidR="00A46E9F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,</w:t>
            </w:r>
            <w:r w:rsidRPr="009950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C" w14:textId="181A21E7" w:rsidR="009950E4" w:rsidRPr="009950E4" w:rsidRDefault="009950E4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</w:pPr>
            <w:r w:rsidRPr="009950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2</w:t>
            </w:r>
            <w:r w:rsidR="00A46E9F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,</w:t>
            </w:r>
            <w:r w:rsidRPr="009950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D" w14:textId="5A5DE5E4" w:rsidR="009950E4" w:rsidRPr="009950E4" w:rsidRDefault="009950E4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</w:pPr>
            <w:r w:rsidRPr="009950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2</w:t>
            </w:r>
            <w:r w:rsidR="00A46E9F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,</w:t>
            </w:r>
            <w:r w:rsidRPr="009950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E" w14:textId="1A9C04C1" w:rsidR="009950E4" w:rsidRPr="009950E4" w:rsidRDefault="009950E4" w:rsidP="00805359">
            <w:pPr>
              <w:spacing w:before="40" w:after="40"/>
              <w:ind w:left="100" w:right="100"/>
              <w:jc w:val="right"/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</w:pPr>
            <w:r w:rsidRPr="009950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2</w:t>
            </w:r>
            <w:r w:rsidR="00A46E9F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,</w:t>
            </w:r>
            <w:r w:rsidRPr="009950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5F" w14:textId="710EB28E" w:rsidR="009950E4" w:rsidRPr="00B90FE4" w:rsidRDefault="00C661F3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4</w:t>
            </w:r>
            <w:r w:rsidR="009950E4"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8"/>
                <w:szCs w:val="18"/>
              </w:rPr>
              <w:t>8</w:t>
            </w:r>
          </w:p>
        </w:tc>
      </w:tr>
      <w:tr w:rsidR="00C661F3" w:rsidRPr="00B90FE4" w14:paraId="14032768" w14:textId="77777777" w:rsidTr="00805359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1" w14:textId="77777777" w:rsidR="00C661F3" w:rsidRPr="00B90FE4" w:rsidRDefault="00C661F3" w:rsidP="00C661F3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Veículos, motocicletas, partes e peças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2" w14:textId="3A996820" w:rsidR="00C661F3" w:rsidRPr="00B90FE4" w:rsidRDefault="00C661F3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366718">
              <w:rPr>
                <w:sz w:val="18"/>
                <w:szCs w:val="18"/>
              </w:rPr>
              <w:t>10</w:t>
            </w:r>
            <w:r w:rsidR="00A46E9F">
              <w:rPr>
                <w:sz w:val="18"/>
                <w:szCs w:val="18"/>
              </w:rPr>
              <w:t>,</w:t>
            </w:r>
            <w:r w:rsidRPr="00366718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3" w14:textId="6AFB4301" w:rsidR="00C661F3" w:rsidRPr="00B90FE4" w:rsidRDefault="00C661F3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366718">
              <w:rPr>
                <w:sz w:val="18"/>
                <w:szCs w:val="18"/>
              </w:rPr>
              <w:t>14</w:t>
            </w:r>
            <w:r w:rsidR="00A46E9F">
              <w:rPr>
                <w:sz w:val="18"/>
                <w:szCs w:val="18"/>
              </w:rPr>
              <w:t>,</w:t>
            </w:r>
            <w:r w:rsidRPr="00366718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4" w14:textId="5CCDD222" w:rsidR="00C661F3" w:rsidRPr="00B90FE4" w:rsidRDefault="00C661F3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366718">
              <w:rPr>
                <w:sz w:val="18"/>
                <w:szCs w:val="18"/>
              </w:rPr>
              <w:t>8</w:t>
            </w:r>
            <w:r w:rsidR="00A46E9F">
              <w:rPr>
                <w:sz w:val="18"/>
                <w:szCs w:val="18"/>
              </w:rPr>
              <w:t>,</w:t>
            </w:r>
            <w:r w:rsidRPr="00366718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5" w14:textId="1A42D450" w:rsidR="00C661F3" w:rsidRPr="00B90FE4" w:rsidRDefault="00C661F3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366718">
              <w:rPr>
                <w:sz w:val="18"/>
                <w:szCs w:val="18"/>
              </w:rPr>
              <w:t>2</w:t>
            </w:r>
            <w:r w:rsidR="00A46E9F">
              <w:rPr>
                <w:sz w:val="18"/>
                <w:szCs w:val="18"/>
              </w:rPr>
              <w:t>,</w:t>
            </w:r>
            <w:r w:rsidRPr="00366718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6" w14:textId="3E558262" w:rsidR="00C661F3" w:rsidRPr="00B90FE4" w:rsidRDefault="00C661F3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366718">
              <w:rPr>
                <w:sz w:val="18"/>
                <w:szCs w:val="18"/>
              </w:rPr>
              <w:t>10</w:t>
            </w:r>
            <w:r w:rsidR="00A46E9F">
              <w:rPr>
                <w:sz w:val="18"/>
                <w:szCs w:val="18"/>
              </w:rPr>
              <w:t>,</w:t>
            </w:r>
            <w:r w:rsidRPr="00366718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7" w14:textId="64413287" w:rsidR="00C661F3" w:rsidRPr="00B90FE4" w:rsidRDefault="00366718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7,3</w:t>
            </w:r>
          </w:p>
        </w:tc>
      </w:tr>
      <w:tr w:rsidR="00805359" w:rsidRPr="00B90FE4" w14:paraId="14032770" w14:textId="77777777" w:rsidTr="00805359">
        <w:trPr>
          <w:cantSplit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9" w14:textId="77777777" w:rsidR="00805359" w:rsidRPr="00B90FE4" w:rsidRDefault="00805359" w:rsidP="00805359">
            <w:pPr>
              <w:spacing w:before="40" w:after="40"/>
              <w:ind w:left="100" w:right="100"/>
              <w:jc w:val="left"/>
              <w:rPr>
                <w:sz w:val="18"/>
                <w:szCs w:val="18"/>
              </w:rPr>
            </w:pPr>
            <w:r w:rsidRPr="00B90FE4">
              <w:rPr>
                <w:rFonts w:ascii="Calibri" w:eastAsia="Calibri" w:hAnsi="Calibri" w:cs="Calibri"/>
                <w:color w:val="111111"/>
                <w:sz w:val="18"/>
                <w:szCs w:val="18"/>
              </w:rPr>
              <w:t>Material de construção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A" w14:textId="19750487" w:rsidR="00805359" w:rsidRPr="00B90FE4" w:rsidRDefault="00805359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805359">
              <w:rPr>
                <w:sz w:val="18"/>
                <w:szCs w:val="18"/>
              </w:rPr>
              <w:t>4</w:t>
            </w:r>
            <w:r w:rsidR="00A46E9F">
              <w:rPr>
                <w:sz w:val="18"/>
                <w:szCs w:val="18"/>
              </w:rPr>
              <w:t>,</w:t>
            </w:r>
            <w:r w:rsidRPr="00805359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B" w14:textId="39D7309B" w:rsidR="00805359" w:rsidRPr="00B90FE4" w:rsidRDefault="00805359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805359">
              <w:rPr>
                <w:sz w:val="18"/>
                <w:szCs w:val="18"/>
              </w:rPr>
              <w:t>14</w:t>
            </w:r>
            <w:r w:rsidR="00A46E9F">
              <w:rPr>
                <w:sz w:val="18"/>
                <w:szCs w:val="18"/>
              </w:rPr>
              <w:t>,</w:t>
            </w:r>
            <w:r w:rsidRPr="00805359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C" w14:textId="68515115" w:rsidR="00805359" w:rsidRPr="00B90FE4" w:rsidRDefault="00805359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805359">
              <w:rPr>
                <w:sz w:val="18"/>
                <w:szCs w:val="18"/>
              </w:rPr>
              <w:t>-2</w:t>
            </w:r>
            <w:r w:rsidR="00A46E9F">
              <w:rPr>
                <w:sz w:val="18"/>
                <w:szCs w:val="18"/>
              </w:rPr>
              <w:t>,</w:t>
            </w:r>
            <w:r w:rsidRPr="00805359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D" w14:textId="30E97832" w:rsidR="00805359" w:rsidRPr="00B90FE4" w:rsidRDefault="00805359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805359">
              <w:rPr>
                <w:sz w:val="18"/>
                <w:szCs w:val="18"/>
              </w:rPr>
              <w:t>1</w:t>
            </w:r>
            <w:r w:rsidR="00A46E9F">
              <w:rPr>
                <w:sz w:val="18"/>
                <w:szCs w:val="18"/>
              </w:rPr>
              <w:t>,</w:t>
            </w:r>
            <w:r w:rsidRPr="00805359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E" w14:textId="424E74B6" w:rsidR="00805359" w:rsidRPr="00B90FE4" w:rsidRDefault="00805359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 w:rsidRPr="00805359">
              <w:rPr>
                <w:sz w:val="18"/>
                <w:szCs w:val="18"/>
              </w:rPr>
              <w:t>2</w:t>
            </w:r>
            <w:r w:rsidR="00A46E9F">
              <w:rPr>
                <w:sz w:val="18"/>
                <w:szCs w:val="18"/>
              </w:rPr>
              <w:t>,</w:t>
            </w:r>
            <w:r w:rsidRPr="00805359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276F" w14:textId="6DEB26D4" w:rsidR="00805359" w:rsidRPr="00B90FE4" w:rsidRDefault="00805359" w:rsidP="00805359">
            <w:pPr>
              <w:spacing w:before="40" w:after="40"/>
              <w:ind w:left="100" w:righ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-7,6</w:t>
            </w:r>
          </w:p>
        </w:tc>
      </w:tr>
    </w:tbl>
    <w:p w14:paraId="7F7F1083" w14:textId="2E9A3E26" w:rsidR="00B90FE4" w:rsidRPr="00B90FE4" w:rsidRDefault="00B90FE4" w:rsidP="00F85085">
      <w:pPr>
        <w:pStyle w:val="Legenda1"/>
      </w:pPr>
      <w:r w:rsidRPr="00C7738B">
        <w:t xml:space="preserve">Fonte: Elaboração BNB/ETENE, com dados do IBGE. Nota: (1) Variação acumulada </w:t>
      </w:r>
      <w:r w:rsidR="00505BEE">
        <w:t>em 12 meses</w:t>
      </w:r>
      <w:r w:rsidRPr="00C7738B">
        <w:t>.</w:t>
      </w:r>
    </w:p>
    <w:sectPr w:rsidR="00B90FE4" w:rsidRPr="00B90FE4" w:rsidSect="00CC5395">
      <w:headerReference w:type="default" r:id="rId8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DA2EE" w14:textId="77777777" w:rsidR="00297F93" w:rsidRDefault="00297F93">
      <w:pPr>
        <w:spacing w:before="0" w:after="0" w:line="240" w:lineRule="auto"/>
      </w:pPr>
      <w:r>
        <w:separator/>
      </w:r>
    </w:p>
  </w:endnote>
  <w:endnote w:type="continuationSeparator" w:id="0">
    <w:p w14:paraId="418C85BA" w14:textId="77777777" w:rsidR="00297F93" w:rsidRDefault="00297F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73D73" w14:textId="77777777" w:rsidR="00297F93" w:rsidRDefault="00297F93">
      <w:r>
        <w:separator/>
      </w:r>
    </w:p>
  </w:footnote>
  <w:footnote w:type="continuationSeparator" w:id="0">
    <w:p w14:paraId="5393CF58" w14:textId="77777777" w:rsidR="00297F93" w:rsidRDefault="00297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2775" w14:textId="77777777" w:rsidR="00CC2608" w:rsidRPr="00E327F7" w:rsidRDefault="00730BF0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14032778" wp14:editId="14032779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032776" w14:textId="77777777" w:rsidR="00CC2608" w:rsidRPr="00E327F7" w:rsidRDefault="00730BF0" w:rsidP="00E327F7">
    <w:pPr>
      <w:pStyle w:val="SemEspaamento"/>
    </w:pPr>
    <w:r w:rsidRPr="00E327F7">
      <w:t>Ano I - Nº XX - XX.05.2019</w:t>
    </w:r>
  </w:p>
  <w:p w14:paraId="14032777" w14:textId="77777777" w:rsidR="00CC2608" w:rsidRPr="00E327F7" w:rsidRDefault="00730BF0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02E"/>
    <w:rsid w:val="00011C8B"/>
    <w:rsid w:val="00027123"/>
    <w:rsid w:val="00032C90"/>
    <w:rsid w:val="00036414"/>
    <w:rsid w:val="00052074"/>
    <w:rsid w:val="000562AF"/>
    <w:rsid w:val="00097B30"/>
    <w:rsid w:val="000B6DFD"/>
    <w:rsid w:val="000E28AA"/>
    <w:rsid w:val="000F1412"/>
    <w:rsid w:val="001046E2"/>
    <w:rsid w:val="00165357"/>
    <w:rsid w:val="00181E9A"/>
    <w:rsid w:val="001A13B3"/>
    <w:rsid w:val="001D04E3"/>
    <w:rsid w:val="001F6FC5"/>
    <w:rsid w:val="00206C5E"/>
    <w:rsid w:val="00247903"/>
    <w:rsid w:val="00254459"/>
    <w:rsid w:val="00255A9F"/>
    <w:rsid w:val="002615E8"/>
    <w:rsid w:val="0026429F"/>
    <w:rsid w:val="00272038"/>
    <w:rsid w:val="002876D7"/>
    <w:rsid w:val="002938DE"/>
    <w:rsid w:val="00297F93"/>
    <w:rsid w:val="002A5216"/>
    <w:rsid w:val="002B6F12"/>
    <w:rsid w:val="002D75F4"/>
    <w:rsid w:val="00311059"/>
    <w:rsid w:val="00312F68"/>
    <w:rsid w:val="00317AC5"/>
    <w:rsid w:val="0032026C"/>
    <w:rsid w:val="00355768"/>
    <w:rsid w:val="00366718"/>
    <w:rsid w:val="003830A6"/>
    <w:rsid w:val="003A4EBB"/>
    <w:rsid w:val="003B5D35"/>
    <w:rsid w:val="003C7B18"/>
    <w:rsid w:val="003E2365"/>
    <w:rsid w:val="004127F3"/>
    <w:rsid w:val="00437817"/>
    <w:rsid w:val="00467FD2"/>
    <w:rsid w:val="00493838"/>
    <w:rsid w:val="004A3CA7"/>
    <w:rsid w:val="004C2B46"/>
    <w:rsid w:val="004D470B"/>
    <w:rsid w:val="004E29B3"/>
    <w:rsid w:val="004E5A5F"/>
    <w:rsid w:val="00505BEE"/>
    <w:rsid w:val="00506884"/>
    <w:rsid w:val="00506C7B"/>
    <w:rsid w:val="00556743"/>
    <w:rsid w:val="00590D07"/>
    <w:rsid w:val="005A035D"/>
    <w:rsid w:val="005B3557"/>
    <w:rsid w:val="005B3BC6"/>
    <w:rsid w:val="005D1FE8"/>
    <w:rsid w:val="005E6AE2"/>
    <w:rsid w:val="005E6F98"/>
    <w:rsid w:val="00602D34"/>
    <w:rsid w:val="00631AD6"/>
    <w:rsid w:val="006431F6"/>
    <w:rsid w:val="00646BD1"/>
    <w:rsid w:val="006646EA"/>
    <w:rsid w:val="00683913"/>
    <w:rsid w:val="00686EF6"/>
    <w:rsid w:val="006A7D38"/>
    <w:rsid w:val="006C665D"/>
    <w:rsid w:val="006D1BEB"/>
    <w:rsid w:val="007051AD"/>
    <w:rsid w:val="00706768"/>
    <w:rsid w:val="00730BF0"/>
    <w:rsid w:val="00736844"/>
    <w:rsid w:val="00740BD9"/>
    <w:rsid w:val="0078461B"/>
    <w:rsid w:val="00784D58"/>
    <w:rsid w:val="007A0177"/>
    <w:rsid w:val="007B0F37"/>
    <w:rsid w:val="007B1657"/>
    <w:rsid w:val="007B467F"/>
    <w:rsid w:val="007E4206"/>
    <w:rsid w:val="007F3C47"/>
    <w:rsid w:val="00805359"/>
    <w:rsid w:val="008065E4"/>
    <w:rsid w:val="00845353"/>
    <w:rsid w:val="0089514D"/>
    <w:rsid w:val="008977AA"/>
    <w:rsid w:val="008D6863"/>
    <w:rsid w:val="00927F76"/>
    <w:rsid w:val="00962453"/>
    <w:rsid w:val="00966AD2"/>
    <w:rsid w:val="00967E28"/>
    <w:rsid w:val="00985FC7"/>
    <w:rsid w:val="00990A2F"/>
    <w:rsid w:val="009947DF"/>
    <w:rsid w:val="009950E4"/>
    <w:rsid w:val="009E5CCF"/>
    <w:rsid w:val="00A00390"/>
    <w:rsid w:val="00A05C66"/>
    <w:rsid w:val="00A13765"/>
    <w:rsid w:val="00A15233"/>
    <w:rsid w:val="00A22955"/>
    <w:rsid w:val="00A46E9F"/>
    <w:rsid w:val="00A5253C"/>
    <w:rsid w:val="00AA05A1"/>
    <w:rsid w:val="00AA12AC"/>
    <w:rsid w:val="00AB2E13"/>
    <w:rsid w:val="00AB4AA3"/>
    <w:rsid w:val="00AB5429"/>
    <w:rsid w:val="00AE5107"/>
    <w:rsid w:val="00B0010C"/>
    <w:rsid w:val="00B12674"/>
    <w:rsid w:val="00B86B75"/>
    <w:rsid w:val="00B90FE4"/>
    <w:rsid w:val="00BA09B7"/>
    <w:rsid w:val="00BC48D5"/>
    <w:rsid w:val="00BD4453"/>
    <w:rsid w:val="00BD767A"/>
    <w:rsid w:val="00BE4855"/>
    <w:rsid w:val="00BF3838"/>
    <w:rsid w:val="00BF6D77"/>
    <w:rsid w:val="00C31BCF"/>
    <w:rsid w:val="00C33451"/>
    <w:rsid w:val="00C36279"/>
    <w:rsid w:val="00C416DB"/>
    <w:rsid w:val="00C661F3"/>
    <w:rsid w:val="00C71F8C"/>
    <w:rsid w:val="00C85403"/>
    <w:rsid w:val="00C94A27"/>
    <w:rsid w:val="00CA6777"/>
    <w:rsid w:val="00CB0CF8"/>
    <w:rsid w:val="00CB276A"/>
    <w:rsid w:val="00CB6E3B"/>
    <w:rsid w:val="00CB6FBB"/>
    <w:rsid w:val="00CC51E2"/>
    <w:rsid w:val="00CF0570"/>
    <w:rsid w:val="00D12E4E"/>
    <w:rsid w:val="00D27476"/>
    <w:rsid w:val="00D52A48"/>
    <w:rsid w:val="00D844DC"/>
    <w:rsid w:val="00D92E67"/>
    <w:rsid w:val="00D9438D"/>
    <w:rsid w:val="00DF61EA"/>
    <w:rsid w:val="00E17439"/>
    <w:rsid w:val="00E315A3"/>
    <w:rsid w:val="00E5515A"/>
    <w:rsid w:val="00E631AC"/>
    <w:rsid w:val="00E66862"/>
    <w:rsid w:val="00E74FD6"/>
    <w:rsid w:val="00E82CE9"/>
    <w:rsid w:val="00EA0B69"/>
    <w:rsid w:val="00EB1BDD"/>
    <w:rsid w:val="00EB3EF2"/>
    <w:rsid w:val="00ED0747"/>
    <w:rsid w:val="00EE6D0B"/>
    <w:rsid w:val="00EF61DC"/>
    <w:rsid w:val="00EF6595"/>
    <w:rsid w:val="00EF6776"/>
    <w:rsid w:val="00F10BBE"/>
    <w:rsid w:val="00F130DA"/>
    <w:rsid w:val="00F3027C"/>
    <w:rsid w:val="00F3123C"/>
    <w:rsid w:val="00F43EA5"/>
    <w:rsid w:val="00F53D75"/>
    <w:rsid w:val="00F62255"/>
    <w:rsid w:val="00F63132"/>
    <w:rsid w:val="00F63CF7"/>
    <w:rsid w:val="00F65EA0"/>
    <w:rsid w:val="00F72C1E"/>
    <w:rsid w:val="00F85085"/>
    <w:rsid w:val="00F860EA"/>
    <w:rsid w:val="00FA1904"/>
    <w:rsid w:val="00FC0DEF"/>
    <w:rsid w:val="00FC2DD7"/>
    <w:rsid w:val="00FD6DDD"/>
    <w:rsid w:val="00FF1D67"/>
    <w:rsid w:val="00FF2539"/>
    <w:rsid w:val="00FF6E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26E7"/>
  <w15:docId w15:val="{048BE92F-A8DB-4107-8558-1A9ECDA0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F7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036414"/>
    <w:pPr>
      <w:keepNext/>
      <w:spacing w:before="100" w:beforeAutospacing="1" w:line="240" w:lineRule="auto"/>
      <w:ind w:left="0" w:firstLine="0"/>
    </w:pPr>
    <w:rPr>
      <w:rFonts w:asciiTheme="minorHAnsi" w:hAnsiTheme="minorHAnsi"/>
      <w:iCs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Legenda1">
    <w:name w:val="Legenda1"/>
    <w:next w:val="Normal"/>
    <w:link w:val="captionChar"/>
    <w:qFormat/>
    <w:rsid w:val="002876D7"/>
    <w:pPr>
      <w:spacing w:after="100" w:afterAutospacing="1" w:line="240" w:lineRule="auto"/>
    </w:pPr>
    <w:rPr>
      <w:rFonts w:asciiTheme="minorHAnsi" w:hAnsiTheme="minorHAnsi"/>
      <w:sz w:val="16"/>
      <w:szCs w:val="16"/>
    </w:rPr>
  </w:style>
  <w:style w:type="character" w:customStyle="1" w:styleId="captionChar">
    <w:name w:val="caption Char"/>
    <w:basedOn w:val="Fontepargpadro"/>
    <w:link w:val="Legenda1"/>
    <w:rsid w:val="002876D7"/>
    <w:rPr>
      <w:rFonts w:asciiTheme="minorHAnsi" w:hAnsi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boletins_feitos/15%20-%20Janeiro_2020/Di&#225;rio_Econ&#244;mico_ETENE_Com&#233;rcio_Janeiro_20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Tabela_Gráfico!$I$5:$I$16</c:f>
              <c:numCache>
                <c:formatCode>0.0</c:formatCode>
                <c:ptCount val="12"/>
                <c:pt idx="0">
                  <c:v>-2.2000000000000002</c:v>
                </c:pt>
                <c:pt idx="1">
                  <c:v>2.2000000000000002</c:v>
                </c:pt>
                <c:pt idx="2">
                  <c:v>1.8</c:v>
                </c:pt>
                <c:pt idx="3">
                  <c:v>-1.6</c:v>
                </c:pt>
                <c:pt idx="4">
                  <c:v>4.4000000000000004</c:v>
                </c:pt>
                <c:pt idx="5">
                  <c:v>0.7</c:v>
                </c:pt>
                <c:pt idx="6">
                  <c:v>1</c:v>
                </c:pt>
                <c:pt idx="7">
                  <c:v>0</c:v>
                </c:pt>
                <c:pt idx="8">
                  <c:v>1.1000000000000001</c:v>
                </c:pt>
                <c:pt idx="9">
                  <c:v>-5.4</c:v>
                </c:pt>
                <c:pt idx="10">
                  <c:v>0.1</c:v>
                </c:pt>
                <c:pt idx="11">
                  <c:v>-1.8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D6-4F49-AAF8-AC94ED092EB4}"/>
            </c:ext>
          </c:extLst>
        </c:ser>
        <c:ser>
          <c:idx val="1"/>
          <c:order val="1"/>
          <c:tx>
            <c:strRef>
              <c:f>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Tabela_Gráfico!$J$5:$J$16</c:f>
              <c:numCache>
                <c:formatCode>0.0</c:formatCode>
                <c:ptCount val="12"/>
                <c:pt idx="0">
                  <c:v>1</c:v>
                </c:pt>
                <c:pt idx="1">
                  <c:v>2.2000000000000002</c:v>
                </c:pt>
                <c:pt idx="2">
                  <c:v>3.9</c:v>
                </c:pt>
                <c:pt idx="3">
                  <c:v>3.4</c:v>
                </c:pt>
                <c:pt idx="4">
                  <c:v>4.8</c:v>
                </c:pt>
                <c:pt idx="5">
                  <c:v>0.1</c:v>
                </c:pt>
                <c:pt idx="6">
                  <c:v>2.6</c:v>
                </c:pt>
                <c:pt idx="7">
                  <c:v>0.5</c:v>
                </c:pt>
                <c:pt idx="8">
                  <c:v>2.7</c:v>
                </c:pt>
                <c:pt idx="9">
                  <c:v>-3.1</c:v>
                </c:pt>
                <c:pt idx="10">
                  <c:v>0.8</c:v>
                </c:pt>
                <c:pt idx="11">
                  <c:v>-1.1000000000000001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D6-4F49-AAF8-AC94ED092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  <c:min val="-6.5"/>
        </c:scaling>
        <c:delete val="1"/>
        <c:axPos val="l"/>
        <c:numFmt formatCode="0.0" sourceLinked="1"/>
        <c:majorTickMark val="out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800"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864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Nicolino Trompieri Neto;Alysson Inácio de Oliveira</dc:creator>
  <cp:keywords/>
  <cp:lastModifiedBy>Alysson Oliveira</cp:lastModifiedBy>
  <cp:revision>155</cp:revision>
  <cp:lastPrinted>2020-03-31T22:57:00Z</cp:lastPrinted>
  <dcterms:created xsi:type="dcterms:W3CDTF">2020-03-31T21:32:00Z</dcterms:created>
  <dcterms:modified xsi:type="dcterms:W3CDTF">2020-04-01T18:38:00Z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