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1A32" w14:textId="12759F19" w:rsidR="009A0404" w:rsidRDefault="00046AE3">
      <w:pPr>
        <w:pStyle w:val="Ttulo1"/>
      </w:pPr>
      <w:bookmarkStart w:id="0" w:name="comércio-varejista-do-nordeste-em-2019"/>
      <w:r>
        <w:t>Comércio varejista nordest</w:t>
      </w:r>
      <w:r w:rsidR="00CE300A">
        <w:t>ino</w:t>
      </w:r>
      <w:r>
        <w:t xml:space="preserve"> em </w:t>
      </w:r>
      <w:bookmarkEnd w:id="0"/>
      <w:r w:rsidR="00CE300A">
        <w:t>fevereiro de 2020</w:t>
      </w:r>
    </w:p>
    <w:p w14:paraId="593C7EA0" w14:textId="77777777" w:rsidR="00BA3136" w:rsidRDefault="00462F7B" w:rsidP="00462F7B">
      <w:r>
        <w:t xml:space="preserve">O comércio varejista nacional registrou em fevereiro de 2020 crescimento de </w:t>
      </w:r>
      <w:r w:rsidR="00C13D75">
        <w:t>1,2%</w:t>
      </w:r>
      <w:r w:rsidR="003361FC">
        <w:t>,</w:t>
      </w:r>
      <w:r w:rsidR="004322D2">
        <w:t xml:space="preserve"> </w:t>
      </w:r>
      <w:proofErr w:type="gramStart"/>
      <w:r w:rsidR="004322D2">
        <w:t>melhor</w:t>
      </w:r>
      <w:proofErr w:type="gramEnd"/>
      <w:r w:rsidR="0007582C">
        <w:t xml:space="preserve"> </w:t>
      </w:r>
      <w:r w:rsidR="003361FC">
        <w:t xml:space="preserve">resultado para o mês desde </w:t>
      </w:r>
      <w:r w:rsidR="00894A47">
        <w:t>2016</w:t>
      </w:r>
      <w:r w:rsidR="00F772BE">
        <w:t xml:space="preserve"> (1,6%),</w:t>
      </w:r>
      <w:r w:rsidR="00C13D75">
        <w:t xml:space="preserve"> comparativamente ao mês </w:t>
      </w:r>
      <w:r w:rsidR="00CE0497">
        <w:t>de janeiro do mesmo ano</w:t>
      </w:r>
      <w:r w:rsidR="00B5676D">
        <w:t xml:space="preserve">, conforme a pesquisa </w:t>
      </w:r>
      <w:r w:rsidR="001870A6">
        <w:t>mensal de comércio divulgada pelo Instituto Brasileiro de Geografia e Estatística (IBGE)</w:t>
      </w:r>
      <w:r w:rsidR="00CE0497">
        <w:t>.</w:t>
      </w:r>
      <w:r w:rsidR="006220B4">
        <w:t xml:space="preserve"> </w:t>
      </w:r>
      <w:r w:rsidR="00390591">
        <w:t xml:space="preserve">Na comparação interanual </w:t>
      </w:r>
      <w:r w:rsidR="00136132">
        <w:t xml:space="preserve">do mês de fevereiro, </w:t>
      </w:r>
      <w:r w:rsidR="0042289D">
        <w:t xml:space="preserve">o crescimento foi de </w:t>
      </w:r>
      <w:r w:rsidR="00574D37">
        <w:t>4,7% frente a fevereiro de 2019</w:t>
      </w:r>
      <w:r w:rsidR="0042289D">
        <w:t>.</w:t>
      </w:r>
      <w:r w:rsidR="00644634">
        <w:t xml:space="preserve"> </w:t>
      </w:r>
      <w:r w:rsidR="006220B4">
        <w:t xml:space="preserve">O varejo ampliado, onde é adicionado </w:t>
      </w:r>
      <w:r w:rsidR="00794393">
        <w:t xml:space="preserve">veículos e materiais de construções, apresentou variação </w:t>
      </w:r>
      <w:r w:rsidR="00E3252A">
        <w:t xml:space="preserve">positiva de </w:t>
      </w:r>
      <w:r w:rsidR="00231DDE">
        <w:t>0,7% em fevereiro de 2020 frente a janeiro do mesmo ano</w:t>
      </w:r>
      <w:r w:rsidR="007E1045">
        <w:t xml:space="preserve"> e crescime</w:t>
      </w:r>
      <w:bookmarkStart w:id="1" w:name="_GoBack"/>
      <w:bookmarkEnd w:id="1"/>
      <w:r w:rsidR="007E1045">
        <w:t>nto de 3,3% na comparação interanual do mês de fever</w:t>
      </w:r>
      <w:r w:rsidR="000115C3">
        <w:t>eiro</w:t>
      </w:r>
      <w:r w:rsidR="00231DDE">
        <w:t>.</w:t>
      </w:r>
    </w:p>
    <w:p w14:paraId="42D61A37" w14:textId="10AEFA75" w:rsidR="009A0404" w:rsidRDefault="00BA3136" w:rsidP="00462F7B">
      <w:r>
        <w:t xml:space="preserve">Dentre os dez grupos de atividades pesquisadas, </w:t>
      </w:r>
      <w:r w:rsidR="00A83E25">
        <w:t xml:space="preserve">sete registraram </w:t>
      </w:r>
      <w:r w:rsidR="00ED4613">
        <w:t>crescimento no acumulado do ano</w:t>
      </w:r>
      <w:r w:rsidR="00624724">
        <w:t xml:space="preserve">, como destaque para: </w:t>
      </w:r>
      <w:r w:rsidR="007C2F22">
        <w:t xml:space="preserve">móveis e eletrodomésticos (+11,4%), </w:t>
      </w:r>
      <w:r w:rsidR="000D036C">
        <w:t xml:space="preserve">outros artigos de uso </w:t>
      </w:r>
      <w:r w:rsidR="0009089B">
        <w:t>pessoal e doméstico (+8,1%)</w:t>
      </w:r>
      <w:r w:rsidR="00637D72">
        <w:t xml:space="preserve">, </w:t>
      </w:r>
      <w:r w:rsidR="0077787A">
        <w:t>artigos farmacêuticos, médicos, ortopédicos, de perfumaria e cosméticos (+7,5%)</w:t>
      </w:r>
      <w:r w:rsidR="00C02676">
        <w:t xml:space="preserve"> e </w:t>
      </w:r>
      <w:r w:rsidR="00491329">
        <w:t>veículos, motocicletas, parte</w:t>
      </w:r>
      <w:r w:rsidR="007137D9">
        <w:t>s</w:t>
      </w:r>
      <w:r w:rsidR="00491329">
        <w:t xml:space="preserve"> e peças</w:t>
      </w:r>
      <w:r w:rsidR="007137D9">
        <w:t xml:space="preserve"> (+5,6%). </w:t>
      </w:r>
      <w:r w:rsidR="007A58B1">
        <w:t xml:space="preserve">Em contraposição, </w:t>
      </w:r>
      <w:r w:rsidR="006A5EDE">
        <w:t>equipamentos e materiais para escritório, informática e comunicação (-10,1%)</w:t>
      </w:r>
      <w:r w:rsidR="005B2A06">
        <w:t xml:space="preserve">, </w:t>
      </w:r>
      <w:r w:rsidR="0033638B">
        <w:t xml:space="preserve">livros, jornais, revistas e papelaria (-1,5%) e </w:t>
      </w:r>
      <w:r w:rsidR="00746E2F">
        <w:t>combustíveis e lubrificantes (-0,2%)</w:t>
      </w:r>
      <w:r w:rsidR="00A92DA7">
        <w:t xml:space="preserve"> declinaram no período estudado, conforme os dados especificados na </w:t>
      </w:r>
      <w:r w:rsidR="00A92DA7" w:rsidRPr="00A92DA7">
        <w:fldChar w:fldCharType="begin"/>
      </w:r>
      <w:r w:rsidR="00A92DA7" w:rsidRPr="00A92DA7">
        <w:instrText xml:space="preserve"> REF _Ref37234358 \h </w:instrText>
      </w:r>
      <w:r w:rsidR="00A92DA7" w:rsidRPr="00A92DA7">
        <w:instrText xml:space="preserve"> \* MERGEFORMAT </w:instrText>
      </w:r>
      <w:r w:rsidR="00A92DA7" w:rsidRPr="00A92DA7">
        <w:fldChar w:fldCharType="separate"/>
      </w:r>
      <w:r w:rsidR="00A92DA7" w:rsidRPr="00A92DA7">
        <w:t xml:space="preserve">Tabela </w:t>
      </w:r>
      <w:r w:rsidR="00A92DA7" w:rsidRPr="00A92DA7">
        <w:rPr>
          <w:noProof/>
        </w:rPr>
        <w:t>1</w:t>
      </w:r>
      <w:r w:rsidR="00A92DA7" w:rsidRPr="00A92DA7">
        <w:fldChar w:fldCharType="end"/>
      </w:r>
      <w:r w:rsidR="00A92DA7">
        <w:t>.</w:t>
      </w:r>
    </w:p>
    <w:p w14:paraId="23CB036B" w14:textId="76C06CE6" w:rsidR="00BB360F" w:rsidRDefault="00CA54D4" w:rsidP="00462F7B">
      <w:r>
        <w:t>Quanto ao</w:t>
      </w:r>
      <w:r w:rsidR="00102D96">
        <w:t xml:space="preserve"> comportamento do varejo restrito nos</w:t>
      </w:r>
      <w:r>
        <w:t xml:space="preserve"> Estados</w:t>
      </w:r>
      <w:r w:rsidR="00102D96">
        <w:t xml:space="preserve"> pertencentes à área de atuação do Banco do Nordeste</w:t>
      </w:r>
      <w:r w:rsidR="00177779">
        <w:t xml:space="preserve"> (BNB)</w:t>
      </w:r>
      <w:r>
        <w:t xml:space="preserve">, </w:t>
      </w:r>
      <w:r w:rsidR="003112EB">
        <w:t>Paraíba (+9,8%) e Espírito Santo (+5,8%) seguiram com valores mai</w:t>
      </w:r>
      <w:r w:rsidR="007B66DA">
        <w:t>ores que a média nacional (+3,0%)</w:t>
      </w:r>
      <w:r w:rsidR="00AE36BE">
        <w:t xml:space="preserve">, </w:t>
      </w:r>
      <w:r w:rsidR="008E5D38">
        <w:t xml:space="preserve">enquanto </w:t>
      </w:r>
      <w:r w:rsidR="0002083B">
        <w:t>Pernambuco (+2,9%), Piauí (+2,9%), Maranhão (+2,6%)</w:t>
      </w:r>
      <w:r w:rsidR="00472D20">
        <w:t>, Alagoas (</w:t>
      </w:r>
      <w:r w:rsidR="008E5D38">
        <w:t>+</w:t>
      </w:r>
      <w:r w:rsidR="00472D20">
        <w:t>1,9%) e Minas Gerais (+0,8%)</w:t>
      </w:r>
      <w:r w:rsidR="00DC020F">
        <w:t xml:space="preserve"> registraram valores positivos menores que a média do Brasil no acumulado do ano.</w:t>
      </w:r>
      <w:r w:rsidR="002E231D">
        <w:t xml:space="preserve"> Por outro lado</w:t>
      </w:r>
      <w:r w:rsidR="001D5E93">
        <w:t xml:space="preserve">, apresentaram queda no acumulado do ano: </w:t>
      </w:r>
      <w:r w:rsidR="009B07BC">
        <w:t>Bahia (-0,1%)</w:t>
      </w:r>
      <w:r w:rsidR="00E569FB">
        <w:t xml:space="preserve">, Rio Grande do Norte (-0,7%), </w:t>
      </w:r>
      <w:r w:rsidR="002278DF">
        <w:t>Sergipe (-0,8%) e Ceará (-3,3%)</w:t>
      </w:r>
      <w:r w:rsidR="0028740F">
        <w:t xml:space="preserve">, como demonstra o </w:t>
      </w:r>
      <w:r w:rsidR="0028740F" w:rsidRPr="0028740F">
        <w:fldChar w:fldCharType="begin"/>
      </w:r>
      <w:r w:rsidR="0028740F" w:rsidRPr="0028740F">
        <w:instrText xml:space="preserve"> REF _Ref37239197 \h </w:instrText>
      </w:r>
      <w:r w:rsidR="0028740F" w:rsidRPr="0028740F">
        <w:instrText xml:space="preserve"> \* MERGEFORMAT </w:instrText>
      </w:r>
      <w:r w:rsidR="0028740F" w:rsidRPr="0028740F">
        <w:fldChar w:fldCharType="separate"/>
      </w:r>
      <w:r w:rsidR="0028740F" w:rsidRPr="0028740F">
        <w:t xml:space="preserve">Gráfico </w:t>
      </w:r>
      <w:r w:rsidR="0028740F" w:rsidRPr="0028740F">
        <w:rPr>
          <w:noProof/>
        </w:rPr>
        <w:t>1</w:t>
      </w:r>
      <w:r w:rsidR="0028740F" w:rsidRPr="0028740F">
        <w:fldChar w:fldCharType="end"/>
      </w:r>
      <w:r w:rsidR="00E75573">
        <w:t>.</w:t>
      </w:r>
    </w:p>
    <w:p w14:paraId="30863733" w14:textId="0B2FF84E" w:rsidR="00E75573" w:rsidRDefault="00E75573" w:rsidP="00462F7B">
      <w:r>
        <w:t xml:space="preserve">Em relação ao varejo ampliado, </w:t>
      </w:r>
      <w:r w:rsidR="00C271A8">
        <w:t>Paraíba (</w:t>
      </w:r>
      <w:r w:rsidR="00BE0AA4">
        <w:t>+7,8%), Espírito Santo (+7,2%) e Alagoas (+3,7%)</w:t>
      </w:r>
      <w:r w:rsidR="00047EA3">
        <w:t xml:space="preserve"> apresentaram crescimento acima da média nacional (</w:t>
      </w:r>
      <w:r w:rsidR="00075C65">
        <w:t>+3,4%)</w:t>
      </w:r>
      <w:r w:rsidR="00AC23D3">
        <w:t xml:space="preserve">, </w:t>
      </w:r>
      <w:r w:rsidR="00BA25F8">
        <w:t>no acumulado do ano</w:t>
      </w:r>
      <w:r w:rsidR="005C1D77">
        <w:t>. Minas Gerais</w:t>
      </w:r>
      <w:r w:rsidR="00CD75F5">
        <w:t xml:space="preserve"> (+2,2%), Pernambuco (+2,1%)</w:t>
      </w:r>
      <w:r w:rsidR="00AA72B8">
        <w:t>, Ceará (+1,1%) e Piauí (+0,1%)</w:t>
      </w:r>
      <w:r w:rsidR="0049625B">
        <w:t xml:space="preserve"> também apresentaram expansão </w:t>
      </w:r>
      <w:r w:rsidR="00EC4F98">
        <w:t xml:space="preserve">no período estudado. </w:t>
      </w:r>
      <w:r w:rsidR="0057727A">
        <w:t xml:space="preserve">Quatro Estados registraram declínio no acumulado entre janeiro e fevereiro, são eles: </w:t>
      </w:r>
      <w:r w:rsidR="005C75AE">
        <w:t>Bahia (-0,7%), Maranhão (-0,8), Sergipe (-1,2%) e Rio Grande do Norte (-1,7%)</w:t>
      </w:r>
      <w:r w:rsidR="0028740F">
        <w:t xml:space="preserve">, como mostra o </w:t>
      </w:r>
      <w:r w:rsidR="0028740F" w:rsidRPr="0028740F">
        <w:fldChar w:fldCharType="begin"/>
      </w:r>
      <w:r w:rsidR="0028740F" w:rsidRPr="0028740F">
        <w:instrText xml:space="preserve"> REF _Ref37239197 \h </w:instrText>
      </w:r>
      <w:r w:rsidR="0028740F" w:rsidRPr="0028740F">
        <w:instrText xml:space="preserve"> \* MERGEFORMAT </w:instrText>
      </w:r>
      <w:r w:rsidR="0028740F" w:rsidRPr="0028740F">
        <w:fldChar w:fldCharType="separate"/>
      </w:r>
      <w:r w:rsidR="0028740F" w:rsidRPr="0028740F">
        <w:t xml:space="preserve">Gráfico </w:t>
      </w:r>
      <w:r w:rsidR="0028740F" w:rsidRPr="0028740F">
        <w:rPr>
          <w:noProof/>
        </w:rPr>
        <w:t>1</w:t>
      </w:r>
      <w:r w:rsidR="0028740F" w:rsidRPr="0028740F">
        <w:fldChar w:fldCharType="end"/>
      </w:r>
      <w:r w:rsidR="005C75AE">
        <w:t>.</w:t>
      </w:r>
    </w:p>
    <w:p w14:paraId="3CD371BA" w14:textId="57B1B5C7" w:rsidR="00177779" w:rsidRDefault="00177779" w:rsidP="00462F7B">
      <w:r>
        <w:t>O IBGE detalha o setor comercial para cinco estados da área de atuação do BNB</w:t>
      </w:r>
      <w:r w:rsidR="00B428AE">
        <w:t>. No Cará</w:t>
      </w:r>
      <w:r w:rsidR="006A6D29">
        <w:t xml:space="preserve">, </w:t>
      </w:r>
      <w:r w:rsidR="003174FD">
        <w:t>o destaque foi para mat</w:t>
      </w:r>
      <w:r w:rsidR="00CD0F6D">
        <w:t xml:space="preserve">erial de construção (+19,7%), </w:t>
      </w:r>
      <w:r w:rsidR="00536A8B">
        <w:t>livros, jornais, revistas e papelaria (</w:t>
      </w:r>
      <w:r w:rsidR="00712DDF">
        <w:t>+13,6%) e Veículos, motocicletas</w:t>
      </w:r>
      <w:r w:rsidR="00344274">
        <w:t xml:space="preserve">, partes e peças (+7,2%). </w:t>
      </w:r>
      <w:r w:rsidR="004719AE">
        <w:t xml:space="preserve">Em Pernambuco, </w:t>
      </w:r>
      <w:r w:rsidR="00535D46">
        <w:t>móveis</w:t>
      </w:r>
      <w:r w:rsidR="00B61414">
        <w:t xml:space="preserve"> e eletrodomésticos (+39,7%), equipamentos e materiais para escritório, informática e comunicação (+13,1)</w:t>
      </w:r>
      <w:r w:rsidR="009C237D">
        <w:t xml:space="preserve"> e outros artigos de uso pessoal e doméstico (+6,0%)</w:t>
      </w:r>
      <w:r w:rsidR="00B21F8B">
        <w:t xml:space="preserve"> apresentaram destacada expansão. </w:t>
      </w:r>
      <w:r w:rsidR="00180449">
        <w:t xml:space="preserve">Na Bahia, </w:t>
      </w:r>
      <w:r w:rsidR="003B1192">
        <w:t>apenas</w:t>
      </w:r>
      <w:r w:rsidR="00BC3016">
        <w:t xml:space="preserve"> combustíveis e lubrificantes (+7,8%) </w:t>
      </w:r>
      <w:r w:rsidR="00FB37BA">
        <w:t>e móveis e eletrodomésticos</w:t>
      </w:r>
      <w:r w:rsidR="00C30D26">
        <w:t xml:space="preserve"> (+5,0%)</w:t>
      </w:r>
      <w:r w:rsidR="00B61414">
        <w:t xml:space="preserve"> </w:t>
      </w:r>
      <w:r w:rsidR="00FB37BA">
        <w:t xml:space="preserve">registraram expressivo crescimento, </w:t>
      </w:r>
      <w:r w:rsidR="00AF2908">
        <w:t xml:space="preserve">outros artigos de uso pessoal e doméstico </w:t>
      </w:r>
      <w:r w:rsidR="00586C9D">
        <w:t xml:space="preserve">(+0,8%) </w:t>
      </w:r>
      <w:r w:rsidR="00AF2908">
        <w:t>e material de construção</w:t>
      </w:r>
      <w:r w:rsidR="00586C9D">
        <w:t xml:space="preserve"> (</w:t>
      </w:r>
      <w:r w:rsidR="00837920">
        <w:t xml:space="preserve">+0,7%) tiveram leve crescimento no acumulado do ano. </w:t>
      </w:r>
      <w:r w:rsidR="00D433A8">
        <w:t xml:space="preserve">Em Minas Gerais, </w:t>
      </w:r>
      <w:r w:rsidR="00314D11">
        <w:t>o resultado</w:t>
      </w:r>
      <w:r w:rsidR="00867FD4">
        <w:t xml:space="preserve"> de maior expressão </w:t>
      </w:r>
      <w:r w:rsidR="00437553">
        <w:t xml:space="preserve">foi em veículos, motocicletas, partes e peças (+12,0%), seguido </w:t>
      </w:r>
      <w:r w:rsidR="00F156EB">
        <w:t>de tecidos vestuário e calçados (+9,9%)</w:t>
      </w:r>
      <w:r w:rsidR="00872F35">
        <w:t xml:space="preserve"> e </w:t>
      </w:r>
      <w:r w:rsidR="0052453E">
        <w:t>a</w:t>
      </w:r>
      <w:r w:rsidR="0052453E" w:rsidRPr="0052453E">
        <w:t>rtigos farmacêuticos, médicos, ortopédicos, de perfumaria e cosméticos</w:t>
      </w:r>
      <w:r w:rsidR="0052453E">
        <w:t xml:space="preserve"> (+9,7%). </w:t>
      </w:r>
      <w:r w:rsidR="00737165">
        <w:t>No Espírito Santo</w:t>
      </w:r>
      <w:r w:rsidR="00DC462B">
        <w:t xml:space="preserve">, sobressaíram-se </w:t>
      </w:r>
      <w:r w:rsidR="006B056D">
        <w:t xml:space="preserve">móveis e eletrodomésticos (+21,7%), </w:t>
      </w:r>
      <w:r w:rsidR="00D94D3B">
        <w:t>tecidos, vestuário e calçados (+13,7%) e materia</w:t>
      </w:r>
      <w:r w:rsidR="00867354">
        <w:t>l de construção (+9,5%)</w:t>
      </w:r>
      <w:r w:rsidR="00637576">
        <w:t xml:space="preserve">. </w:t>
      </w:r>
      <w:r w:rsidR="00C87A37">
        <w:t xml:space="preserve">Os dados para os cinco </w:t>
      </w:r>
      <w:r w:rsidR="0028740F">
        <w:t xml:space="preserve">estados mencionados estão especificados na </w:t>
      </w:r>
      <w:r w:rsidR="0028740F" w:rsidRPr="0028740F">
        <w:fldChar w:fldCharType="begin"/>
      </w:r>
      <w:r w:rsidR="0028740F" w:rsidRPr="0028740F">
        <w:instrText xml:space="preserve"> REF _Ref37234358 \h </w:instrText>
      </w:r>
      <w:r w:rsidR="0028740F" w:rsidRPr="0028740F">
        <w:instrText xml:space="preserve"> \* MERGEFORMAT </w:instrText>
      </w:r>
      <w:r w:rsidR="0028740F" w:rsidRPr="0028740F">
        <w:fldChar w:fldCharType="separate"/>
      </w:r>
      <w:r w:rsidR="0028740F" w:rsidRPr="0028740F">
        <w:t xml:space="preserve">Tabela </w:t>
      </w:r>
      <w:r w:rsidR="0028740F" w:rsidRPr="0028740F">
        <w:rPr>
          <w:noProof/>
        </w:rPr>
        <w:t>1</w:t>
      </w:r>
      <w:r w:rsidR="0028740F" w:rsidRPr="0028740F">
        <w:fldChar w:fldCharType="end"/>
      </w:r>
      <w:r w:rsidR="0028740F">
        <w:t xml:space="preserve">. </w:t>
      </w:r>
    </w:p>
    <w:p w14:paraId="3E1D30C6" w14:textId="77777777" w:rsidR="0028740F" w:rsidRPr="00DB67F5" w:rsidRDefault="0028740F" w:rsidP="00462F7B">
      <w:pPr>
        <w:rPr>
          <w:sz w:val="22"/>
          <w:szCs w:val="22"/>
        </w:rPr>
      </w:pPr>
    </w:p>
    <w:p w14:paraId="78F5B25C" w14:textId="77777777" w:rsidR="00A92DA7" w:rsidRDefault="00A92DA7" w:rsidP="00462F7B"/>
    <w:p w14:paraId="42D61A39" w14:textId="1EC061D2" w:rsidR="009A0404" w:rsidRDefault="00046AE3">
      <w:r>
        <w:rPr>
          <w:b/>
        </w:rPr>
        <w:t>Autores:</w:t>
      </w:r>
      <w:r>
        <w:t xml:space="preserve"> Nicolino Trompieri Neto, Professor da Universidade de Fortaleza -</w:t>
      </w:r>
      <w:r w:rsidR="009C58D1">
        <w:t xml:space="preserve"> </w:t>
      </w:r>
      <w:r>
        <w:t>Unifor. Alysson Inácio de Oliveira e Rafael Queiroz Pinheiro, graduandos em Economia, Universidade de Fortaleza - UNIFOR e estagiários do Núcleo de Pesquisas Econômicas - NUPE.</w:t>
      </w:r>
      <w:r>
        <w:br w:type="page"/>
      </w:r>
    </w:p>
    <w:p w14:paraId="4B4997C1" w14:textId="73CF7EB0" w:rsidR="008B034B" w:rsidRDefault="008B034B" w:rsidP="008B034B">
      <w:pPr>
        <w:pStyle w:val="Legenda"/>
        <w:keepNext/>
      </w:pPr>
      <w:bookmarkStart w:id="2" w:name="_Ref37239197"/>
      <w:r w:rsidRPr="008B034B">
        <w:rPr>
          <w:b/>
          <w:bCs/>
        </w:rPr>
        <w:lastRenderedPageBreak/>
        <w:t xml:space="preserve">Gráfico </w:t>
      </w:r>
      <w:r w:rsidRPr="008B034B">
        <w:rPr>
          <w:b/>
          <w:bCs/>
        </w:rPr>
        <w:fldChar w:fldCharType="begin"/>
      </w:r>
      <w:r w:rsidRPr="008B034B">
        <w:rPr>
          <w:b/>
          <w:bCs/>
        </w:rPr>
        <w:instrText xml:space="preserve"> SEQ Gráfico \* ARABIC </w:instrText>
      </w:r>
      <w:r w:rsidRPr="008B034B">
        <w:rPr>
          <w:b/>
          <w:bCs/>
        </w:rPr>
        <w:fldChar w:fldCharType="separate"/>
      </w:r>
      <w:r w:rsidRPr="008B034B">
        <w:rPr>
          <w:b/>
          <w:bCs/>
          <w:noProof/>
        </w:rPr>
        <w:t>1</w:t>
      </w:r>
      <w:r w:rsidRPr="008B034B">
        <w:rPr>
          <w:b/>
          <w:bCs/>
        </w:rPr>
        <w:fldChar w:fldCharType="end"/>
      </w:r>
      <w:bookmarkEnd w:id="2"/>
      <w:r>
        <w:t xml:space="preserve"> - Variação (%) do volume de vendas do comércio - Brasil e estados selecionados - Acumulado do an</w:t>
      </w:r>
      <w:r w:rsidR="00FD02AD">
        <w:t xml:space="preserve">o </w:t>
      </w:r>
      <w:r w:rsidR="00FD02AD" w:rsidRPr="00FD02AD">
        <w:rPr>
          <w:vertAlign w:val="superscript"/>
        </w:rPr>
        <w:t>(1)</w:t>
      </w:r>
    </w:p>
    <w:p w14:paraId="40E9E35E" w14:textId="28DA41CE" w:rsidR="00FD228E" w:rsidRDefault="004D62B4" w:rsidP="00455BFA">
      <w:pPr>
        <w:spacing w:before="0" w:after="0"/>
      </w:pPr>
      <w:r>
        <w:rPr>
          <w:noProof/>
        </w:rPr>
        <w:drawing>
          <wp:inline distT="0" distB="0" distL="0" distR="0" wp14:anchorId="581B48A3" wp14:editId="4331F06D">
            <wp:extent cx="5375863" cy="2912124"/>
            <wp:effectExtent l="0" t="0" r="15875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F8CBB99-EF14-4A4A-9CF5-FA9184925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D4BD37" w14:textId="15DAEBE1" w:rsidR="00BA140B" w:rsidRPr="00BA140B" w:rsidRDefault="008B034B" w:rsidP="00BA140B">
      <w:pPr>
        <w:pStyle w:val="caption"/>
      </w:pPr>
      <w:r>
        <w:t>Fonte: Elaboração BNB/ETENE, com dados do IBGE. Nota: (1) Variação acumulada de janeiro</w:t>
      </w:r>
      <w:r w:rsidR="00455BFA">
        <w:t>/2020</w:t>
      </w:r>
      <w:r>
        <w:t xml:space="preserve"> a feve</w:t>
      </w:r>
      <w:r w:rsidR="00455BFA">
        <w:t>reiro/2020</w:t>
      </w:r>
    </w:p>
    <w:p w14:paraId="1BD98F5B" w14:textId="077C90C0" w:rsidR="00C02676" w:rsidRDefault="00C02676" w:rsidP="00C02676">
      <w:pPr>
        <w:pStyle w:val="Legenda"/>
        <w:keepNext/>
      </w:pPr>
      <w:bookmarkStart w:id="3" w:name="_Ref37234358"/>
      <w:r w:rsidRPr="00C02676">
        <w:rPr>
          <w:b/>
          <w:bCs/>
        </w:rPr>
        <w:t xml:space="preserve">Tabela </w:t>
      </w:r>
      <w:r w:rsidRPr="00C02676">
        <w:rPr>
          <w:b/>
          <w:bCs/>
        </w:rPr>
        <w:fldChar w:fldCharType="begin"/>
      </w:r>
      <w:r w:rsidRPr="00C02676">
        <w:rPr>
          <w:b/>
          <w:bCs/>
        </w:rPr>
        <w:instrText xml:space="preserve"> SEQ Tabela \* ARABIC </w:instrText>
      </w:r>
      <w:r w:rsidRPr="00C02676">
        <w:rPr>
          <w:b/>
          <w:bCs/>
        </w:rPr>
        <w:fldChar w:fldCharType="separate"/>
      </w:r>
      <w:r w:rsidRPr="00C02676">
        <w:rPr>
          <w:b/>
          <w:bCs/>
          <w:noProof/>
        </w:rPr>
        <w:t>1</w:t>
      </w:r>
      <w:r w:rsidRPr="00C02676">
        <w:rPr>
          <w:b/>
          <w:bCs/>
        </w:rPr>
        <w:fldChar w:fldCharType="end"/>
      </w:r>
      <w:bookmarkEnd w:id="3"/>
      <w:r>
        <w:t xml:space="preserve"> -</w:t>
      </w:r>
      <w:r w:rsidR="0001052C">
        <w:t xml:space="preserve"> </w:t>
      </w:r>
      <w:r w:rsidRPr="003A1134">
        <w:t>Variação (%) do volume de vendas do comércio e atividades - Brasil e Estados selecionados Acumulado em 2019</w:t>
      </w:r>
      <w:r w:rsidR="004C7E51">
        <w:t xml:space="preserve"> </w:t>
      </w:r>
      <w:r w:rsidR="004C7E51" w:rsidRPr="004C7E51">
        <w:rPr>
          <w:vertAlign w:val="superscript"/>
        </w:rPr>
        <w:t>(1)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821"/>
        <w:gridCol w:w="568"/>
        <w:gridCol w:w="582"/>
        <w:gridCol w:w="1043"/>
        <w:gridCol w:w="573"/>
        <w:gridCol w:w="925"/>
        <w:gridCol w:w="992"/>
      </w:tblGrid>
      <w:tr w:rsidR="009A0404" w14:paraId="42D61A43" w14:textId="77777777" w:rsidTr="00F05305">
        <w:trPr>
          <w:cantSplit/>
          <w:tblHeader/>
          <w:jc w:val="center"/>
        </w:trPr>
        <w:tc>
          <w:tcPr>
            <w:tcW w:w="2247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C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Comércio e atividades</w:t>
            </w:r>
          </w:p>
        </w:tc>
        <w:tc>
          <w:tcPr>
            <w:tcW w:w="334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D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Brasil</w:t>
            </w:r>
          </w:p>
        </w:tc>
        <w:tc>
          <w:tcPr>
            <w:tcW w:w="342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E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Ceará</w:t>
            </w:r>
          </w:p>
        </w:tc>
        <w:tc>
          <w:tcPr>
            <w:tcW w:w="613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F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Pernambuco</w:t>
            </w:r>
          </w:p>
        </w:tc>
        <w:tc>
          <w:tcPr>
            <w:tcW w:w="337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0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Bahia</w:t>
            </w:r>
          </w:p>
        </w:tc>
        <w:tc>
          <w:tcPr>
            <w:tcW w:w="544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1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Minas Gerais</w:t>
            </w:r>
          </w:p>
        </w:tc>
        <w:tc>
          <w:tcPr>
            <w:tcW w:w="583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2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Espírito Santo</w:t>
            </w:r>
          </w:p>
        </w:tc>
      </w:tr>
      <w:tr w:rsidR="009A0404" w14:paraId="42D61A4B" w14:textId="77777777" w:rsidTr="00F05305">
        <w:trPr>
          <w:cantSplit/>
          <w:jc w:val="center"/>
        </w:trPr>
        <w:tc>
          <w:tcPr>
            <w:tcW w:w="224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4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Comércio varejista</w:t>
            </w:r>
          </w:p>
        </w:tc>
        <w:tc>
          <w:tcPr>
            <w:tcW w:w="334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5" w14:textId="07743FEF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3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0</w:t>
            </w:r>
          </w:p>
        </w:tc>
        <w:tc>
          <w:tcPr>
            <w:tcW w:w="342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6" w14:textId="5CF08874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-3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3</w:t>
            </w:r>
          </w:p>
        </w:tc>
        <w:tc>
          <w:tcPr>
            <w:tcW w:w="613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7" w14:textId="7A070543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2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9</w:t>
            </w:r>
          </w:p>
        </w:tc>
        <w:tc>
          <w:tcPr>
            <w:tcW w:w="33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8" w14:textId="16B77AA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-0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1</w:t>
            </w:r>
          </w:p>
        </w:tc>
        <w:tc>
          <w:tcPr>
            <w:tcW w:w="544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9" w14:textId="08F03E90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8</w:t>
            </w:r>
          </w:p>
        </w:tc>
        <w:tc>
          <w:tcPr>
            <w:tcW w:w="583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A" w14:textId="33CE7631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5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8</w:t>
            </w:r>
          </w:p>
        </w:tc>
      </w:tr>
      <w:tr w:rsidR="009A0404" w14:paraId="42D61A53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C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Combustíveis e lubrificantes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D" w14:textId="121FB91A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E" w14:textId="15D7164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F" w14:textId="6C8D7D98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0" w14:textId="38C47F7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1" w14:textId="6961E0E3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2" w14:textId="159BAAD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-6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</w:tr>
      <w:tr w:rsidR="009A0404" w14:paraId="42D61A5B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4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Hipermercados, supermercados, produtos alimentícios, bebidas e fumo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5" w14:textId="601972E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6" w14:textId="52D1DA2A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7" w14:textId="644D1F56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-6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8" w14:textId="1ACA8A8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-2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9" w14:textId="0D490A2C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A" w14:textId="1E3FE214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</w:tr>
      <w:tr w:rsidR="009A0404" w14:paraId="42D61A63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C" w14:textId="42B36513" w:rsidR="009A0404" w:rsidRDefault="003F3C91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 xml:space="preserve">    </w:t>
            </w:r>
            <w:r w:rsidR="00046AE3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Hipermercados e supermercados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D" w14:textId="4CBE6186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E" w14:textId="05BC336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F" w14:textId="43237D29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-4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0" w14:textId="70B29FEA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1" w14:textId="17A5108B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2" w14:textId="500FC364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</w:tr>
      <w:tr w:rsidR="009A0404" w14:paraId="42D61A6B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4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Tecidos, vestuário e calçados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5" w14:textId="15CED3D1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6" w14:textId="431C44E8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7" w14:textId="57A4A78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8" w14:textId="5A6C13D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9" w14:textId="45456B7A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A" w14:textId="0B2DE7BF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</w:tr>
      <w:tr w:rsidR="009A0404" w14:paraId="42D61A73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C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Móveis e eletrodomésticos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D" w14:textId="1D7C69C6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E" w14:textId="1A895E8F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-2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F" w14:textId="6CEB8CC3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0" w14:textId="1C36A39C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1" w14:textId="6D7F55AC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2" w14:textId="1BA7475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</w:p>
        </w:tc>
      </w:tr>
      <w:tr w:rsidR="009A0404" w14:paraId="42D61A7B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4" w14:textId="23F91F6B" w:rsidR="009A0404" w:rsidRDefault="003F3C91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 xml:space="preserve">    </w:t>
            </w:r>
            <w:r w:rsidR="00046AE3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Móveis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5" w14:textId="1A470905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6" w14:textId="381BEB0F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-8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7" w14:textId="29676694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8" w14:textId="19EC496F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9" w14:textId="167392C3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A" w14:textId="1769EA7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</w:tr>
      <w:tr w:rsidR="009A0404" w14:paraId="42D61A83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C" w14:textId="3B9B5F3C" w:rsidR="009A0404" w:rsidRDefault="003F3C91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 xml:space="preserve">    </w:t>
            </w:r>
            <w:r w:rsidR="00046AE3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Eletrodomésticos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D" w14:textId="5113B2DA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E" w14:textId="3C1C8A9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F" w14:textId="1AE67AE8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52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0" w14:textId="57B77F81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1" w14:textId="57CC9DA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2" w14:textId="625E5D7A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</w:tr>
      <w:tr w:rsidR="009A0404" w14:paraId="42D61A8B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4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Artigos farmacêuticos, médicos, ortopédicos, de perfumaria e cosméticos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5" w14:textId="6364198F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6" w14:textId="250A397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7" w14:textId="48430A8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8" w14:textId="31C28B1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9" w14:textId="417B1C49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A" w14:textId="2CFBAE7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</w:p>
        </w:tc>
      </w:tr>
      <w:tr w:rsidR="009A0404" w14:paraId="42D61A93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C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Livros, jornais, revistas e papelaria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D" w14:textId="19C79C0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E" w14:textId="7A0D0680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F" w14:textId="29682AB9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-12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0" w14:textId="3D972879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1" w14:textId="59EAE608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2" w14:textId="2636CCD1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</w:p>
        </w:tc>
      </w:tr>
      <w:tr w:rsidR="009A0404" w14:paraId="42D61A9B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4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Equipamentos e materiais para escritório, informática e comunicação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5" w14:textId="2F6B5C35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6" w14:textId="29116FB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-7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7" w14:textId="01D8FEDA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8" w14:textId="5F58ADB5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-7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9" w14:textId="540568B1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A" w14:textId="626113D0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</w:tr>
      <w:tr w:rsidR="009A0404" w14:paraId="42D61AA3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C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Outros artigos de uso pessoal e doméstico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D" w14:textId="1AF9E75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E" w14:textId="7420F3AC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F" w14:textId="091D6B1B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0" w14:textId="242BAAD6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1" w14:textId="1BD9790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2" w14:textId="59716E59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</w:p>
        </w:tc>
      </w:tr>
      <w:tr w:rsidR="009A0404" w14:paraId="42D61AAB" w14:textId="77777777" w:rsidTr="00F05305">
        <w:trPr>
          <w:cantSplit/>
          <w:jc w:val="center"/>
        </w:trPr>
        <w:tc>
          <w:tcPr>
            <w:tcW w:w="224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4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Comércio varejista ampliado</w:t>
            </w:r>
          </w:p>
        </w:tc>
        <w:tc>
          <w:tcPr>
            <w:tcW w:w="33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5" w14:textId="6286116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3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4</w:t>
            </w:r>
          </w:p>
        </w:tc>
        <w:tc>
          <w:tcPr>
            <w:tcW w:w="342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6" w14:textId="2C5F8F83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1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7" w14:textId="5A312160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2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8" w14:textId="37E4451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-0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7</w:t>
            </w:r>
          </w:p>
        </w:tc>
        <w:tc>
          <w:tcPr>
            <w:tcW w:w="54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9" w14:textId="607BDC5C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2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2</w:t>
            </w:r>
          </w:p>
        </w:tc>
        <w:tc>
          <w:tcPr>
            <w:tcW w:w="58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A" w14:textId="3E5CD21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7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2</w:t>
            </w:r>
          </w:p>
        </w:tc>
      </w:tr>
      <w:tr w:rsidR="009A0404" w14:paraId="42D61AB3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C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Veículos, motocicletas, partes e peças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D" w14:textId="2CF2DB0B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E" w14:textId="10B68448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F" w14:textId="4A14247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0" w14:textId="0ACF8564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1" w14:textId="7CBF4E39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12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2" w14:textId="04F00054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</w:tr>
      <w:tr w:rsidR="009A0404" w14:paraId="42D61ABB" w14:textId="77777777" w:rsidTr="00F05305">
        <w:trPr>
          <w:cantSplit/>
          <w:jc w:val="center"/>
        </w:trPr>
        <w:tc>
          <w:tcPr>
            <w:tcW w:w="2247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4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Material de construção</w:t>
            </w:r>
          </w:p>
        </w:tc>
        <w:tc>
          <w:tcPr>
            <w:tcW w:w="334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5" w14:textId="467CF1D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342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6" w14:textId="355B2E9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  <w:tc>
          <w:tcPr>
            <w:tcW w:w="613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7" w14:textId="634C96E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337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8" w14:textId="73C3BBB4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  <w:tc>
          <w:tcPr>
            <w:tcW w:w="544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9" w14:textId="5333775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</w:p>
        </w:tc>
        <w:tc>
          <w:tcPr>
            <w:tcW w:w="583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A" w14:textId="682CD98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</w:tr>
    </w:tbl>
    <w:p w14:paraId="42D61ABC" w14:textId="48DFD40F" w:rsidR="00046AE3" w:rsidRDefault="00FD02AD" w:rsidP="00BA140B">
      <w:pPr>
        <w:pStyle w:val="caption"/>
      </w:pPr>
      <w:r>
        <w:t xml:space="preserve">Fonte: </w:t>
      </w:r>
      <w:r w:rsidR="00607A42">
        <w:t xml:space="preserve">Elaboração BNB/ETENE, com dados do IBGE. Nota (1): Variação acumulada de </w:t>
      </w:r>
      <w:r w:rsidR="00BA140B">
        <w:t>janeiro/2020 a fevereiro/2020</w:t>
      </w:r>
    </w:p>
    <w:sectPr w:rsidR="00046AE3" w:rsidSect="00CC5395">
      <w:headerReference w:type="default" r:id="rId9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B88EA" w14:textId="77777777" w:rsidR="00046AE3" w:rsidRDefault="00046AE3">
      <w:pPr>
        <w:spacing w:before="0" w:after="0" w:line="240" w:lineRule="auto"/>
      </w:pPr>
      <w:r>
        <w:separator/>
      </w:r>
    </w:p>
  </w:endnote>
  <w:endnote w:type="continuationSeparator" w:id="0">
    <w:p w14:paraId="7FA19CD3" w14:textId="77777777" w:rsidR="00046AE3" w:rsidRDefault="00046A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33240" w14:textId="77777777" w:rsidR="00046AE3" w:rsidRDefault="00046AE3">
      <w:r>
        <w:separator/>
      </w:r>
    </w:p>
  </w:footnote>
  <w:footnote w:type="continuationSeparator" w:id="0">
    <w:p w14:paraId="7B9D0A3B" w14:textId="77777777" w:rsidR="00046AE3" w:rsidRDefault="00046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1AC0" w14:textId="77777777" w:rsidR="00CC2608" w:rsidRPr="00E327F7" w:rsidRDefault="00046AE3" w:rsidP="00E327F7">
    <w:pPr>
      <w:pStyle w:val="SemEspaamento"/>
    </w:pPr>
    <w:r w:rsidRPr="00E327F7">
      <w:rPr>
        <w:rStyle w:val="TtulodoLivro"/>
        <w:lang w:eastAsia="en-US"/>
      </w:rPr>
      <w:drawing>
        <wp:inline distT="0" distB="0" distL="0" distR="0" wp14:anchorId="42D61AC3" wp14:editId="42D61AC4">
          <wp:extent cx="5398770" cy="643890"/>
          <wp:effectExtent l="0" t="0" r="0" b="3810"/>
          <wp:docPr id="4" name="Imagem 4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D61AC1" w14:textId="77777777" w:rsidR="00CC2608" w:rsidRPr="00E327F7" w:rsidRDefault="00046AE3" w:rsidP="00E327F7">
    <w:pPr>
      <w:pStyle w:val="SemEspaamento"/>
    </w:pPr>
    <w:r w:rsidRPr="00E327F7">
      <w:t>Ano I - Nº XX - XX.05.2019</w:t>
    </w:r>
  </w:p>
  <w:p w14:paraId="42D61AC2" w14:textId="77777777" w:rsidR="00CC2608" w:rsidRPr="00E327F7" w:rsidRDefault="00046AE3" w:rsidP="00E327F7">
    <w:pPr>
      <w:pStyle w:val="SemEspaamento"/>
    </w:pPr>
    <w:r w:rsidRPr="00E327F7">
      <w:t>ISSN 2594-7338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20B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52C"/>
    <w:rsid w:val="000115C3"/>
    <w:rsid w:val="00011C8B"/>
    <w:rsid w:val="0002083B"/>
    <w:rsid w:val="00046AE3"/>
    <w:rsid w:val="00047EA3"/>
    <w:rsid w:val="0007582C"/>
    <w:rsid w:val="00075C65"/>
    <w:rsid w:val="0009089B"/>
    <w:rsid w:val="000D036C"/>
    <w:rsid w:val="00102D96"/>
    <w:rsid w:val="00136132"/>
    <w:rsid w:val="00177779"/>
    <w:rsid w:val="00180449"/>
    <w:rsid w:val="001870A6"/>
    <w:rsid w:val="001D5E93"/>
    <w:rsid w:val="002278DF"/>
    <w:rsid w:val="00231DDE"/>
    <w:rsid w:val="00232D26"/>
    <w:rsid w:val="00274E6C"/>
    <w:rsid w:val="0028740F"/>
    <w:rsid w:val="002E231D"/>
    <w:rsid w:val="002E55EB"/>
    <w:rsid w:val="003112EB"/>
    <w:rsid w:val="00314D11"/>
    <w:rsid w:val="003174FD"/>
    <w:rsid w:val="003361FC"/>
    <w:rsid w:val="0033638B"/>
    <w:rsid w:val="00344274"/>
    <w:rsid w:val="00390591"/>
    <w:rsid w:val="003B1192"/>
    <w:rsid w:val="003F3C91"/>
    <w:rsid w:val="003F6D07"/>
    <w:rsid w:val="0042289D"/>
    <w:rsid w:val="004322D2"/>
    <w:rsid w:val="00437553"/>
    <w:rsid w:val="00455BFA"/>
    <w:rsid w:val="00462F7B"/>
    <w:rsid w:val="004719AE"/>
    <w:rsid w:val="00472D20"/>
    <w:rsid w:val="00491329"/>
    <w:rsid w:val="0049625B"/>
    <w:rsid w:val="004C7E51"/>
    <w:rsid w:val="004D53A0"/>
    <w:rsid w:val="004D62B4"/>
    <w:rsid w:val="004D7B6A"/>
    <w:rsid w:val="004E29B3"/>
    <w:rsid w:val="0052453E"/>
    <w:rsid w:val="00535D46"/>
    <w:rsid w:val="00536A8B"/>
    <w:rsid w:val="00560B83"/>
    <w:rsid w:val="00574D37"/>
    <w:rsid w:val="0057727A"/>
    <w:rsid w:val="00586C9D"/>
    <w:rsid w:val="00590D07"/>
    <w:rsid w:val="005B2A06"/>
    <w:rsid w:val="005C1D77"/>
    <w:rsid w:val="005C75AE"/>
    <w:rsid w:val="00607A42"/>
    <w:rsid w:val="006220B4"/>
    <w:rsid w:val="00624724"/>
    <w:rsid w:val="00637576"/>
    <w:rsid w:val="00637D72"/>
    <w:rsid w:val="00644634"/>
    <w:rsid w:val="006A36A7"/>
    <w:rsid w:val="006A5EDE"/>
    <w:rsid w:val="006A6D29"/>
    <w:rsid w:val="006B056D"/>
    <w:rsid w:val="006F0700"/>
    <w:rsid w:val="00712DDF"/>
    <w:rsid w:val="007137D9"/>
    <w:rsid w:val="00737165"/>
    <w:rsid w:val="00746E2F"/>
    <w:rsid w:val="0077787A"/>
    <w:rsid w:val="00784D58"/>
    <w:rsid w:val="00794393"/>
    <w:rsid w:val="007A58B1"/>
    <w:rsid w:val="007B66DA"/>
    <w:rsid w:val="007C2F22"/>
    <w:rsid w:val="007E1045"/>
    <w:rsid w:val="00837920"/>
    <w:rsid w:val="00867354"/>
    <w:rsid w:val="00867FD4"/>
    <w:rsid w:val="00872F35"/>
    <w:rsid w:val="00894A47"/>
    <w:rsid w:val="008B034B"/>
    <w:rsid w:val="008D6863"/>
    <w:rsid w:val="008E5D38"/>
    <w:rsid w:val="0095491E"/>
    <w:rsid w:val="009A0404"/>
    <w:rsid w:val="009B07BC"/>
    <w:rsid w:val="009C2149"/>
    <w:rsid w:val="009C237D"/>
    <w:rsid w:val="009C58D1"/>
    <w:rsid w:val="00A4579A"/>
    <w:rsid w:val="00A83E25"/>
    <w:rsid w:val="00A92DA7"/>
    <w:rsid w:val="00AA03D2"/>
    <w:rsid w:val="00AA72B8"/>
    <w:rsid w:val="00AC23D3"/>
    <w:rsid w:val="00AE36BE"/>
    <w:rsid w:val="00AF2908"/>
    <w:rsid w:val="00B21F8B"/>
    <w:rsid w:val="00B25C78"/>
    <w:rsid w:val="00B428AE"/>
    <w:rsid w:val="00B5676D"/>
    <w:rsid w:val="00B61414"/>
    <w:rsid w:val="00B86B75"/>
    <w:rsid w:val="00BA140B"/>
    <w:rsid w:val="00BA25F8"/>
    <w:rsid w:val="00BA3136"/>
    <w:rsid w:val="00BB360F"/>
    <w:rsid w:val="00BC3016"/>
    <w:rsid w:val="00BC48D5"/>
    <w:rsid w:val="00BE0AA4"/>
    <w:rsid w:val="00BE779E"/>
    <w:rsid w:val="00C02676"/>
    <w:rsid w:val="00C13D75"/>
    <w:rsid w:val="00C271A8"/>
    <w:rsid w:val="00C30D26"/>
    <w:rsid w:val="00C36279"/>
    <w:rsid w:val="00C40F53"/>
    <w:rsid w:val="00C87A37"/>
    <w:rsid w:val="00CA54D4"/>
    <w:rsid w:val="00CD0F6D"/>
    <w:rsid w:val="00CD75F5"/>
    <w:rsid w:val="00CE0497"/>
    <w:rsid w:val="00CE300A"/>
    <w:rsid w:val="00D433A8"/>
    <w:rsid w:val="00D510BD"/>
    <w:rsid w:val="00D94D3B"/>
    <w:rsid w:val="00DB67F5"/>
    <w:rsid w:val="00DC020F"/>
    <w:rsid w:val="00DC462B"/>
    <w:rsid w:val="00DE4495"/>
    <w:rsid w:val="00E315A3"/>
    <w:rsid w:val="00E3252A"/>
    <w:rsid w:val="00E569FB"/>
    <w:rsid w:val="00E75573"/>
    <w:rsid w:val="00EC4F98"/>
    <w:rsid w:val="00ED38BA"/>
    <w:rsid w:val="00ED4613"/>
    <w:rsid w:val="00F05305"/>
    <w:rsid w:val="00F156EB"/>
    <w:rsid w:val="00F772BE"/>
    <w:rsid w:val="00FB37BA"/>
    <w:rsid w:val="00FD02AD"/>
    <w:rsid w:val="00FD22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1A32"/>
  <w15:docId w15:val="{E60E6849-98DD-4A07-84AB-DACB7B01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F7"/>
    <w:pPr>
      <w:spacing w:before="120" w:after="120" w:line="264" w:lineRule="auto"/>
      <w:ind w:left="0" w:firstLine="0"/>
    </w:pPr>
    <w:rPr>
      <w:rFonts w:asciiTheme="minorHAnsi" w:hAnsiTheme="minorHAnsi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327F7"/>
    <w:pPr>
      <w:spacing w:after="200" w:line="276" w:lineRule="auto"/>
      <w:jc w:val="center"/>
      <w:outlineLvl w:val="0"/>
    </w:pPr>
    <w:rPr>
      <w:b/>
      <w:bCs/>
      <w:sz w:val="24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7F7"/>
    <w:rPr>
      <w:rFonts w:asciiTheme="minorHAnsi" w:hAnsi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line="240" w:lineRule="auto"/>
      <w:ind w:left="2268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next w:val="Normal"/>
    <w:uiPriority w:val="35"/>
    <w:unhideWhenUsed/>
    <w:qFormat/>
    <w:rsid w:val="00C02676"/>
    <w:pPr>
      <w:spacing w:before="100" w:beforeAutospacing="1" w:after="120" w:line="240" w:lineRule="auto"/>
      <w:ind w:left="0" w:firstLine="0"/>
    </w:pPr>
    <w:rPr>
      <w:rFonts w:asciiTheme="majorHAnsi" w:hAnsiTheme="majorHAnsi" w:cstheme="majorHAns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TtulodoLivro">
    <w:name w:val="Book Title"/>
    <w:uiPriority w:val="33"/>
    <w:qFormat/>
    <w:rsid w:val="007C25D0"/>
    <w:rPr>
      <w:noProof/>
      <w:lang w:eastAsia="pt-BR"/>
    </w:rPr>
  </w:style>
  <w:style w:type="paragraph" w:styleId="SemEspaamento">
    <w:name w:val="No Spacing"/>
    <w:basedOn w:val="Cabealho"/>
    <w:uiPriority w:val="1"/>
    <w:qFormat/>
    <w:rsid w:val="00E327F7"/>
    <w:pPr>
      <w:spacing w:before="0" w:after="0"/>
      <w:jc w:val="right"/>
    </w:pPr>
  </w:style>
  <w:style w:type="paragraph" w:customStyle="1" w:styleId="TableCaption">
    <w:name w:val="Table Caption"/>
    <w:qFormat/>
  </w:style>
  <w:style w:type="paragraph" w:customStyle="1" w:styleId="caption">
    <w:name w:val="caption"/>
    <w:next w:val="Normal"/>
    <w:link w:val="captionChar"/>
    <w:qFormat/>
    <w:rsid w:val="00455BFA"/>
    <w:pPr>
      <w:spacing w:after="100" w:afterAutospacing="1" w:line="240" w:lineRule="auto"/>
      <w:ind w:left="0" w:firstLine="0"/>
      <w:jc w:val="left"/>
    </w:pPr>
    <w:rPr>
      <w:rFonts w:asciiTheme="minorHAnsi" w:hAnsiTheme="minorHAnsi"/>
      <w:sz w:val="18"/>
      <w:szCs w:val="20"/>
    </w:rPr>
  </w:style>
  <w:style w:type="character" w:customStyle="1" w:styleId="captionChar">
    <w:name w:val="caption Char"/>
    <w:basedOn w:val="Fontepargpadro"/>
    <w:link w:val="caption"/>
    <w:rsid w:val="00455BFA"/>
    <w:rPr>
      <w:rFonts w:asciiTheme="minorHAnsi" w:hAnsiTheme="minorHAnsi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548da2118d25344/Alysson/Unifor/Monitoria/TPE/Elabora&#231;&#227;o%20dos%20Boletins/PMC/boletins_feitos/16%20-%20Abril_2020/Di&#225;rio_Econ&#244;mico_ETENE_Com&#233;rcio_Fevereiro_20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[Diário_Econômico_ETENE_Comércio_Fevereiro_2020.xlsx]Tabela_Gráfico!$I$4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[Diário_Econômico_ETENE_Comércio_Fevereiro_2020.xlsx]Tabela_Gráfico!$H$5:$H$16</c:f>
              <c:strCache>
                <c:ptCount val="12"/>
                <c:pt idx="0">
                  <c:v>Paraíba</c:v>
                </c:pt>
                <c:pt idx="1">
                  <c:v>Espírito Santo</c:v>
                </c:pt>
                <c:pt idx="2">
                  <c:v>Brasil</c:v>
                </c:pt>
                <c:pt idx="3">
                  <c:v>Pernambuco</c:v>
                </c:pt>
                <c:pt idx="4">
                  <c:v>Piauí</c:v>
                </c:pt>
                <c:pt idx="5">
                  <c:v>Maranhão</c:v>
                </c:pt>
                <c:pt idx="6">
                  <c:v>Alagoas</c:v>
                </c:pt>
                <c:pt idx="7">
                  <c:v>Minas Gerais</c:v>
                </c:pt>
                <c:pt idx="8">
                  <c:v>Bahia</c:v>
                </c:pt>
                <c:pt idx="9">
                  <c:v>Rio Grande do Norte</c:v>
                </c:pt>
                <c:pt idx="10">
                  <c:v>Sergipe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[Diário_Econômico_ETENE_Comércio_Fevereiro_2020.xlsx]Tabela_Gráfico!$I$5:$I$16</c:f>
              <c:numCache>
                <c:formatCode>0.0</c:formatCode>
                <c:ptCount val="12"/>
                <c:pt idx="0">
                  <c:v>9.8000000000000007</c:v>
                </c:pt>
                <c:pt idx="1">
                  <c:v>5.8</c:v>
                </c:pt>
                <c:pt idx="2">
                  <c:v>3</c:v>
                </c:pt>
                <c:pt idx="3">
                  <c:v>2.9</c:v>
                </c:pt>
                <c:pt idx="4">
                  <c:v>2.9</c:v>
                </c:pt>
                <c:pt idx="5">
                  <c:v>2.6</c:v>
                </c:pt>
                <c:pt idx="6">
                  <c:v>1.9</c:v>
                </c:pt>
                <c:pt idx="7">
                  <c:v>0.8</c:v>
                </c:pt>
                <c:pt idx="8">
                  <c:v>-0.1</c:v>
                </c:pt>
                <c:pt idx="9">
                  <c:v>-0.7</c:v>
                </c:pt>
                <c:pt idx="10">
                  <c:v>-0.8</c:v>
                </c:pt>
                <c:pt idx="11">
                  <c:v>-3.3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53-4121-B8FD-7E07D14BC830}"/>
            </c:ext>
          </c:extLst>
        </c:ser>
        <c:ser>
          <c:idx val="1"/>
          <c:order val="1"/>
          <c:tx>
            <c:strRef>
              <c:f>[Diário_Econômico_ETENE_Comércio_Fevereiro_2020.xlsx]Tabela_Gráfico!$J$4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rgbClr val="A6193C"/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strRef>
              <c:f>[Diário_Econômico_ETENE_Comércio_Fevereiro_2020.xlsx]Tabela_Gráfico!$H$5:$H$16</c:f>
              <c:strCache>
                <c:ptCount val="12"/>
                <c:pt idx="0">
                  <c:v>Paraíba</c:v>
                </c:pt>
                <c:pt idx="1">
                  <c:v>Espírito Santo</c:v>
                </c:pt>
                <c:pt idx="2">
                  <c:v>Brasil</c:v>
                </c:pt>
                <c:pt idx="3">
                  <c:v>Pernambuco</c:v>
                </c:pt>
                <c:pt idx="4">
                  <c:v>Piauí</c:v>
                </c:pt>
                <c:pt idx="5">
                  <c:v>Maranhão</c:v>
                </c:pt>
                <c:pt idx="6">
                  <c:v>Alagoas</c:v>
                </c:pt>
                <c:pt idx="7">
                  <c:v>Minas Gerais</c:v>
                </c:pt>
                <c:pt idx="8">
                  <c:v>Bahia</c:v>
                </c:pt>
                <c:pt idx="9">
                  <c:v>Rio Grande do Norte</c:v>
                </c:pt>
                <c:pt idx="10">
                  <c:v>Sergipe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[Diário_Econômico_ETENE_Comércio_Fevereiro_2020.xlsx]Tabela_Gráfico!$J$5:$J$16</c:f>
              <c:numCache>
                <c:formatCode>0.0</c:formatCode>
                <c:ptCount val="12"/>
                <c:pt idx="0">
                  <c:v>7.8</c:v>
                </c:pt>
                <c:pt idx="1">
                  <c:v>7.2</c:v>
                </c:pt>
                <c:pt idx="2">
                  <c:v>3.4</c:v>
                </c:pt>
                <c:pt idx="3">
                  <c:v>2.1</c:v>
                </c:pt>
                <c:pt idx="4">
                  <c:v>0.1</c:v>
                </c:pt>
                <c:pt idx="5">
                  <c:v>-0.8</c:v>
                </c:pt>
                <c:pt idx="6">
                  <c:v>3.7</c:v>
                </c:pt>
                <c:pt idx="7">
                  <c:v>2.2000000000000002</c:v>
                </c:pt>
                <c:pt idx="8">
                  <c:v>-0.7</c:v>
                </c:pt>
                <c:pt idx="9">
                  <c:v>-1.7</c:v>
                </c:pt>
                <c:pt idx="10">
                  <c:v>-1.2</c:v>
                </c:pt>
                <c:pt idx="11">
                  <c:v>1.1000000000000001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53-4121-B8FD-7E07D14BC8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4"/>
        <c:overlap val="-11"/>
        <c:axId val="41804544"/>
        <c:axId val="41806080"/>
      </c:barChart>
      <c:catAx>
        <c:axId val="4180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 sz="600"/>
            </a:pPr>
            <a:endParaRPr lang="pt-BR"/>
          </a:p>
        </c:txPr>
        <c:crossAx val="41806080"/>
        <c:crosses val="autoZero"/>
        <c:auto val="1"/>
        <c:lblAlgn val="ctr"/>
        <c:lblOffset val="100"/>
        <c:noMultiLvlLbl val="0"/>
      </c:catAx>
      <c:valAx>
        <c:axId val="41806080"/>
        <c:scaling>
          <c:orientation val="minMax"/>
          <c:max val="11"/>
          <c:min val="-5"/>
        </c:scaling>
        <c:delete val="1"/>
        <c:axPos val="l"/>
        <c:numFmt formatCode="0.0" sourceLinked="1"/>
        <c:majorTickMark val="out"/>
        <c:minorTickMark val="none"/>
        <c:tickLblPos val="nextTo"/>
        <c:crossAx val="41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 sz="800"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26BF2E44-E23B-4B1E-9E89-AE446342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849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Nicolico Trompieri Neto;Alysson Inácio de Oliveira</dc:creator>
  <cp:keywords/>
  <cp:lastModifiedBy>Alysson Oliveira</cp:lastModifiedBy>
  <cp:revision>138</cp:revision>
  <dcterms:created xsi:type="dcterms:W3CDTF">2020-04-07T15:46:00Z</dcterms:created>
  <dcterms:modified xsi:type="dcterms:W3CDTF">2020-04-08T15:00:00Z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margin">
    <vt:lpwstr>right = 3cm, top = 2.5cm, left = 3cm, bottom = 2.5cm</vt:lpwstr>
  </property>
  <property fmtid="{D5CDD505-2E9C-101B-9397-08002B2CF9AE}" pid="4" name="output">
    <vt:lpwstr/>
  </property>
</Properties>
</file>