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64679EAA" w:rsidR="009A0404" w:rsidRDefault="00F61341">
      <w:pPr>
        <w:pStyle w:val="Ttulo1"/>
      </w:pPr>
      <w:r>
        <w:t>Comércio varejista no primeiro semestre de 2020</w:t>
      </w:r>
    </w:p>
    <w:p w14:paraId="6D1B4096" w14:textId="2FBA46D9" w:rsidR="00865974" w:rsidRDefault="00865974" w:rsidP="00462F7B">
      <w:r w:rsidRPr="00865974">
        <w:t xml:space="preserve">O comércio varejista restrito nacional cresceu 8% em junho de 2020, </w:t>
      </w:r>
      <w:r w:rsidR="00F61341">
        <w:t>na comparação</w:t>
      </w:r>
      <w:r w:rsidR="00D36489">
        <w:t xml:space="preserve"> com o mês imediatamente</w:t>
      </w:r>
      <w:r w:rsidRPr="00865974">
        <w:t xml:space="preserve"> anterior</w:t>
      </w:r>
      <w:r w:rsidR="00D36489">
        <w:t>,</w:t>
      </w:r>
      <w:r w:rsidR="00B40372">
        <w:t xml:space="preserve"> na análise da série dessazonalizada</w:t>
      </w:r>
      <w:r w:rsidRPr="00865974">
        <w:t xml:space="preserve">. </w:t>
      </w:r>
      <w:r w:rsidR="001D3277">
        <w:t>N</w:t>
      </w:r>
      <w:r w:rsidRPr="00865974">
        <w:t xml:space="preserve">o acumulado </w:t>
      </w:r>
      <w:r w:rsidR="0036673D">
        <w:t>do primeiro semestre de 2020,</w:t>
      </w:r>
      <w:r w:rsidRPr="00865974">
        <w:t xml:space="preserve"> </w:t>
      </w:r>
      <w:r w:rsidR="00652DFC">
        <w:t>observa-se</w:t>
      </w:r>
      <w:r w:rsidRPr="00865974">
        <w:t xml:space="preserve"> retração de -3,1%. </w:t>
      </w:r>
      <w:r w:rsidR="0098311F">
        <w:t>Contudo</w:t>
      </w:r>
      <w:r w:rsidRPr="00865974">
        <w:t xml:space="preserve">, </w:t>
      </w:r>
      <w:r w:rsidR="0098311F">
        <w:t>a</w:t>
      </w:r>
      <w:r w:rsidRPr="00865974">
        <w:t xml:space="preserve">pesar da crise decorrente do COVID-19, o mês de junho </w:t>
      </w:r>
      <w:r w:rsidR="00EB17E3">
        <w:t>apresentou</w:t>
      </w:r>
      <w:r w:rsidR="00AF3CB0">
        <w:t xml:space="preserve"> leve</w:t>
      </w:r>
      <w:r w:rsidRPr="00865974">
        <w:t xml:space="preserve"> crescimento de 0,5% </w:t>
      </w:r>
      <w:r w:rsidR="001C5989">
        <w:t xml:space="preserve">em comparação com o mesmo mês </w:t>
      </w:r>
      <w:r w:rsidR="00361B81">
        <w:t>do ano anterior</w:t>
      </w:r>
      <w:r w:rsidRPr="00865974">
        <w:t xml:space="preserve">, </w:t>
      </w:r>
      <w:r w:rsidR="00CA08ED">
        <w:t>como pode ser visto na</w:t>
      </w:r>
      <w:r w:rsidR="00787E02">
        <w:t xml:space="preserve"> Tabela</w:t>
      </w:r>
      <w:r w:rsidR="00810812">
        <w:t xml:space="preserve"> </w:t>
      </w:r>
      <w:r w:rsidR="00787E02">
        <w:t>1.</w:t>
      </w:r>
      <w:r w:rsidRPr="00865974">
        <w:t xml:space="preserve"> </w:t>
      </w:r>
      <w:r w:rsidR="00787E02">
        <w:t xml:space="preserve">No acumulado dos últimos 12 meses, </w:t>
      </w:r>
      <w:r w:rsidR="004772EE">
        <w:t xml:space="preserve">registra-se </w:t>
      </w:r>
      <w:r w:rsidRPr="00865974">
        <w:t>discreta expansão de 0,1%.</w:t>
      </w:r>
    </w:p>
    <w:p w14:paraId="548AA830" w14:textId="02B3A3FA" w:rsidR="00865974" w:rsidRDefault="00865974" w:rsidP="00462F7B">
      <w:r w:rsidRPr="00865974">
        <w:t>Em relação ao varejo ampliado, que inclui a comercialização de veículos e material de construção,</w:t>
      </w:r>
      <w:r w:rsidR="00CD2CF8">
        <w:t xml:space="preserve"> observa-se</w:t>
      </w:r>
      <w:r w:rsidRPr="00865974">
        <w:t xml:space="preserve"> crescimento</w:t>
      </w:r>
      <w:r w:rsidR="004772EE">
        <w:t xml:space="preserve"> expressivo</w:t>
      </w:r>
      <w:r w:rsidRPr="00865974">
        <w:t xml:space="preserve"> de 12,6% em junho de 2020</w:t>
      </w:r>
      <w:r w:rsidR="00A91452">
        <w:t xml:space="preserve">, </w:t>
      </w:r>
      <w:r w:rsidR="00A572EE">
        <w:t>na</w:t>
      </w:r>
      <w:r w:rsidR="00A91452">
        <w:t xml:space="preserve"> comparação </w:t>
      </w:r>
      <w:r w:rsidR="00BB04F8">
        <w:t>com</w:t>
      </w:r>
      <w:r w:rsidR="008C29C4">
        <w:t xml:space="preserve"> o mês de</w:t>
      </w:r>
      <w:r w:rsidR="00BB04F8">
        <w:t xml:space="preserve"> </w:t>
      </w:r>
      <w:r w:rsidR="00CA3C1C">
        <w:t>maio do mesmo ano</w:t>
      </w:r>
      <w:r w:rsidRPr="00865974">
        <w:t>. Por outro lado, na comparação do mês de junho de 2020</w:t>
      </w:r>
      <w:r w:rsidR="00BC2B63">
        <w:t xml:space="preserve"> com o mesmo mês do ano anteri</w:t>
      </w:r>
      <w:r w:rsidR="004D2A18">
        <w:t>or</w:t>
      </w:r>
      <w:r w:rsidRPr="00865974">
        <w:t xml:space="preserve">, </w:t>
      </w:r>
      <w:r w:rsidR="004D2A18">
        <w:t xml:space="preserve">registrou-se </w:t>
      </w:r>
      <w:r w:rsidRPr="00865974">
        <w:t>queda de -0,9%.  Além disso, no acumulado d</w:t>
      </w:r>
      <w:r w:rsidR="00493CB6">
        <w:t>o primeiro semestre de</w:t>
      </w:r>
      <w:r w:rsidRPr="00865974">
        <w:t xml:space="preserve"> 2020</w:t>
      </w:r>
      <w:r w:rsidR="00493CB6">
        <w:t xml:space="preserve">, o varejo ampliado apresentou declínio de </w:t>
      </w:r>
      <w:r w:rsidR="00493CB6" w:rsidRPr="00865974">
        <w:t>-7,4%</w:t>
      </w:r>
      <w:r w:rsidRPr="00865974">
        <w:t xml:space="preserve"> e </w:t>
      </w:r>
      <w:r w:rsidR="00493CB6">
        <w:t xml:space="preserve">de </w:t>
      </w:r>
      <w:r w:rsidRPr="00865974">
        <w:t>-1,3% no acumulado dos últimos 12 meses.</w:t>
      </w:r>
    </w:p>
    <w:p w14:paraId="40A65ED3" w14:textId="5600C8BE" w:rsidR="00634D73" w:rsidRDefault="00DA16D5" w:rsidP="00462F7B">
      <w:r>
        <w:t>Dentre os dez grupos de atividades</w:t>
      </w:r>
      <w:r w:rsidR="00110BF0">
        <w:t xml:space="preserve"> pesquisados para o Brasil, </w:t>
      </w:r>
      <w:r w:rsidR="005133AB">
        <w:t xml:space="preserve">apenas dois registraram crescimento no acumulado do primeiro semestre de 2020: </w:t>
      </w:r>
      <w:r w:rsidR="005133AB" w:rsidRPr="005133AB">
        <w:t>Hipermercados, supermercados, produtos alimentícios, bebidas e fumo</w:t>
      </w:r>
      <w:r w:rsidR="005133AB">
        <w:t xml:space="preserve"> (+5,4%) e </w:t>
      </w:r>
      <w:r w:rsidR="00D35502">
        <w:t xml:space="preserve"> </w:t>
      </w:r>
      <w:r w:rsidR="00884DCB" w:rsidRPr="00884DCB">
        <w:t>Artigos farmacêuticos, médicos, ortopédicos, de perfumaria e cosméticos</w:t>
      </w:r>
      <w:r w:rsidR="00884DCB">
        <w:t xml:space="preserve"> (+5,3%). As demais atividades apresentaram declínio, sendo as</w:t>
      </w:r>
      <w:r w:rsidR="00E06223">
        <w:t xml:space="preserve"> mais impactadas: </w:t>
      </w:r>
      <w:r w:rsidR="00E06223" w:rsidRPr="00E06223">
        <w:t>Tecidos, vestuário e calçados</w:t>
      </w:r>
      <w:r w:rsidR="00E06223">
        <w:t xml:space="preserve"> (-38,9%), </w:t>
      </w:r>
      <w:r w:rsidR="003D0491" w:rsidRPr="003D0491">
        <w:t>Livros, jornais, revistas e papelaria</w:t>
      </w:r>
      <w:r w:rsidR="003D0491">
        <w:t xml:space="preserve"> (-28,7%), </w:t>
      </w:r>
      <w:r w:rsidR="003D0491" w:rsidRPr="003D0491">
        <w:t>Equipamentos e materiais para escritório,</w:t>
      </w:r>
      <w:r w:rsidR="007414D7">
        <w:t xml:space="preserve"> </w:t>
      </w:r>
      <w:r w:rsidR="007414D7" w:rsidRPr="007414D7">
        <w:t>Veículos, motocicletas, partes e peças</w:t>
      </w:r>
      <w:r w:rsidR="007414D7">
        <w:t xml:space="preserve"> (-21,8%),</w:t>
      </w:r>
      <w:r w:rsidR="003D0491" w:rsidRPr="003D0491">
        <w:t xml:space="preserve"> informática e comunicação</w:t>
      </w:r>
      <w:r w:rsidR="003D0491">
        <w:t xml:space="preserve"> (-22,9%) e </w:t>
      </w:r>
      <w:r w:rsidR="000D6F21" w:rsidRPr="000D6F21">
        <w:t>Combustíveis e lubrificantes</w:t>
      </w:r>
      <w:r w:rsidR="000D6F21">
        <w:t xml:space="preserve"> (-12,4%)</w:t>
      </w:r>
      <w:r w:rsidR="007414D7">
        <w:t>, conforme a Tabela 1</w:t>
      </w:r>
      <w:r w:rsidR="000D6F21">
        <w:t>.</w:t>
      </w:r>
    </w:p>
    <w:p w14:paraId="4F2897DE" w14:textId="413FDE50" w:rsidR="00865974" w:rsidRDefault="00865974" w:rsidP="00462F7B">
      <w:r w:rsidRPr="00865974">
        <w:t>Quanto ao comportamento do varejo restrito nos Estados pertencentes à área de atuação do Banco do Nordeste (BNB), no acumulado d</w:t>
      </w:r>
      <w:r w:rsidR="00946BB3">
        <w:t xml:space="preserve">o primeiro semestre </w:t>
      </w:r>
      <w:r w:rsidRPr="00865974">
        <w:t>de 2020, nenhum dos Estados apresentou crescimento. Espirito Santo (-1,5</w:t>
      </w:r>
      <w:r w:rsidR="00D82FBF">
        <w:t>%</w:t>
      </w:r>
      <w:r w:rsidRPr="00865974">
        <w:t>), Paraíba (-1,8%), Minas Gerais (-2,2%) e Maranhão (-3,0%) obtiveram uma menor queda em comparação com a média do Brasil (-3,1%), enquanto os demais Estados obtiveram declínios significativos: Ceará (-16,3%), Bahia (-11,3%), Alagoas (-10,2%), Sergipe (-10,0%), Rio Grande do Norte (-8,7%), Pernambuco (-7,8%), Piauí (-4,7%), conforme Gráfico 1.Com relação ao varejo ampliado, quatro Estados apresentaram quedas inferiores ao Brasil (-7,4%): Minas Gerais (-3,5%), Espírito Santo (-4,2%), Paraíba (-6,5%), Maranhão (-7,3%). As demais Unidades Federativas apresentaram retrações mais acentuadas: Ceará (-15,8%), Bahia (-14,9%), Piauí (-13,7%), Sergipe (-12,5%), Pernambuco (-11,3%), Rio Grande do Norte (-11,0%), e Alagoas (-9,6%), como mostra o Gráfico 1.</w:t>
      </w:r>
    </w:p>
    <w:p w14:paraId="2556EF46" w14:textId="6F795FA5" w:rsidR="00986375" w:rsidRDefault="008A1F03" w:rsidP="00462F7B">
      <w:r>
        <w:t xml:space="preserve">O IBGE detalha o setor comercial para cinco Estados pertencentes à área de atuação do BNB, como pode ser visto na Tabela 1. </w:t>
      </w:r>
      <w:r w:rsidR="00F13817">
        <w:t xml:space="preserve">No acumulado do primeiro semestre de 2020, analisando-se os dez grupos de atividades </w:t>
      </w:r>
      <w:r w:rsidR="00256445">
        <w:t xml:space="preserve">para os estados, </w:t>
      </w:r>
      <w:r w:rsidR="0050256E">
        <w:t xml:space="preserve">no Ceará, apenas </w:t>
      </w:r>
      <w:r w:rsidR="0090549B" w:rsidRPr="0090549B">
        <w:t>Hipermercados, supermercados, produtos alimentícios, bebidas e fumo</w:t>
      </w:r>
      <w:r w:rsidR="0090549B">
        <w:t xml:space="preserve"> (+0,1%) apresentou leve crescimento. </w:t>
      </w:r>
      <w:r w:rsidR="00956DA5">
        <w:t>Nas demais atividades,</w:t>
      </w:r>
      <w:r w:rsidR="00EF70C2">
        <w:t xml:space="preserve"> destaca-se</w:t>
      </w:r>
      <w:r w:rsidR="00956DA5">
        <w:t xml:space="preserve"> </w:t>
      </w:r>
      <w:r w:rsidR="008B6F2D">
        <w:t>os piores resultados</w:t>
      </w:r>
      <w:r w:rsidR="006A6F42">
        <w:t xml:space="preserve"> nas atividades de </w:t>
      </w:r>
      <w:r w:rsidR="006A6F42" w:rsidRPr="006A6F42">
        <w:t>Tecidos, vestuário e calçados</w:t>
      </w:r>
      <w:r w:rsidR="006A6F42">
        <w:t xml:space="preserve"> (-48,3%) e </w:t>
      </w:r>
      <w:r w:rsidR="008B6F2D" w:rsidRPr="008B6F2D">
        <w:t>Móveis e eletrodomésticos</w:t>
      </w:r>
      <w:r w:rsidR="008B6F2D">
        <w:t xml:space="preserve"> (-39,1%). Na Bahia, </w:t>
      </w:r>
      <w:r w:rsidR="00E80965">
        <w:t xml:space="preserve">apenas </w:t>
      </w:r>
      <w:r w:rsidR="00E80965" w:rsidRPr="00E80965">
        <w:t>Material de construção</w:t>
      </w:r>
      <w:r w:rsidR="00E80965">
        <w:t xml:space="preserve"> (+0,7%) </w:t>
      </w:r>
      <w:r w:rsidR="00167C42">
        <w:t xml:space="preserve">registrou leve crescimento, em contrapartida </w:t>
      </w:r>
      <w:r w:rsidR="00B639C6" w:rsidRPr="00B639C6">
        <w:t>Tecidos, vestuário e calçados</w:t>
      </w:r>
      <w:r w:rsidR="00B639C6">
        <w:t xml:space="preserve"> (-47,5%) e </w:t>
      </w:r>
      <w:r w:rsidR="00B639C6" w:rsidRPr="00B639C6">
        <w:t>Livros, jornais, revistas e papelaria</w:t>
      </w:r>
      <w:r w:rsidR="00B639C6">
        <w:t xml:space="preserve"> (-39,9%) </w:t>
      </w:r>
      <w:r w:rsidR="000311A6">
        <w:t xml:space="preserve">obtiveram os piores resultados. </w:t>
      </w:r>
      <w:r w:rsidR="002D7799">
        <w:t xml:space="preserve">Em Pernambuco, </w:t>
      </w:r>
      <w:r w:rsidR="002D7799" w:rsidRPr="002D7799">
        <w:t>Móveis e eletrodomésticos</w:t>
      </w:r>
      <w:r w:rsidR="002D7799">
        <w:t xml:space="preserve"> (+28,1%) apresentaram expressiva </w:t>
      </w:r>
      <w:r w:rsidR="003003D7">
        <w:t xml:space="preserve">expansão, acompanhada de </w:t>
      </w:r>
      <w:r w:rsidR="003003D7" w:rsidRPr="003003D7">
        <w:t>Artigos farmacêuticos, médicos, ortopédicos, de perfumaria e cosméticos</w:t>
      </w:r>
      <w:r w:rsidR="003003D7">
        <w:t xml:space="preserve"> (+2,5%)</w:t>
      </w:r>
      <w:r w:rsidR="00283A9B">
        <w:t xml:space="preserve">. </w:t>
      </w:r>
      <w:r w:rsidR="0086306A">
        <w:t xml:space="preserve">As atividades que apresentaram </w:t>
      </w:r>
      <w:r w:rsidR="00C17D67">
        <w:t xml:space="preserve">expressivo </w:t>
      </w:r>
      <w:r w:rsidR="0086306A">
        <w:t xml:space="preserve">crescimento </w:t>
      </w:r>
      <w:r w:rsidR="00AA20A1">
        <w:t>nos estados de Minas Gerais e Espírito Santo foram</w:t>
      </w:r>
      <w:r w:rsidR="00C17D67">
        <w:t>:</w:t>
      </w:r>
      <w:r w:rsidR="00AA20A1">
        <w:t xml:space="preserve"> </w:t>
      </w:r>
      <w:r w:rsidR="00AA20A1" w:rsidRPr="00AA20A1">
        <w:t>Material de construção</w:t>
      </w:r>
      <w:r w:rsidR="00AA20A1">
        <w:t xml:space="preserve"> (27,1%) e </w:t>
      </w:r>
      <w:r w:rsidR="004322D2">
        <w:t xml:space="preserve"> </w:t>
      </w:r>
      <w:r w:rsidR="00C17D67" w:rsidRPr="00C17D67">
        <w:t>Artigos farmacêuticos, médicos, ortopédicos, de perfumaria e cosméticos</w:t>
      </w:r>
      <w:r w:rsidR="00C17D67">
        <w:t xml:space="preserve"> (+5,3%), respectivamente, conforme a Tabela 1. </w:t>
      </w:r>
    </w:p>
    <w:p w14:paraId="42D61A39" w14:textId="0EA25A41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 xml:space="preserve">Unifor. </w:t>
      </w:r>
      <w:r w:rsidR="00DB1A79">
        <w:t xml:space="preserve">Alysson Inácio de Oliveira, </w:t>
      </w:r>
      <w:r w:rsidR="00A57E5D" w:rsidRPr="00A57E5D">
        <w:t>Halina Lima Batista de Sousa</w:t>
      </w:r>
      <w:r w:rsidR="001D3277">
        <w:t xml:space="preserve"> e</w:t>
      </w:r>
      <w:r w:rsidR="00A57E5D">
        <w:t xml:space="preserve"> </w:t>
      </w:r>
      <w:r w:rsidR="00A57E5D" w:rsidRPr="00A57E5D">
        <w:t>Mateus Pereira de Almeida</w:t>
      </w:r>
      <w:r w:rsidR="00A57E5D">
        <w:t xml:space="preserve"> </w:t>
      </w:r>
      <w:r>
        <w:t>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0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0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441638A0" w:rsidR="00FD228E" w:rsidRDefault="002B685B" w:rsidP="00455BFA">
      <w:pPr>
        <w:spacing w:before="0" w:after="0"/>
      </w:pPr>
      <w:r>
        <w:rPr>
          <w:noProof/>
        </w:rPr>
        <w:drawing>
          <wp:inline distT="0" distB="0" distL="0" distR="0" wp14:anchorId="23871809" wp14:editId="3F825A48">
            <wp:extent cx="5400040" cy="2902585"/>
            <wp:effectExtent l="0" t="0" r="10160" b="1206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340D1EA7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E16D22">
        <w:t>junho</w:t>
      </w:r>
      <w:r w:rsidR="00455BFA">
        <w:t>/2020</w:t>
      </w:r>
    </w:p>
    <w:p w14:paraId="1BD98F5B" w14:textId="54D4D45A" w:rsidR="00C02676" w:rsidRDefault="00C02676" w:rsidP="00C02676">
      <w:pPr>
        <w:pStyle w:val="Legenda"/>
        <w:keepNext/>
      </w:pPr>
      <w:bookmarkStart w:id="1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1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</w:t>
      </w:r>
      <w:r w:rsidR="008A2ADE">
        <w:t>20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EA74F6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E16D22" w14:paraId="42D61A4B" w14:textId="77777777" w:rsidTr="00EA74F6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E16D22" w:rsidRDefault="00E16D22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3F56560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-3,1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6E2E0E1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-16,3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77DFB59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-7,8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5C4639E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-11,3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0D27F08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-2,2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5042C82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-1,5</w:t>
            </w:r>
          </w:p>
        </w:tc>
      </w:tr>
      <w:tr w:rsidR="00E16D22" w14:paraId="42D61A53" w14:textId="77777777" w:rsidTr="00EA74F6">
        <w:trPr>
          <w:cantSplit/>
          <w:jc w:val="center"/>
        </w:trPr>
        <w:tc>
          <w:tcPr>
            <w:tcW w:w="224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2D045B1A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-12,4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1B27C85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-20,0</w:t>
            </w:r>
          </w:p>
        </w:tc>
        <w:tc>
          <w:tcPr>
            <w:tcW w:w="61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603E8268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-9,3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591DBBD4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-10,9</w:t>
            </w:r>
          </w:p>
        </w:tc>
        <w:tc>
          <w:tcPr>
            <w:tcW w:w="54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64BB8B01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-13,9</w:t>
            </w:r>
          </w:p>
        </w:tc>
        <w:tc>
          <w:tcPr>
            <w:tcW w:w="58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09D0A12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-21,1</w:t>
            </w:r>
          </w:p>
        </w:tc>
      </w:tr>
      <w:tr w:rsidR="00E16D22" w14:paraId="42D61A5B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23C2E4FB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06D7312D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0886437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-0,9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21D72E4F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-0,1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57184CC3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5A45BA4B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8,1</w:t>
            </w:r>
          </w:p>
        </w:tc>
      </w:tr>
      <w:tr w:rsidR="00E16D22" w14:paraId="42D61A6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06D959C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4008A6D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26F5468C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2AA0246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5CA252F2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1,1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5A54F69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0884CF2F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10,5</w:t>
            </w:r>
          </w:p>
        </w:tc>
      </w:tr>
      <w:tr w:rsidR="00E16D22" w14:paraId="42D61A6B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6A0CE6C2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-38,9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0BFD928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-48,3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19EABD54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-39,7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5D6DFE2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-47,5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5FBC18AD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-22,0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4E0B7E03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-20,0</w:t>
            </w:r>
          </w:p>
        </w:tc>
      </w:tr>
      <w:tr w:rsidR="00E16D22" w14:paraId="42D61A7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29EE18C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2E393C0C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-39,1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64C1633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28,1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6A07FA1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-8,9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4F1123C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-6,9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5F96A60B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-3,5</w:t>
            </w:r>
          </w:p>
        </w:tc>
      </w:tr>
      <w:tr w:rsidR="00E16D22" w14:paraId="42D61A7B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47116135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316CCD8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-4,4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3615DCEF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-39,5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7FC9805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-7,9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704D2FF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-10,4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5C3616E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-2,4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221AA093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-12,4</w:t>
            </w:r>
          </w:p>
        </w:tc>
      </w:tr>
      <w:tr w:rsidR="00E16D22" w14:paraId="42D61A8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00CAF870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728EE16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6E69D028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-38,4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6C638118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42,3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405C6B95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-8,3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34980254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-7,6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469E2A21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-1,5</w:t>
            </w:r>
          </w:p>
        </w:tc>
      </w:tr>
      <w:tr w:rsidR="00E16D22" w14:paraId="42D61A8B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3CC3171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235ABFA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-7,3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6B7736C4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577CF9E2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-3,0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708B368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27B7DAAC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4,0</w:t>
            </w:r>
          </w:p>
        </w:tc>
      </w:tr>
      <w:tr w:rsidR="00E16D22" w14:paraId="42D61A9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534CB54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-28,7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40D23E01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-26,7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5CA1797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-34,4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39BDA08C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-39,9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3AC4FE4A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-29,1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325C382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-26,4</w:t>
            </w:r>
          </w:p>
        </w:tc>
      </w:tr>
      <w:tr w:rsidR="00E16D22" w14:paraId="42D61A9B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16E2C66D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-22,9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14E2F50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-17,3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61DFC91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-24,8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613166B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-27,8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3F3F717F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-0,1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7FF1F33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-13,8</w:t>
            </w:r>
          </w:p>
        </w:tc>
      </w:tr>
      <w:tr w:rsidR="00E16D22" w14:paraId="42D61AA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000D972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246B5502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-25,5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44A8F1EA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20556A5D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-26,5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07DE28C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-15,6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70CF66E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-20,5</w:t>
            </w:r>
          </w:p>
        </w:tc>
      </w:tr>
      <w:tr w:rsidR="00E16D22" w14:paraId="42D61AAB" w14:textId="77777777" w:rsidTr="00EA74F6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E16D22" w:rsidRDefault="00E16D22" w:rsidP="00EA74F6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5FACB657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-7,4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7FDC076F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-15,8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371639B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-11,3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6AB1F0C8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-14,9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476F22CA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-3,5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0D967C13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b/>
                <w:bCs/>
                <w:color w:val="FF0000"/>
                <w:sz w:val="16"/>
                <w:szCs w:val="16"/>
              </w:rPr>
              <w:t>-4,2</w:t>
            </w:r>
          </w:p>
        </w:tc>
      </w:tr>
      <w:tr w:rsidR="00E16D22" w14:paraId="42D61AB3" w14:textId="77777777" w:rsidTr="00EA74F6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61228C76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-21,8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0573877A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-16,4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3C21096B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-20,6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5A732D41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-30,3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0F9BF93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-9,0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6DB4B4A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-12,5</w:t>
            </w:r>
          </w:p>
        </w:tc>
      </w:tr>
      <w:tr w:rsidR="00E16D22" w14:paraId="42D61ABB" w14:textId="77777777" w:rsidTr="00EA74F6">
        <w:trPr>
          <w:cantSplit/>
          <w:jc w:val="center"/>
        </w:trPr>
        <w:tc>
          <w:tcPr>
            <w:tcW w:w="224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E16D22" w:rsidRDefault="00E16D22" w:rsidP="00EA74F6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4884612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-1,9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199035B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-10,2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4C6A7750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-12,0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2B70283B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08C4360E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-4,1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6A5A69A9" w:rsidR="00E16D22" w:rsidRPr="00E16D22" w:rsidRDefault="00E16D22" w:rsidP="00EA74F6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16D22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27,1</w:t>
            </w:r>
          </w:p>
        </w:tc>
      </w:tr>
    </w:tbl>
    <w:p w14:paraId="42D61ABC" w14:textId="175163AF" w:rsidR="00046AE3" w:rsidRDefault="00FD02AD" w:rsidP="00BA140B">
      <w:pPr>
        <w:pStyle w:val="Legenda1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 xml:space="preserve">janeiro/2020 a </w:t>
      </w:r>
      <w:r w:rsidR="00E16D22">
        <w:t>junho</w:t>
      </w:r>
      <w:r w:rsidR="00BA140B">
        <w:t>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D900" w14:textId="77777777" w:rsidR="007B5B38" w:rsidRDefault="007B5B38">
      <w:pPr>
        <w:spacing w:before="0" w:after="0" w:line="240" w:lineRule="auto"/>
      </w:pPr>
      <w:r>
        <w:separator/>
      </w:r>
    </w:p>
  </w:endnote>
  <w:endnote w:type="continuationSeparator" w:id="0">
    <w:p w14:paraId="1BB4E168" w14:textId="77777777" w:rsidR="007B5B38" w:rsidRDefault="007B5B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457B0" w14:textId="77777777" w:rsidR="007B5B38" w:rsidRDefault="007B5B38">
      <w:r>
        <w:separator/>
      </w:r>
    </w:p>
  </w:footnote>
  <w:footnote w:type="continuationSeparator" w:id="0">
    <w:p w14:paraId="1B67E82B" w14:textId="77777777" w:rsidR="007B5B38" w:rsidRDefault="007B5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558612A6" w:rsidR="00CC2608" w:rsidRPr="00E327F7" w:rsidRDefault="00046AE3" w:rsidP="00E327F7">
    <w:pPr>
      <w:pStyle w:val="SemEspaamento"/>
    </w:pPr>
    <w:r w:rsidRPr="00E327F7">
      <w:t>Ano I - Nº XX - XX.0</w:t>
    </w:r>
    <w:r w:rsidR="007414D7">
      <w:t>8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52C"/>
    <w:rsid w:val="000115C3"/>
    <w:rsid w:val="00011C8B"/>
    <w:rsid w:val="0002083B"/>
    <w:rsid w:val="000311A6"/>
    <w:rsid w:val="00046AE3"/>
    <w:rsid w:val="00047EA3"/>
    <w:rsid w:val="0007582C"/>
    <w:rsid w:val="00075C65"/>
    <w:rsid w:val="0009089B"/>
    <w:rsid w:val="000D036C"/>
    <w:rsid w:val="000D6F21"/>
    <w:rsid w:val="00102D96"/>
    <w:rsid w:val="00110BF0"/>
    <w:rsid w:val="00136132"/>
    <w:rsid w:val="00167C42"/>
    <w:rsid w:val="00177779"/>
    <w:rsid w:val="00180449"/>
    <w:rsid w:val="001870A6"/>
    <w:rsid w:val="001909C4"/>
    <w:rsid w:val="001C5989"/>
    <w:rsid w:val="001D3277"/>
    <w:rsid w:val="001D5E93"/>
    <w:rsid w:val="00222669"/>
    <w:rsid w:val="002278DF"/>
    <w:rsid w:val="00231DDE"/>
    <w:rsid w:val="00232D26"/>
    <w:rsid w:val="00256445"/>
    <w:rsid w:val="00274E6C"/>
    <w:rsid w:val="00283A9B"/>
    <w:rsid w:val="0028740F"/>
    <w:rsid w:val="002B685B"/>
    <w:rsid w:val="002D7799"/>
    <w:rsid w:val="002E231D"/>
    <w:rsid w:val="002E247A"/>
    <w:rsid w:val="002E55EB"/>
    <w:rsid w:val="003003D7"/>
    <w:rsid w:val="003112EB"/>
    <w:rsid w:val="00314D11"/>
    <w:rsid w:val="003174FD"/>
    <w:rsid w:val="003206C2"/>
    <w:rsid w:val="003361FC"/>
    <w:rsid w:val="0033638B"/>
    <w:rsid w:val="00344274"/>
    <w:rsid w:val="003615B7"/>
    <w:rsid w:val="00361B81"/>
    <w:rsid w:val="0036673D"/>
    <w:rsid w:val="00390591"/>
    <w:rsid w:val="003B1192"/>
    <w:rsid w:val="003D0491"/>
    <w:rsid w:val="003F3C91"/>
    <w:rsid w:val="003F6D07"/>
    <w:rsid w:val="0042289D"/>
    <w:rsid w:val="004322D2"/>
    <w:rsid w:val="00437553"/>
    <w:rsid w:val="00455BFA"/>
    <w:rsid w:val="00462F7B"/>
    <w:rsid w:val="004719AE"/>
    <w:rsid w:val="00472D20"/>
    <w:rsid w:val="004772EE"/>
    <w:rsid w:val="00491329"/>
    <w:rsid w:val="00493CB6"/>
    <w:rsid w:val="0049625B"/>
    <w:rsid w:val="004A0070"/>
    <w:rsid w:val="004C7E51"/>
    <w:rsid w:val="004D2A18"/>
    <w:rsid w:val="004D53A0"/>
    <w:rsid w:val="004D62B4"/>
    <w:rsid w:val="004D7B6A"/>
    <w:rsid w:val="004E29B3"/>
    <w:rsid w:val="0050256E"/>
    <w:rsid w:val="005133AB"/>
    <w:rsid w:val="0052453E"/>
    <w:rsid w:val="00535D46"/>
    <w:rsid w:val="00536A8B"/>
    <w:rsid w:val="00560B83"/>
    <w:rsid w:val="005662E5"/>
    <w:rsid w:val="00574D37"/>
    <w:rsid w:val="0057727A"/>
    <w:rsid w:val="00586C9D"/>
    <w:rsid w:val="00590D07"/>
    <w:rsid w:val="005B2A06"/>
    <w:rsid w:val="005C1D77"/>
    <w:rsid w:val="005C75AE"/>
    <w:rsid w:val="00607A42"/>
    <w:rsid w:val="006220B4"/>
    <w:rsid w:val="00624724"/>
    <w:rsid w:val="00634D73"/>
    <w:rsid w:val="00637576"/>
    <w:rsid w:val="00637D72"/>
    <w:rsid w:val="00644634"/>
    <w:rsid w:val="00652DFC"/>
    <w:rsid w:val="006A36A7"/>
    <w:rsid w:val="006A5EDE"/>
    <w:rsid w:val="006A6A82"/>
    <w:rsid w:val="006A6D29"/>
    <w:rsid w:val="006A6F42"/>
    <w:rsid w:val="006B056D"/>
    <w:rsid w:val="006F0700"/>
    <w:rsid w:val="00712DDF"/>
    <w:rsid w:val="007137D9"/>
    <w:rsid w:val="00737165"/>
    <w:rsid w:val="007414D7"/>
    <w:rsid w:val="00746E2F"/>
    <w:rsid w:val="0077787A"/>
    <w:rsid w:val="00784D58"/>
    <w:rsid w:val="00787E02"/>
    <w:rsid w:val="00794393"/>
    <w:rsid w:val="007A58B1"/>
    <w:rsid w:val="007B4D94"/>
    <w:rsid w:val="007B5B38"/>
    <w:rsid w:val="007B66DA"/>
    <w:rsid w:val="007C2F22"/>
    <w:rsid w:val="007E1045"/>
    <w:rsid w:val="00810812"/>
    <w:rsid w:val="00837920"/>
    <w:rsid w:val="0086306A"/>
    <w:rsid w:val="00865974"/>
    <w:rsid w:val="00867354"/>
    <w:rsid w:val="00867FD4"/>
    <w:rsid w:val="00872F35"/>
    <w:rsid w:val="00884DCB"/>
    <w:rsid w:val="00894A47"/>
    <w:rsid w:val="008A1F03"/>
    <w:rsid w:val="008A2ADE"/>
    <w:rsid w:val="008B034B"/>
    <w:rsid w:val="008B6F2D"/>
    <w:rsid w:val="008C29C4"/>
    <w:rsid w:val="008D6863"/>
    <w:rsid w:val="008E5D38"/>
    <w:rsid w:val="0090549B"/>
    <w:rsid w:val="00946BB3"/>
    <w:rsid w:val="0095491E"/>
    <w:rsid w:val="00956DA5"/>
    <w:rsid w:val="0098311F"/>
    <w:rsid w:val="00986375"/>
    <w:rsid w:val="009A0404"/>
    <w:rsid w:val="009B07BC"/>
    <w:rsid w:val="009C2149"/>
    <w:rsid w:val="009C237D"/>
    <w:rsid w:val="009C58D1"/>
    <w:rsid w:val="00A0643C"/>
    <w:rsid w:val="00A4579A"/>
    <w:rsid w:val="00A572EE"/>
    <w:rsid w:val="00A57E5D"/>
    <w:rsid w:val="00A83E25"/>
    <w:rsid w:val="00A91452"/>
    <w:rsid w:val="00A92DA7"/>
    <w:rsid w:val="00AA03D2"/>
    <w:rsid w:val="00AA20A1"/>
    <w:rsid w:val="00AA72B8"/>
    <w:rsid w:val="00AC23D3"/>
    <w:rsid w:val="00AE36BE"/>
    <w:rsid w:val="00AF2908"/>
    <w:rsid w:val="00AF3CB0"/>
    <w:rsid w:val="00B21F8B"/>
    <w:rsid w:val="00B25C78"/>
    <w:rsid w:val="00B40372"/>
    <w:rsid w:val="00B428AE"/>
    <w:rsid w:val="00B5081C"/>
    <w:rsid w:val="00B5676D"/>
    <w:rsid w:val="00B61414"/>
    <w:rsid w:val="00B639C6"/>
    <w:rsid w:val="00B86B75"/>
    <w:rsid w:val="00BA140B"/>
    <w:rsid w:val="00BA25F8"/>
    <w:rsid w:val="00BA2B2E"/>
    <w:rsid w:val="00BA3136"/>
    <w:rsid w:val="00BB04F8"/>
    <w:rsid w:val="00BB360F"/>
    <w:rsid w:val="00BC2B63"/>
    <w:rsid w:val="00BC3016"/>
    <w:rsid w:val="00BC48D5"/>
    <w:rsid w:val="00BE0AA4"/>
    <w:rsid w:val="00BE779E"/>
    <w:rsid w:val="00C02676"/>
    <w:rsid w:val="00C13D75"/>
    <w:rsid w:val="00C17D67"/>
    <w:rsid w:val="00C270F2"/>
    <w:rsid w:val="00C271A8"/>
    <w:rsid w:val="00C30D26"/>
    <w:rsid w:val="00C36279"/>
    <w:rsid w:val="00C40F53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D2777A"/>
    <w:rsid w:val="00D35502"/>
    <w:rsid w:val="00D36489"/>
    <w:rsid w:val="00D433A8"/>
    <w:rsid w:val="00D510BD"/>
    <w:rsid w:val="00D82FBF"/>
    <w:rsid w:val="00D94D3B"/>
    <w:rsid w:val="00DA16D5"/>
    <w:rsid w:val="00DB1A79"/>
    <w:rsid w:val="00DB67F5"/>
    <w:rsid w:val="00DC020F"/>
    <w:rsid w:val="00DC462B"/>
    <w:rsid w:val="00DE4495"/>
    <w:rsid w:val="00E06223"/>
    <w:rsid w:val="00E16D22"/>
    <w:rsid w:val="00E315A3"/>
    <w:rsid w:val="00E3252A"/>
    <w:rsid w:val="00E569FB"/>
    <w:rsid w:val="00E75573"/>
    <w:rsid w:val="00E80965"/>
    <w:rsid w:val="00EA74F6"/>
    <w:rsid w:val="00EB17E3"/>
    <w:rsid w:val="00EC4F98"/>
    <w:rsid w:val="00ED38BA"/>
    <w:rsid w:val="00ED4613"/>
    <w:rsid w:val="00EF70C2"/>
    <w:rsid w:val="00F05305"/>
    <w:rsid w:val="00F13817"/>
    <w:rsid w:val="00F156EB"/>
    <w:rsid w:val="00F61341"/>
    <w:rsid w:val="00F70475"/>
    <w:rsid w:val="00F772BE"/>
    <w:rsid w:val="00FA4E06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20%20-%20Agosto_2020/Di&#225;rio_Econ&#244;mico_ETENE_Com&#233;rcio_Agost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[Diário_Econômico_ETENE_Comércio_Agosto_2020.xlsx]Tabela_Gráfico!$I$4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[Diário_Econômico_ETENE_Comércio_Agosto_2020.xlsx]Tabela_Gráfico!$H$5:$H$16</c:f>
              <c:strCache>
                <c:ptCount val="12"/>
                <c:pt idx="0">
                  <c:v>Paraíba</c:v>
                </c:pt>
                <c:pt idx="1">
                  <c:v>Minas Gerais</c:v>
                </c:pt>
                <c:pt idx="2">
                  <c:v>Brasil</c:v>
                </c:pt>
                <c:pt idx="3">
                  <c:v>Espírito Santo</c:v>
                </c:pt>
                <c:pt idx="4">
                  <c:v>Maranhão</c:v>
                </c:pt>
                <c:pt idx="5">
                  <c:v>Pernambuco</c:v>
                </c:pt>
                <c:pt idx="6">
                  <c:v>Piauí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[Diário_Econômico_ETENE_Comércio_Agosto_2020.xlsx]Tabela_Gráfico!$I$5:$I$16</c:f>
              <c:numCache>
                <c:formatCode>0.0_ ;[Red]\-0.0\ </c:formatCode>
                <c:ptCount val="12"/>
                <c:pt idx="0">
                  <c:v>-1.8</c:v>
                </c:pt>
                <c:pt idx="1">
                  <c:v>-2.2000000000000002</c:v>
                </c:pt>
                <c:pt idx="2">
                  <c:v>-3.1</c:v>
                </c:pt>
                <c:pt idx="3">
                  <c:v>-1.5</c:v>
                </c:pt>
                <c:pt idx="4">
                  <c:v>-3</c:v>
                </c:pt>
                <c:pt idx="5">
                  <c:v>-7.8</c:v>
                </c:pt>
                <c:pt idx="6">
                  <c:v>-4.7</c:v>
                </c:pt>
                <c:pt idx="7">
                  <c:v>-8.6999999999999993</c:v>
                </c:pt>
                <c:pt idx="8">
                  <c:v>-10.199999999999999</c:v>
                </c:pt>
                <c:pt idx="9">
                  <c:v>-10</c:v>
                </c:pt>
                <c:pt idx="10">
                  <c:v>-11.3</c:v>
                </c:pt>
                <c:pt idx="11">
                  <c:v>-16.3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A-43AE-B221-E14B801EFE33}"/>
            </c:ext>
          </c:extLst>
        </c:ser>
        <c:ser>
          <c:idx val="1"/>
          <c:order val="1"/>
          <c:tx>
            <c:strRef>
              <c:f>[Diário_Econômico_ETENE_Comércio_Agosto_2020.xlsx]Tabela_Gráfico!$J$4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[Diário_Econômico_ETENE_Comércio_Agosto_2020.xlsx]Tabela_Gráfico!$H$5:$H$16</c:f>
              <c:strCache>
                <c:ptCount val="12"/>
                <c:pt idx="0">
                  <c:v>Paraíba</c:v>
                </c:pt>
                <c:pt idx="1">
                  <c:v>Minas Gerais</c:v>
                </c:pt>
                <c:pt idx="2">
                  <c:v>Brasil</c:v>
                </c:pt>
                <c:pt idx="3">
                  <c:v>Espírito Santo</c:v>
                </c:pt>
                <c:pt idx="4">
                  <c:v>Maranhão</c:v>
                </c:pt>
                <c:pt idx="5">
                  <c:v>Pernambuco</c:v>
                </c:pt>
                <c:pt idx="6">
                  <c:v>Piauí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[Diário_Econômico_ETENE_Comércio_Agosto_2020.xlsx]Tabela_Gráfico!$J$5:$J$16</c:f>
              <c:numCache>
                <c:formatCode>0.0_ ;[Red]\-0.0\ </c:formatCode>
                <c:ptCount val="12"/>
                <c:pt idx="0">
                  <c:v>-6.5</c:v>
                </c:pt>
                <c:pt idx="1">
                  <c:v>-3.5</c:v>
                </c:pt>
                <c:pt idx="2">
                  <c:v>-7.4</c:v>
                </c:pt>
                <c:pt idx="3">
                  <c:v>-4.2</c:v>
                </c:pt>
                <c:pt idx="4">
                  <c:v>-7.3</c:v>
                </c:pt>
                <c:pt idx="5">
                  <c:v>-11.3</c:v>
                </c:pt>
                <c:pt idx="6">
                  <c:v>-13.7</c:v>
                </c:pt>
                <c:pt idx="7">
                  <c:v>-11</c:v>
                </c:pt>
                <c:pt idx="8">
                  <c:v>-9.6</c:v>
                </c:pt>
                <c:pt idx="9">
                  <c:v>-12.5</c:v>
                </c:pt>
                <c:pt idx="10">
                  <c:v>-14.9</c:v>
                </c:pt>
                <c:pt idx="11">
                  <c:v>-15.8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2A-43AE-B221-E14B801EFE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_ ;[Red]\-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213</cp:revision>
  <dcterms:created xsi:type="dcterms:W3CDTF">2020-04-07T15:46:00Z</dcterms:created>
  <dcterms:modified xsi:type="dcterms:W3CDTF">2020-08-21T15:59:00Z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