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61A32" w14:textId="4D5D65AF" w:rsidR="009A0404" w:rsidRDefault="00017EC4">
      <w:pPr>
        <w:pStyle w:val="Ttulo1"/>
      </w:pPr>
      <w:r>
        <w:t xml:space="preserve">Comércio varejista </w:t>
      </w:r>
      <w:r w:rsidR="00C6507E">
        <w:t>em julho de 2020</w:t>
      </w:r>
    </w:p>
    <w:p w14:paraId="798B859D" w14:textId="77777777" w:rsidR="005F5DA0" w:rsidRDefault="004F3EF9" w:rsidP="004F3EF9">
      <w:r>
        <w:t>O comércio varejista nacional registrou</w:t>
      </w:r>
      <w:r w:rsidR="006D1AA8">
        <w:t>,</w:t>
      </w:r>
      <w:r w:rsidR="00691F63">
        <w:t xml:space="preserve"> no</w:t>
      </w:r>
      <w:r>
        <w:t xml:space="preserve"> ac</w:t>
      </w:r>
      <w:r w:rsidR="00691F63">
        <w:t>u</w:t>
      </w:r>
      <w:r>
        <w:t>mul</w:t>
      </w:r>
      <w:r w:rsidR="00691F63">
        <w:t>ado do ano</w:t>
      </w:r>
      <w:r>
        <w:t xml:space="preserve"> até julho de 2020</w:t>
      </w:r>
      <w:r w:rsidR="00850F64">
        <w:t>,</w:t>
      </w:r>
      <w:r>
        <w:t xml:space="preserve"> uma queda de 1,8%. Contudo, quando comparado com o mês </w:t>
      </w:r>
      <w:r w:rsidR="00BE3330">
        <w:t xml:space="preserve">imediatamente </w:t>
      </w:r>
      <w:r>
        <w:t>anterior, apresenta alta equivalente a 5,2%. Tais resultados decorrem do reaquecimento da economia</w:t>
      </w:r>
      <w:r w:rsidR="00A81A4C">
        <w:t xml:space="preserve"> puxada pelo</w:t>
      </w:r>
      <w:r>
        <w:t xml:space="preserve"> consumo das famílias </w:t>
      </w:r>
      <w:r w:rsidR="00D867F2">
        <w:t>decorrente</w:t>
      </w:r>
      <w:r>
        <w:t xml:space="preserve"> </w:t>
      </w:r>
      <w:r w:rsidR="00D867F2">
        <w:t>do</w:t>
      </w:r>
      <w:r>
        <w:t xml:space="preserve"> auxílio emergencial. Na comparação interanual do mês de julho, o crescimento também foi acentuado em 5,5%</w:t>
      </w:r>
      <w:r w:rsidR="00F36968">
        <w:t xml:space="preserve"> e, no acumulado dos últimos meses, o setor apresenta </w:t>
      </w:r>
      <w:r w:rsidR="006961D2">
        <w:t xml:space="preserve">leve </w:t>
      </w:r>
      <w:r w:rsidR="00F36968">
        <w:t xml:space="preserve">crescimento de </w:t>
      </w:r>
      <w:r w:rsidR="006961D2">
        <w:t>0,2%</w:t>
      </w:r>
      <w:r w:rsidR="006E69F6">
        <w:t>.</w:t>
      </w:r>
    </w:p>
    <w:p w14:paraId="17C30FD5" w14:textId="4E78696C" w:rsidR="004F3EF9" w:rsidRDefault="006E69F6" w:rsidP="004F3EF9">
      <w:r>
        <w:t xml:space="preserve"> </w:t>
      </w:r>
      <w:r w:rsidR="004F3EF9">
        <w:t>O varejo ampliado</w:t>
      </w:r>
      <w:r w:rsidR="00340E46">
        <w:t xml:space="preserve"> nacional</w:t>
      </w:r>
      <w:r w:rsidR="004F3EF9">
        <w:t xml:space="preserve">, onde é adicionado veículos e materiais de construções, apresentou retração de 6,2% no acumulado de 2020, e alta de 7,2%, em julho de 2020, frente a junho do mesmo ano, e de 1,6% na comparação interanual do mês de julho. </w:t>
      </w:r>
      <w:r w:rsidR="004914E9">
        <w:t>No acumulado dos últimos 12 meses</w:t>
      </w:r>
      <w:r w:rsidR="003D2155">
        <w:t>, o varejo ampliado apresenta retração de -1,9%.</w:t>
      </w:r>
    </w:p>
    <w:p w14:paraId="57AAAB20" w14:textId="07B17FB9" w:rsidR="005E11FC" w:rsidRDefault="004F3EF9" w:rsidP="004F3EF9">
      <w:r>
        <w:t>Dentre os dez grupos de atividades pesquisados para o Brasil, registraram crescimento no acumulado do ano: Artigos farmacêuticos, médicos, ortopédicos, de perfumaria e cosméticos (+6,5%), Hipermercados, supermercados, produtos alimentícios, bebidas e fumo (+6,0%)</w:t>
      </w:r>
      <w:r w:rsidR="002117FC">
        <w:t>,</w:t>
      </w:r>
      <w:r>
        <w:t xml:space="preserve"> Móveis e eletrodomésticos (+2,7%)</w:t>
      </w:r>
      <w:r w:rsidR="002117FC">
        <w:t xml:space="preserve"> e Material de construção (+1,9%)</w:t>
      </w:r>
      <w:r>
        <w:t xml:space="preserve">. </w:t>
      </w:r>
      <w:r w:rsidR="00DF4C7A" w:rsidRPr="00DF4C7A">
        <w:t xml:space="preserve">Já as atividades que tiveram resultado </w:t>
      </w:r>
      <w:r w:rsidR="00DF4C7A">
        <w:t>negativo</w:t>
      </w:r>
      <w:r w:rsidR="00DF4C7A" w:rsidRPr="00DF4C7A">
        <w:t xml:space="preserve"> foram</w:t>
      </w:r>
      <w:r>
        <w:t>: Tecidos, vestuário e calçados (-37,6%), Livros, jornais, revistas e papelaria (-28,3%)</w:t>
      </w:r>
      <w:r w:rsidR="006A654B">
        <w:t xml:space="preserve">, </w:t>
      </w:r>
      <w:r w:rsidR="006A654B" w:rsidRPr="006A654B">
        <w:t>Veículos, motocicletas, partes e peças</w:t>
      </w:r>
      <w:r w:rsidR="006A654B">
        <w:t xml:space="preserve"> (-2</w:t>
      </w:r>
      <w:r w:rsidR="00CF3000">
        <w:t>1</w:t>
      </w:r>
      <w:r w:rsidR="006A654B">
        <w:t>,</w:t>
      </w:r>
      <w:r w:rsidR="00CF3000">
        <w:t>7</w:t>
      </w:r>
      <w:r w:rsidR="006A654B">
        <w:t>%)</w:t>
      </w:r>
      <w:r w:rsidR="003B6C99">
        <w:t>,</w:t>
      </w:r>
      <w:r>
        <w:t xml:space="preserve"> Equipamentos e materiais para escritório, informática e comunicação (-20,5%),</w:t>
      </w:r>
      <w:r w:rsidR="003B6C99">
        <w:t xml:space="preserve"> </w:t>
      </w:r>
      <w:r w:rsidR="003B6C99" w:rsidRPr="00CF3000">
        <w:t>Combustíveis e lubrificantes</w:t>
      </w:r>
      <w:r w:rsidR="003B6C99">
        <w:t xml:space="preserve"> (-12,1%)</w:t>
      </w:r>
      <w:r w:rsidR="003B6C99">
        <w:t xml:space="preserve">, </w:t>
      </w:r>
      <w:r w:rsidR="00FA3CF6" w:rsidRPr="00FA3CF6">
        <w:t>Outros artigos de uso pessoal e doméstico</w:t>
      </w:r>
      <w:r w:rsidR="00FA3CF6">
        <w:t xml:space="preserve"> (-7,7%),</w:t>
      </w:r>
      <w:r>
        <w:t xml:space="preserve"> conforme a Tabela 1.</w:t>
      </w:r>
    </w:p>
    <w:p w14:paraId="293D10EF" w14:textId="47A31A2E" w:rsidR="009B290B" w:rsidRDefault="009B290B" w:rsidP="009B290B">
      <w:r>
        <w:t xml:space="preserve">Quanto ao comportamento do varejo restrito nos </w:t>
      </w:r>
      <w:r w:rsidR="00570CCD">
        <w:t>e</w:t>
      </w:r>
      <w:r>
        <w:t>stados pertencentes à área de atuação do Banco do Nordeste (BNB)</w:t>
      </w:r>
      <w:r w:rsidR="000E63DC">
        <w:t xml:space="preserve">, </w:t>
      </w:r>
      <w:r w:rsidR="003C6896">
        <w:t xml:space="preserve">apenas </w:t>
      </w:r>
      <w:r w:rsidR="00562249">
        <w:t>dois</w:t>
      </w:r>
      <w:r w:rsidR="003C6896">
        <w:t xml:space="preserve"> apresentaram </w:t>
      </w:r>
      <w:r w:rsidR="006F4593">
        <w:t xml:space="preserve">crescimentos positivos, são estes: </w:t>
      </w:r>
      <w:r w:rsidR="002D2EA1">
        <w:t xml:space="preserve">o estado do </w:t>
      </w:r>
      <w:r>
        <w:t>Maranhão (+0,6%)</w:t>
      </w:r>
      <w:r w:rsidR="002D2EA1">
        <w:t>, que</w:t>
      </w:r>
      <w:r>
        <w:t xml:space="preserve"> apresentou </w:t>
      </w:r>
      <w:r w:rsidR="002D2EA1">
        <w:t>o maior crescimento do grupo</w:t>
      </w:r>
      <w:r>
        <w:t xml:space="preserve">, </w:t>
      </w:r>
      <w:r w:rsidR="00562249">
        <w:t xml:space="preserve">e a </w:t>
      </w:r>
      <w:r>
        <w:t xml:space="preserve">Paraíba (+0,1%) </w:t>
      </w:r>
      <w:r w:rsidR="00562249">
        <w:t xml:space="preserve">que </w:t>
      </w:r>
      <w:r>
        <w:t>obteve um crescimento de menor representatividade</w:t>
      </w:r>
      <w:r w:rsidR="00562249">
        <w:t>. O estado do</w:t>
      </w:r>
      <w:r>
        <w:t xml:space="preserve"> </w:t>
      </w:r>
      <w:r w:rsidR="00DC6898">
        <w:t>Espírito</w:t>
      </w:r>
      <w:r>
        <w:t xml:space="preserve"> Santos (0,0%) se manteve estável. </w:t>
      </w:r>
      <w:r w:rsidR="00044885">
        <w:t>Em contraste, apresentaram declínio no acumulado até julho deste ano,</w:t>
      </w:r>
      <w:r w:rsidR="00341081">
        <w:t xml:space="preserve"> em ordem </w:t>
      </w:r>
      <w:r w:rsidR="00DC6898">
        <w:t>decrescente</w:t>
      </w:r>
      <w:r w:rsidR="00341081">
        <w:t xml:space="preserve">:  </w:t>
      </w:r>
      <w:r>
        <w:t>Minas Gerais (-0,7%)</w:t>
      </w:r>
      <w:r w:rsidR="00A50560">
        <w:t>, que</w:t>
      </w:r>
      <w:r w:rsidR="00DC6898">
        <w:t xml:space="preserve"> registrou</w:t>
      </w:r>
      <w:r>
        <w:t xml:space="preserve"> queda menor do que a média </w:t>
      </w:r>
      <w:r w:rsidR="00DC6898">
        <w:t>nacional</w:t>
      </w:r>
      <w:r>
        <w:t xml:space="preserve"> (-1,8%),</w:t>
      </w:r>
      <w:r w:rsidR="0021242E">
        <w:t xml:space="preserve"> </w:t>
      </w:r>
      <w:r w:rsidR="00A50560">
        <w:t>seguido do</w:t>
      </w:r>
      <w:r>
        <w:t xml:space="preserve"> Ceará (-13,6%), Bahia (-10,1%), Sergipe (-9,2%), Alagoas (-9,0%), Rio Grande do Norte (-7,8%), Pernambuco (-5,0 %)</w:t>
      </w:r>
      <w:r w:rsidR="000031CF">
        <w:t xml:space="preserve"> e</w:t>
      </w:r>
      <w:r>
        <w:t xml:space="preserve"> Piauí (-2,5%).</w:t>
      </w:r>
    </w:p>
    <w:p w14:paraId="0B3AFE6B" w14:textId="4DD8450C" w:rsidR="009B290B" w:rsidRDefault="000031CF" w:rsidP="009B290B">
      <w:r>
        <w:t>Em</w:t>
      </w:r>
      <w:r w:rsidR="009B290B">
        <w:t xml:space="preserve"> relação ao varejo ampliado, todos os </w:t>
      </w:r>
      <w:r w:rsidR="00FA6A33">
        <w:t>e</w:t>
      </w:r>
      <w:r w:rsidR="009B290B">
        <w:t>stados registraram contrações</w:t>
      </w:r>
      <w:r w:rsidR="00D67F00">
        <w:t xml:space="preserve"> no acumulado do ano até julho deste ano</w:t>
      </w:r>
      <w:r w:rsidR="009B290B">
        <w:t xml:space="preserve">, </w:t>
      </w:r>
      <w:r w:rsidR="00BE0EE1">
        <w:t>cujo</w:t>
      </w:r>
      <w:r w:rsidR="009B290B">
        <w:t xml:space="preserve"> </w:t>
      </w:r>
      <w:r w:rsidR="00376E83">
        <w:t>que apresentaram declínio maior que a média nacional foram</w:t>
      </w:r>
      <w:r w:rsidR="009B290B">
        <w:t>:</w:t>
      </w:r>
      <w:r w:rsidR="00376E83">
        <w:t xml:space="preserve"> a</w:t>
      </w:r>
      <w:r w:rsidR="009B290B">
        <w:t xml:space="preserve"> Bahia (</w:t>
      </w:r>
      <w:r w:rsidR="00D67F00">
        <w:t>-</w:t>
      </w:r>
      <w:r w:rsidR="009B290B">
        <w:t>14,0%), Ceará (-13,1%), Piauí (</w:t>
      </w:r>
      <w:r w:rsidR="006D354E">
        <w:t>-</w:t>
      </w:r>
      <w:r w:rsidR="009B290B">
        <w:t>11,7%), Sergipe (-11,3%), Rio Grande do Norte (-9,7%), Pernambuco (-8,3%), Alagoas (-7,7%)</w:t>
      </w:r>
      <w:r w:rsidR="00FA6A33">
        <w:t>.</w:t>
      </w:r>
      <w:r w:rsidR="009B290B">
        <w:t xml:space="preserve"> </w:t>
      </w:r>
      <w:r w:rsidR="00376E83">
        <w:t xml:space="preserve">Os demais estados que tiveram queda menor que a média nacional </w:t>
      </w:r>
      <w:r w:rsidR="006E7A86">
        <w:t xml:space="preserve">no mês foram: </w:t>
      </w:r>
      <w:r w:rsidR="009B290B">
        <w:t>Paraíba (-4,2%), Maranhão (-3,2%), Espírito Santo (-2,5%) e Minas Gerais (-2,2%), como mostra o Gráfico 1.</w:t>
      </w:r>
    </w:p>
    <w:p w14:paraId="4F00B3C6" w14:textId="2E267424" w:rsidR="0090418F" w:rsidRDefault="0099514B" w:rsidP="00D8640F">
      <w:r w:rsidRPr="0099514B">
        <w:t xml:space="preserve">O IBGE detalha o setor comercial para cinco </w:t>
      </w:r>
      <w:r w:rsidR="007F1F1C">
        <w:t>e</w:t>
      </w:r>
      <w:r w:rsidRPr="0099514B">
        <w:t xml:space="preserve">stados pertencentes à área de atuação do Banco do Nordeste. No Ceará, </w:t>
      </w:r>
      <w:r w:rsidR="00DC2FF9">
        <w:t xml:space="preserve">apenas </w:t>
      </w:r>
      <w:r w:rsidR="00DC2FF9" w:rsidRPr="00DC2FF9">
        <w:t>Hipermercados, supermercados, produtos alimentícios, bebidas e fumo</w:t>
      </w:r>
      <w:r w:rsidR="00DC2FF9">
        <w:t xml:space="preserve"> (+1,1%) </w:t>
      </w:r>
      <w:r w:rsidRPr="0099514B">
        <w:t>apresent</w:t>
      </w:r>
      <w:r w:rsidR="00DC2FF9">
        <w:t>ou</w:t>
      </w:r>
      <w:r w:rsidRPr="0099514B">
        <w:t xml:space="preserve"> incremento</w:t>
      </w:r>
      <w:r w:rsidR="007A435C">
        <w:t xml:space="preserve"> no acumulado do ano</w:t>
      </w:r>
      <w:r w:rsidRPr="0099514B">
        <w:t>.</w:t>
      </w:r>
      <w:r w:rsidR="007A435C">
        <w:t xml:space="preserve"> A atividade com pior retração no estado </w:t>
      </w:r>
      <w:r w:rsidR="00E45B01">
        <w:t>foi de T</w:t>
      </w:r>
      <w:r w:rsidR="00E45B01" w:rsidRPr="000244E2">
        <w:t>ecidos</w:t>
      </w:r>
      <w:r w:rsidR="000244E2" w:rsidRPr="000244E2">
        <w:t>, vestuário e calçados</w:t>
      </w:r>
      <w:r w:rsidR="000244E2">
        <w:t>, que apresentou declínio de 44,4%.</w:t>
      </w:r>
      <w:r w:rsidRPr="0099514B">
        <w:t xml:space="preserve"> Em Pernambuco, cabe destacar</w:t>
      </w:r>
      <w:r w:rsidR="002F5C20">
        <w:t xml:space="preserve"> que</w:t>
      </w:r>
      <w:r w:rsidRPr="0099514B">
        <w:t xml:space="preserve"> móveis e eletrodomésticos (+</w:t>
      </w:r>
      <w:r w:rsidR="002F5C20">
        <w:t>32,9</w:t>
      </w:r>
      <w:r w:rsidRPr="0099514B">
        <w:t>%)</w:t>
      </w:r>
      <w:r w:rsidR="002F5C20">
        <w:t xml:space="preserve"> foi a atividade que apresentou</w:t>
      </w:r>
      <w:r w:rsidR="00BB23FB">
        <w:t xml:space="preserve"> </w:t>
      </w:r>
      <w:r w:rsidR="002F5C20">
        <w:t xml:space="preserve">crescimento </w:t>
      </w:r>
      <w:r w:rsidR="00760D2C">
        <w:t>expressivo</w:t>
      </w:r>
      <w:r w:rsidRPr="0099514B">
        <w:t>,</w:t>
      </w:r>
      <w:r w:rsidR="00BB23FB">
        <w:t xml:space="preserve"> seguido de </w:t>
      </w:r>
      <w:r w:rsidR="00BB23FB" w:rsidRPr="00BB23FB">
        <w:t>Artigos farmacêuticos, médicos, ortopédicos, de perfumaria e cosméticos</w:t>
      </w:r>
      <w:r w:rsidR="00BB23FB">
        <w:t xml:space="preserve"> (+4,7%)</w:t>
      </w:r>
      <w:r w:rsidRPr="0099514B">
        <w:t xml:space="preserve">. Na Bahia, a maior alta ocorreu em </w:t>
      </w:r>
      <w:r w:rsidR="0090418F" w:rsidRPr="0090418F">
        <w:t>Material de construção</w:t>
      </w:r>
      <w:r w:rsidR="0090418F" w:rsidRPr="0090418F">
        <w:t xml:space="preserve"> </w:t>
      </w:r>
      <w:r w:rsidRPr="0099514B">
        <w:t>(+</w:t>
      </w:r>
      <w:r w:rsidR="0090418F">
        <w:t>5</w:t>
      </w:r>
      <w:r w:rsidRPr="0099514B">
        <w:t>,</w:t>
      </w:r>
      <w:r w:rsidR="0090418F">
        <w:t>0</w:t>
      </w:r>
      <w:r w:rsidRPr="0099514B">
        <w:t>%), seguido por</w:t>
      </w:r>
      <w:r w:rsidR="0090418F">
        <w:t xml:space="preserve"> </w:t>
      </w:r>
      <w:r w:rsidR="0090418F" w:rsidRPr="0090418F">
        <w:t>Hipermercados, supermercados, produtos alimentícios, bebidas e fumo</w:t>
      </w:r>
      <w:r w:rsidRPr="0099514B">
        <w:t xml:space="preserve"> (+0,</w:t>
      </w:r>
      <w:r w:rsidR="0090418F">
        <w:t>3</w:t>
      </w:r>
      <w:r w:rsidRPr="0099514B">
        <w:t xml:space="preserve">%). Em Minas Gerais, a maior alta verificou-se em </w:t>
      </w:r>
      <w:r w:rsidR="000A4F2E" w:rsidRPr="000A4F2E">
        <w:t>Artigos farmacêuticos, médicos, ortopédicos, de perfumaria e cosméticos</w:t>
      </w:r>
      <w:r w:rsidR="000A4F2E">
        <w:t xml:space="preserve"> </w:t>
      </w:r>
      <w:r w:rsidRPr="0099514B">
        <w:t>(+</w:t>
      </w:r>
      <w:r w:rsidR="000A4F2E">
        <w:t>9</w:t>
      </w:r>
      <w:r w:rsidRPr="0099514B">
        <w:t>,</w:t>
      </w:r>
      <w:r w:rsidR="000A4F2E">
        <w:t>4</w:t>
      </w:r>
      <w:r w:rsidRPr="0099514B">
        <w:t>%)</w:t>
      </w:r>
      <w:r w:rsidR="00242D21">
        <w:t xml:space="preserve"> e</w:t>
      </w:r>
      <w:r w:rsidR="00CE34EA">
        <w:t>,</w:t>
      </w:r>
      <w:r w:rsidR="00242D21">
        <w:t xml:space="preserve"> no Espírito Santo, a atividade com</w:t>
      </w:r>
      <w:r w:rsidR="00CE34EA">
        <w:t xml:space="preserve"> maior destaque foi a de Material de construção, com crescimento de 36,8%. </w:t>
      </w:r>
    </w:p>
    <w:p w14:paraId="42D61A39" w14:textId="0EA25A41" w:rsidR="009A0404" w:rsidRDefault="00046AE3">
      <w:r>
        <w:rPr>
          <w:b/>
        </w:rPr>
        <w:t>Autores:</w:t>
      </w:r>
      <w:r>
        <w:t xml:space="preserve"> Nicolino Trompieri Neto, Professor da Universidade de Fortaleza -</w:t>
      </w:r>
      <w:r w:rsidR="009C58D1">
        <w:t xml:space="preserve"> </w:t>
      </w:r>
      <w:r>
        <w:t xml:space="preserve">Unifor. </w:t>
      </w:r>
      <w:r w:rsidR="00DB1A79">
        <w:t xml:space="preserve">Alysson Inácio de Oliveira, </w:t>
      </w:r>
      <w:r w:rsidR="00A57E5D" w:rsidRPr="00A57E5D">
        <w:t>Halina Lima Batista de Sousa</w:t>
      </w:r>
      <w:r w:rsidR="001D3277">
        <w:t xml:space="preserve"> e</w:t>
      </w:r>
      <w:r w:rsidR="00A57E5D">
        <w:t xml:space="preserve"> </w:t>
      </w:r>
      <w:r w:rsidR="00A57E5D" w:rsidRPr="00A57E5D">
        <w:t>Mateus Pereira de Almeida</w:t>
      </w:r>
      <w:r w:rsidR="00A57E5D">
        <w:t xml:space="preserve"> </w:t>
      </w:r>
      <w:r>
        <w:t>graduandos em Economia, Universidade de Fortaleza - UNIFOR e estagiários do Núcleo de Pesquisas Econômicas - NUPE.</w:t>
      </w:r>
      <w:r>
        <w:br w:type="page"/>
      </w:r>
    </w:p>
    <w:p w14:paraId="4B4997C1" w14:textId="73CF7EB0" w:rsidR="008B034B" w:rsidRDefault="008B034B" w:rsidP="008B034B">
      <w:pPr>
        <w:pStyle w:val="Legenda"/>
        <w:keepNext/>
      </w:pPr>
      <w:bookmarkStart w:id="0" w:name="_Ref37239197"/>
      <w:r w:rsidRPr="008B034B">
        <w:rPr>
          <w:b/>
          <w:bCs/>
        </w:rPr>
        <w:lastRenderedPageBreak/>
        <w:t xml:space="preserve">Gráfico </w:t>
      </w:r>
      <w:r w:rsidRPr="008B034B">
        <w:rPr>
          <w:b/>
          <w:bCs/>
        </w:rPr>
        <w:fldChar w:fldCharType="begin"/>
      </w:r>
      <w:r w:rsidRPr="008B034B">
        <w:rPr>
          <w:b/>
          <w:bCs/>
        </w:rPr>
        <w:instrText xml:space="preserve"> SEQ Gráfico \* ARABIC </w:instrText>
      </w:r>
      <w:r w:rsidRPr="008B034B">
        <w:rPr>
          <w:b/>
          <w:bCs/>
        </w:rPr>
        <w:fldChar w:fldCharType="separate"/>
      </w:r>
      <w:r w:rsidRPr="008B034B">
        <w:rPr>
          <w:b/>
          <w:bCs/>
          <w:noProof/>
        </w:rPr>
        <w:t>1</w:t>
      </w:r>
      <w:r w:rsidRPr="008B034B">
        <w:rPr>
          <w:b/>
          <w:bCs/>
        </w:rPr>
        <w:fldChar w:fldCharType="end"/>
      </w:r>
      <w:bookmarkEnd w:id="0"/>
      <w:r>
        <w:t xml:space="preserve"> - Variação (%) do volume de vendas do comércio - Brasil e estados selecionados - Acumulado do an</w:t>
      </w:r>
      <w:r w:rsidR="00FD02AD">
        <w:t xml:space="preserve">o </w:t>
      </w:r>
      <w:r w:rsidR="00FD02AD" w:rsidRPr="00FD02AD">
        <w:rPr>
          <w:vertAlign w:val="superscript"/>
        </w:rPr>
        <w:t>(1)</w:t>
      </w:r>
    </w:p>
    <w:p w14:paraId="40E9E35E" w14:textId="69CB1582" w:rsidR="00FD228E" w:rsidRDefault="008A7D66" w:rsidP="00455BFA">
      <w:pPr>
        <w:spacing w:before="0" w:after="0"/>
      </w:pPr>
      <w:r>
        <w:rPr>
          <w:noProof/>
        </w:rPr>
        <w:drawing>
          <wp:inline distT="0" distB="0" distL="0" distR="0" wp14:anchorId="2F051E3A" wp14:editId="64D082E5">
            <wp:extent cx="5400040" cy="2902585"/>
            <wp:effectExtent l="0" t="0" r="10160" b="1206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F8CBB99-EF14-4A4A-9CF5-FA9184925C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D4BD37" w14:textId="11D11546" w:rsidR="00BA140B" w:rsidRPr="00BA140B" w:rsidRDefault="008B034B" w:rsidP="00BA140B">
      <w:pPr>
        <w:pStyle w:val="Legenda1"/>
      </w:pPr>
      <w:r>
        <w:t>Fonte: Elaboração BNB/ETENE, com dados do IBGE. Nota: (1) Variação acumulada de janeiro</w:t>
      </w:r>
      <w:r w:rsidR="00455BFA">
        <w:t>/2020</w:t>
      </w:r>
      <w:r>
        <w:t xml:space="preserve"> a </w:t>
      </w:r>
      <w:r w:rsidR="008A7D66">
        <w:t>julho</w:t>
      </w:r>
      <w:r w:rsidR="00455BFA">
        <w:t>/2020</w:t>
      </w:r>
    </w:p>
    <w:p w14:paraId="1BD98F5B" w14:textId="54D4D45A" w:rsidR="00C02676" w:rsidRDefault="00C02676" w:rsidP="00C02676">
      <w:pPr>
        <w:pStyle w:val="Legenda"/>
        <w:keepNext/>
      </w:pPr>
      <w:bookmarkStart w:id="1" w:name="_Ref37234358"/>
      <w:r w:rsidRPr="00C02676">
        <w:rPr>
          <w:b/>
          <w:bCs/>
        </w:rPr>
        <w:t xml:space="preserve">Tabela </w:t>
      </w:r>
      <w:r w:rsidRPr="00C02676">
        <w:rPr>
          <w:b/>
          <w:bCs/>
        </w:rPr>
        <w:fldChar w:fldCharType="begin"/>
      </w:r>
      <w:r w:rsidRPr="00C02676">
        <w:rPr>
          <w:b/>
          <w:bCs/>
        </w:rPr>
        <w:instrText xml:space="preserve"> SEQ Tabela \* ARABIC </w:instrText>
      </w:r>
      <w:r w:rsidRPr="00C02676">
        <w:rPr>
          <w:b/>
          <w:bCs/>
        </w:rPr>
        <w:fldChar w:fldCharType="separate"/>
      </w:r>
      <w:r w:rsidRPr="00C02676">
        <w:rPr>
          <w:b/>
          <w:bCs/>
          <w:noProof/>
        </w:rPr>
        <w:t>1</w:t>
      </w:r>
      <w:r w:rsidRPr="00C02676">
        <w:rPr>
          <w:b/>
          <w:bCs/>
        </w:rPr>
        <w:fldChar w:fldCharType="end"/>
      </w:r>
      <w:bookmarkEnd w:id="1"/>
      <w:r>
        <w:t xml:space="preserve"> -</w:t>
      </w:r>
      <w:r w:rsidR="0001052C">
        <w:t xml:space="preserve"> </w:t>
      </w:r>
      <w:r w:rsidRPr="003A1134">
        <w:t>Variação (%) do volume de vendas do comércio e atividades - Brasil e Estados selecionados Acumulado em 20</w:t>
      </w:r>
      <w:r w:rsidR="008A2ADE">
        <w:t>20</w:t>
      </w:r>
      <w:r w:rsidR="004C7E51">
        <w:t xml:space="preserve"> </w:t>
      </w:r>
      <w:r w:rsidR="004C7E51" w:rsidRPr="004C7E51">
        <w:rPr>
          <w:vertAlign w:val="superscript"/>
        </w:rPr>
        <w:t>(1)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821"/>
        <w:gridCol w:w="568"/>
        <w:gridCol w:w="582"/>
        <w:gridCol w:w="1043"/>
        <w:gridCol w:w="573"/>
        <w:gridCol w:w="925"/>
        <w:gridCol w:w="992"/>
      </w:tblGrid>
      <w:tr w:rsidR="009A0404" w14:paraId="42D61A43" w14:textId="77777777" w:rsidTr="00EA74F6">
        <w:trPr>
          <w:cantSplit/>
          <w:tblHeader/>
          <w:jc w:val="center"/>
        </w:trPr>
        <w:tc>
          <w:tcPr>
            <w:tcW w:w="2247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3C" w14:textId="77777777" w:rsidR="009A0404" w:rsidRDefault="00046AE3" w:rsidP="00EA74F6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Comércio e atividades</w:t>
            </w:r>
          </w:p>
        </w:tc>
        <w:tc>
          <w:tcPr>
            <w:tcW w:w="334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3D" w14:textId="77777777" w:rsidR="009A0404" w:rsidRDefault="00046AE3" w:rsidP="00EA74F6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Brasil</w:t>
            </w:r>
          </w:p>
        </w:tc>
        <w:tc>
          <w:tcPr>
            <w:tcW w:w="342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3E" w14:textId="77777777" w:rsidR="009A0404" w:rsidRDefault="00046AE3" w:rsidP="00EA74F6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Ceará</w:t>
            </w:r>
          </w:p>
        </w:tc>
        <w:tc>
          <w:tcPr>
            <w:tcW w:w="613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3F" w14:textId="77777777" w:rsidR="009A0404" w:rsidRDefault="00046AE3" w:rsidP="00EA74F6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Pernambuco</w:t>
            </w:r>
          </w:p>
        </w:tc>
        <w:tc>
          <w:tcPr>
            <w:tcW w:w="337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0" w14:textId="77777777" w:rsidR="009A0404" w:rsidRDefault="00046AE3" w:rsidP="00EA74F6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Bahia</w:t>
            </w:r>
          </w:p>
        </w:tc>
        <w:tc>
          <w:tcPr>
            <w:tcW w:w="544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1" w14:textId="77777777" w:rsidR="009A0404" w:rsidRDefault="00046AE3" w:rsidP="00EA74F6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Minas Gerais</w:t>
            </w:r>
          </w:p>
        </w:tc>
        <w:tc>
          <w:tcPr>
            <w:tcW w:w="583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2" w14:textId="77777777" w:rsidR="009A0404" w:rsidRDefault="00046AE3" w:rsidP="00EA74F6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Espírito Santo</w:t>
            </w:r>
          </w:p>
        </w:tc>
      </w:tr>
      <w:tr w:rsidR="003A34D3" w14:paraId="42D61A4B" w14:textId="77777777" w:rsidTr="003A34D3">
        <w:trPr>
          <w:cantSplit/>
          <w:jc w:val="center"/>
        </w:trPr>
        <w:tc>
          <w:tcPr>
            <w:tcW w:w="2247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4" w14:textId="77777777" w:rsidR="003A34D3" w:rsidRDefault="003A34D3" w:rsidP="003A34D3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Comércio varejista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5" w14:textId="2A2E4792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b/>
                <w:bCs/>
                <w:color w:val="FF0000"/>
                <w:sz w:val="14"/>
                <w:szCs w:val="14"/>
              </w:rPr>
              <w:t>-1,8</w:t>
            </w:r>
          </w:p>
        </w:tc>
        <w:tc>
          <w:tcPr>
            <w:tcW w:w="342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6" w14:textId="4C7C667C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b/>
                <w:bCs/>
                <w:color w:val="FF0000"/>
                <w:sz w:val="14"/>
                <w:szCs w:val="14"/>
              </w:rPr>
              <w:t>-13,6</w:t>
            </w:r>
          </w:p>
        </w:tc>
        <w:tc>
          <w:tcPr>
            <w:tcW w:w="61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7" w14:textId="5B747099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b/>
                <w:bCs/>
                <w:color w:val="FF0000"/>
                <w:sz w:val="14"/>
                <w:szCs w:val="14"/>
              </w:rPr>
              <w:t>-5,0</w:t>
            </w:r>
          </w:p>
        </w:tc>
        <w:tc>
          <w:tcPr>
            <w:tcW w:w="337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8" w14:textId="1D107759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b/>
                <w:bCs/>
                <w:color w:val="FF0000"/>
                <w:sz w:val="14"/>
                <w:szCs w:val="14"/>
              </w:rPr>
              <w:t>-10,1</w:t>
            </w:r>
          </w:p>
        </w:tc>
        <w:tc>
          <w:tcPr>
            <w:tcW w:w="54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9" w14:textId="1BBF5C0A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b/>
                <w:bCs/>
                <w:color w:val="FF0000"/>
                <w:sz w:val="14"/>
                <w:szCs w:val="14"/>
              </w:rPr>
              <w:t>-0,7</w:t>
            </w:r>
          </w:p>
        </w:tc>
        <w:tc>
          <w:tcPr>
            <w:tcW w:w="58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A" w14:textId="173AA2C8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b/>
                <w:bCs/>
                <w:color w:val="000000"/>
                <w:sz w:val="14"/>
                <w:szCs w:val="14"/>
              </w:rPr>
              <w:t>0,0</w:t>
            </w:r>
          </w:p>
        </w:tc>
      </w:tr>
      <w:tr w:rsidR="003A34D3" w14:paraId="42D61A53" w14:textId="77777777" w:rsidTr="003A34D3">
        <w:trPr>
          <w:cantSplit/>
          <w:jc w:val="center"/>
        </w:trPr>
        <w:tc>
          <w:tcPr>
            <w:tcW w:w="2247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C" w14:textId="77777777" w:rsidR="003A34D3" w:rsidRDefault="003A34D3" w:rsidP="003A34D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Combustíveis e lubrificantes</w:t>
            </w:r>
          </w:p>
        </w:tc>
        <w:tc>
          <w:tcPr>
            <w:tcW w:w="334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D" w14:textId="3F83A082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-12,1</w:t>
            </w:r>
          </w:p>
        </w:tc>
        <w:tc>
          <w:tcPr>
            <w:tcW w:w="342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E" w14:textId="37B16A80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-17,7</w:t>
            </w:r>
          </w:p>
        </w:tc>
        <w:tc>
          <w:tcPr>
            <w:tcW w:w="61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F" w14:textId="2C4F9116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-8,4</w:t>
            </w:r>
          </w:p>
        </w:tc>
        <w:tc>
          <w:tcPr>
            <w:tcW w:w="337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0" w14:textId="037DB1A4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-11,7</w:t>
            </w:r>
          </w:p>
        </w:tc>
        <w:tc>
          <w:tcPr>
            <w:tcW w:w="544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1" w14:textId="0814A059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-12,5</w:t>
            </w:r>
          </w:p>
        </w:tc>
        <w:tc>
          <w:tcPr>
            <w:tcW w:w="58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2" w14:textId="1A58198D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-19,2</w:t>
            </w:r>
          </w:p>
        </w:tc>
      </w:tr>
      <w:tr w:rsidR="003A34D3" w14:paraId="42D61A5B" w14:textId="77777777" w:rsidTr="003A34D3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4" w14:textId="77777777" w:rsidR="003A34D3" w:rsidRDefault="003A34D3" w:rsidP="003A34D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Hipermercados, supermercados, produtos alimentícios, bebidas e fumo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5" w14:textId="40D8F7EF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6" w14:textId="5EAC7120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7" w14:textId="187CC8A5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8" w14:textId="062A2AA0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9" w14:textId="1AB1F6F2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A" w14:textId="385B6BF2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000000"/>
                <w:sz w:val="14"/>
                <w:szCs w:val="14"/>
              </w:rPr>
              <w:t>9,2</w:t>
            </w:r>
          </w:p>
        </w:tc>
      </w:tr>
      <w:tr w:rsidR="003A34D3" w14:paraId="42D61A63" w14:textId="77777777" w:rsidTr="003A34D3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C" w14:textId="406D959C" w:rsidR="003A34D3" w:rsidRDefault="003A34D3" w:rsidP="003A34D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Hipermercados e supermercados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D" w14:textId="2648E813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E" w14:textId="55FBED7A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F" w14:textId="3CD25396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0" w14:textId="6BDD7B67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1" w14:textId="2AD41D6C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000000"/>
                <w:sz w:val="14"/>
                <w:szCs w:val="14"/>
              </w:rPr>
              <w:t>5,7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2" w14:textId="26798D94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000000"/>
                <w:sz w:val="14"/>
                <w:szCs w:val="14"/>
              </w:rPr>
              <w:t>11,7</w:t>
            </w:r>
          </w:p>
        </w:tc>
      </w:tr>
      <w:tr w:rsidR="003A34D3" w14:paraId="42D61A6B" w14:textId="77777777" w:rsidTr="003A34D3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4" w14:textId="77777777" w:rsidR="003A34D3" w:rsidRDefault="003A34D3" w:rsidP="003A34D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Tecidos, vestuário e calçados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5" w14:textId="20393C56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-37,6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6" w14:textId="4ECC735A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-44,4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7" w14:textId="147221CF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-35,6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8" w14:textId="7987BB11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-48,1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9" w14:textId="67207635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-24,0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A" w14:textId="6363B2FB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-15,0</w:t>
            </w:r>
          </w:p>
        </w:tc>
      </w:tr>
      <w:tr w:rsidR="003A34D3" w14:paraId="42D61A73" w14:textId="77777777" w:rsidTr="003A34D3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C" w14:textId="77777777" w:rsidR="003A34D3" w:rsidRDefault="003A34D3" w:rsidP="003A34D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Móveis e eletrodomésticos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D" w14:textId="02D63E53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E" w14:textId="7021A248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-32,5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F" w14:textId="555BA3D6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000000"/>
                <w:sz w:val="14"/>
                <w:szCs w:val="14"/>
              </w:rPr>
              <w:t>32,9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0" w14:textId="37A92714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-0,9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1" w14:textId="6F4CF80A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-3,6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2" w14:textId="76D4864D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-2,8</w:t>
            </w:r>
          </w:p>
        </w:tc>
      </w:tr>
      <w:tr w:rsidR="003A34D3" w14:paraId="42D61A7B" w14:textId="77777777" w:rsidTr="003A34D3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4" w14:textId="47116135" w:rsidR="003A34D3" w:rsidRDefault="003A34D3" w:rsidP="003A34D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Móveis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5" w14:textId="52311CC0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6" w14:textId="4128D76E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-30,2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7" w14:textId="56DD5D18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-1,7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8" w14:textId="05493C29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-1,1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9" w14:textId="6595AD96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A" w14:textId="3A313247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-7,1</w:t>
            </w:r>
          </w:p>
        </w:tc>
      </w:tr>
      <w:tr w:rsidR="003A34D3" w14:paraId="42D61A83" w14:textId="77777777" w:rsidTr="003A34D3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C" w14:textId="00CAF870" w:rsidR="003A34D3" w:rsidRDefault="003A34D3" w:rsidP="003A34D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Eletrodomésticos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D" w14:textId="0C629F05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E" w14:textId="3E7B3265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-33,8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F" w14:textId="174933A5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000000"/>
                <w:sz w:val="14"/>
                <w:szCs w:val="14"/>
              </w:rPr>
              <w:t>46,7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0" w14:textId="6E4F0A72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-0,9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1" w14:textId="69509885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-4,3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2" w14:textId="53F80FBD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-3,7</w:t>
            </w:r>
          </w:p>
        </w:tc>
      </w:tr>
      <w:tr w:rsidR="003A34D3" w14:paraId="42D61A8B" w14:textId="77777777" w:rsidTr="003A34D3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4" w14:textId="77777777" w:rsidR="003A34D3" w:rsidRDefault="003A34D3" w:rsidP="003A34D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Artigos farmacêuticos, médicos, ortopédicos, de perfumaria e cosméticos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5" w14:textId="6E80B54D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6" w14:textId="5AB83D89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-4,9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7" w14:textId="691DA6A1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8" w14:textId="318E63FA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-1,3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9" w14:textId="3E9E4077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000000"/>
                <w:sz w:val="14"/>
                <w:szCs w:val="14"/>
              </w:rPr>
              <w:t>9,4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A" w14:textId="581BFC7B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000000"/>
                <w:sz w:val="14"/>
                <w:szCs w:val="14"/>
              </w:rPr>
              <w:t>3,6</w:t>
            </w:r>
          </w:p>
        </w:tc>
      </w:tr>
      <w:tr w:rsidR="003A34D3" w14:paraId="42D61A93" w14:textId="77777777" w:rsidTr="003A34D3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C" w14:textId="77777777" w:rsidR="003A34D3" w:rsidRDefault="003A34D3" w:rsidP="003A34D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Livros, jornais, revistas e papelaria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D" w14:textId="44B1E010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-28,3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E" w14:textId="76ED966F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-23,3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F" w14:textId="13B10B40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-38,6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0" w14:textId="0A095186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-41,8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1" w14:textId="228928CB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-31,8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2" w14:textId="02EEC68C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-25,8</w:t>
            </w:r>
          </w:p>
        </w:tc>
      </w:tr>
      <w:tr w:rsidR="003A34D3" w14:paraId="42D61A9B" w14:textId="77777777" w:rsidTr="003A34D3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4" w14:textId="77777777" w:rsidR="003A34D3" w:rsidRDefault="003A34D3" w:rsidP="003A34D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Equipamentos e materiais para escritório, informática e comunicação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5" w14:textId="1D439153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-20,5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6" w14:textId="442AD3ED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-11,3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7" w14:textId="3A111379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-20,8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8" w14:textId="3C24E3C5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-28,7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9" w14:textId="6E42DC19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A" w14:textId="16029BA1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-10,6</w:t>
            </w:r>
          </w:p>
        </w:tc>
      </w:tr>
      <w:tr w:rsidR="003A34D3" w14:paraId="42D61AA3" w14:textId="77777777" w:rsidTr="003A34D3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C" w14:textId="77777777" w:rsidR="003A34D3" w:rsidRDefault="003A34D3" w:rsidP="003A34D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Outros artigos de uso pessoal e doméstico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D" w14:textId="7D191C5E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-7,7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E" w14:textId="47623AC8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-20,6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F" w14:textId="1E75F595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-14,9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0" w14:textId="2E5B1053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-25,4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1" w14:textId="768E06A8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-9,6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2" w14:textId="41A25850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-18,0</w:t>
            </w:r>
          </w:p>
        </w:tc>
      </w:tr>
      <w:tr w:rsidR="003A34D3" w14:paraId="42D61AAB" w14:textId="77777777" w:rsidTr="003A34D3">
        <w:trPr>
          <w:cantSplit/>
          <w:jc w:val="center"/>
        </w:trPr>
        <w:tc>
          <w:tcPr>
            <w:tcW w:w="2247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4" w14:textId="77777777" w:rsidR="003A34D3" w:rsidRDefault="003A34D3" w:rsidP="003A34D3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Comércio varejista ampliado</w:t>
            </w:r>
          </w:p>
        </w:tc>
        <w:tc>
          <w:tcPr>
            <w:tcW w:w="334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5" w14:textId="0C22C384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b/>
                <w:bCs/>
                <w:color w:val="FF0000"/>
                <w:sz w:val="14"/>
                <w:szCs w:val="14"/>
              </w:rPr>
              <w:t>-6,2</w:t>
            </w:r>
          </w:p>
        </w:tc>
        <w:tc>
          <w:tcPr>
            <w:tcW w:w="342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6" w14:textId="2CB35940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b/>
                <w:bCs/>
                <w:color w:val="FF0000"/>
                <w:sz w:val="14"/>
                <w:szCs w:val="14"/>
              </w:rPr>
              <w:t>-13,1</w:t>
            </w:r>
          </w:p>
        </w:tc>
        <w:tc>
          <w:tcPr>
            <w:tcW w:w="61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7" w14:textId="7773ABDC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b/>
                <w:bCs/>
                <w:color w:val="FF0000"/>
                <w:sz w:val="14"/>
                <w:szCs w:val="14"/>
              </w:rPr>
              <w:t>-8,3</w:t>
            </w:r>
          </w:p>
        </w:tc>
        <w:tc>
          <w:tcPr>
            <w:tcW w:w="337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8" w14:textId="2B951F4B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b/>
                <w:bCs/>
                <w:color w:val="FF0000"/>
                <w:sz w:val="14"/>
                <w:szCs w:val="14"/>
              </w:rPr>
              <w:t>-14,0</w:t>
            </w:r>
          </w:p>
        </w:tc>
        <w:tc>
          <w:tcPr>
            <w:tcW w:w="544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9" w14:textId="12DE4A34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b/>
                <w:bCs/>
                <w:color w:val="FF0000"/>
                <w:sz w:val="14"/>
                <w:szCs w:val="14"/>
              </w:rPr>
              <w:t>-2,2</w:t>
            </w:r>
          </w:p>
        </w:tc>
        <w:tc>
          <w:tcPr>
            <w:tcW w:w="58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A" w14:textId="74D16B14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b/>
                <w:bCs/>
                <w:color w:val="FF0000"/>
                <w:sz w:val="14"/>
                <w:szCs w:val="14"/>
              </w:rPr>
              <w:t>-2,5</w:t>
            </w:r>
          </w:p>
        </w:tc>
      </w:tr>
      <w:tr w:rsidR="003A34D3" w14:paraId="42D61AB3" w14:textId="77777777" w:rsidTr="003A34D3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C" w14:textId="77777777" w:rsidR="003A34D3" w:rsidRDefault="003A34D3" w:rsidP="003A34D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Veículos, motocicletas, partes e peças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D" w14:textId="2105D554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-21,7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E" w14:textId="77D5C31D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-14,6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F" w14:textId="5EAB3A4D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-17,5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0" w14:textId="69E88518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-31,0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1" w14:textId="1846E3DB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-8,4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2" w14:textId="729FFEE1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-11,7</w:t>
            </w:r>
          </w:p>
        </w:tc>
      </w:tr>
      <w:tr w:rsidR="003A34D3" w14:paraId="42D61ABB" w14:textId="77777777" w:rsidTr="003A34D3">
        <w:trPr>
          <w:cantSplit/>
          <w:jc w:val="center"/>
        </w:trPr>
        <w:tc>
          <w:tcPr>
            <w:tcW w:w="2247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4" w14:textId="77777777" w:rsidR="003A34D3" w:rsidRDefault="003A34D3" w:rsidP="003A34D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Material de construção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5" w14:textId="7F01F206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342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6" w14:textId="08AECCCA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-4,7</w:t>
            </w:r>
          </w:p>
        </w:tc>
        <w:tc>
          <w:tcPr>
            <w:tcW w:w="61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7" w14:textId="34F3178F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-6,5</w:t>
            </w:r>
          </w:p>
        </w:tc>
        <w:tc>
          <w:tcPr>
            <w:tcW w:w="337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8" w14:textId="6CDB88F0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4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9" w14:textId="3D213DAC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FF0000"/>
                <w:sz w:val="14"/>
                <w:szCs w:val="14"/>
              </w:rPr>
              <w:t>-3,2</w:t>
            </w:r>
          </w:p>
        </w:tc>
        <w:tc>
          <w:tcPr>
            <w:tcW w:w="58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A" w14:textId="3F47CB46" w:rsidR="003A34D3" w:rsidRPr="003A34D3" w:rsidRDefault="003A34D3" w:rsidP="003A34D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A34D3">
              <w:rPr>
                <w:rFonts w:ascii="Trebuchet MS" w:hAnsi="Trebuchet MS" w:cs="Calibri"/>
                <w:color w:val="000000"/>
                <w:sz w:val="14"/>
                <w:szCs w:val="14"/>
              </w:rPr>
              <w:t>36,8</w:t>
            </w:r>
          </w:p>
        </w:tc>
      </w:tr>
    </w:tbl>
    <w:p w14:paraId="42D61ABC" w14:textId="18090869" w:rsidR="00046AE3" w:rsidRDefault="00FD02AD" w:rsidP="00BA140B">
      <w:pPr>
        <w:pStyle w:val="Legenda1"/>
      </w:pPr>
      <w:r>
        <w:t xml:space="preserve">Fonte: </w:t>
      </w:r>
      <w:r w:rsidR="00607A42">
        <w:t xml:space="preserve">Elaboração BNB/ETENE, com dados do IBGE. Nota (1): Variação acumulada de </w:t>
      </w:r>
      <w:r w:rsidR="00BA140B">
        <w:t xml:space="preserve">janeiro/2020 a </w:t>
      </w:r>
      <w:r w:rsidR="008A7D66">
        <w:t>julho</w:t>
      </w:r>
      <w:r w:rsidR="00BA140B">
        <w:t>/2020</w:t>
      </w:r>
    </w:p>
    <w:sectPr w:rsidR="00046AE3" w:rsidSect="00CC5395">
      <w:headerReference w:type="default" r:id="rId9"/>
      <w:pgSz w:w="11906" w:h="16838" w:code="9"/>
      <w:pgMar w:top="1417" w:right="1701" w:bottom="1417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E7EF6" w14:textId="77777777" w:rsidR="007669A2" w:rsidRDefault="007669A2">
      <w:pPr>
        <w:spacing w:before="0" w:after="0" w:line="240" w:lineRule="auto"/>
      </w:pPr>
      <w:r>
        <w:separator/>
      </w:r>
    </w:p>
  </w:endnote>
  <w:endnote w:type="continuationSeparator" w:id="0">
    <w:p w14:paraId="5A4F8B8A" w14:textId="77777777" w:rsidR="007669A2" w:rsidRDefault="007669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BDE4A" w14:textId="77777777" w:rsidR="007669A2" w:rsidRDefault="007669A2">
      <w:r>
        <w:separator/>
      </w:r>
    </w:p>
  </w:footnote>
  <w:footnote w:type="continuationSeparator" w:id="0">
    <w:p w14:paraId="661F1874" w14:textId="77777777" w:rsidR="007669A2" w:rsidRDefault="00766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61AC0" w14:textId="77777777" w:rsidR="00CC2608" w:rsidRPr="00E327F7" w:rsidRDefault="00046AE3" w:rsidP="00E327F7">
    <w:pPr>
      <w:pStyle w:val="SemEspaamento"/>
    </w:pPr>
    <w:r w:rsidRPr="00E327F7">
      <w:rPr>
        <w:rStyle w:val="TtulodoLivro"/>
        <w:lang w:eastAsia="en-US"/>
      </w:rPr>
      <w:drawing>
        <wp:inline distT="0" distB="0" distL="0" distR="0" wp14:anchorId="42D61AC3" wp14:editId="42D61AC4">
          <wp:extent cx="5398770" cy="643890"/>
          <wp:effectExtent l="0" t="0" r="0" b="3810"/>
          <wp:docPr id="4" name="Imagem 4" descr="Diario topo -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iario topo - 20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D61AC1" w14:textId="7CEF7A4E" w:rsidR="00CC2608" w:rsidRPr="00E327F7" w:rsidRDefault="00046AE3" w:rsidP="00E327F7">
    <w:pPr>
      <w:pStyle w:val="SemEspaamento"/>
    </w:pPr>
    <w:r w:rsidRPr="00E327F7">
      <w:t>Ano I - Nº XX - XX.0</w:t>
    </w:r>
    <w:r w:rsidR="00D8640F">
      <w:t>9</w:t>
    </w:r>
    <w:r w:rsidRPr="00E327F7">
      <w:t>.20</w:t>
    </w:r>
    <w:r w:rsidR="007B4D94">
      <w:t>20</w:t>
    </w:r>
  </w:p>
  <w:p w14:paraId="42D61AC2" w14:textId="77777777" w:rsidR="00CC2608" w:rsidRPr="00E327F7" w:rsidRDefault="00046AE3" w:rsidP="00E327F7">
    <w:pPr>
      <w:pStyle w:val="SemEspaamento"/>
    </w:pPr>
    <w:r w:rsidRPr="00E327F7">
      <w:t>ISSN 2594-7338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020B9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31CF"/>
    <w:rsid w:val="0001052C"/>
    <w:rsid w:val="000115C3"/>
    <w:rsid w:val="00011C8B"/>
    <w:rsid w:val="00014D2D"/>
    <w:rsid w:val="00017EC4"/>
    <w:rsid w:val="0002083B"/>
    <w:rsid w:val="000244E2"/>
    <w:rsid w:val="000311A6"/>
    <w:rsid w:val="00044885"/>
    <w:rsid w:val="00046AE3"/>
    <w:rsid w:val="00047EA3"/>
    <w:rsid w:val="0007582C"/>
    <w:rsid w:val="00075C65"/>
    <w:rsid w:val="0009089B"/>
    <w:rsid w:val="000A4F2E"/>
    <w:rsid w:val="000D036C"/>
    <w:rsid w:val="000D6F21"/>
    <w:rsid w:val="000E63DC"/>
    <w:rsid w:val="00102D96"/>
    <w:rsid w:val="00110BF0"/>
    <w:rsid w:val="00136132"/>
    <w:rsid w:val="00167C42"/>
    <w:rsid w:val="00177779"/>
    <w:rsid w:val="00180449"/>
    <w:rsid w:val="001870A6"/>
    <w:rsid w:val="001909C4"/>
    <w:rsid w:val="001C5989"/>
    <w:rsid w:val="001D3277"/>
    <w:rsid w:val="001D5E93"/>
    <w:rsid w:val="002117FC"/>
    <w:rsid w:val="0021242E"/>
    <w:rsid w:val="00222669"/>
    <w:rsid w:val="002278DF"/>
    <w:rsid w:val="00231DDE"/>
    <w:rsid w:val="00232D26"/>
    <w:rsid w:val="00242D21"/>
    <w:rsid w:val="00256445"/>
    <w:rsid w:val="00274E6C"/>
    <w:rsid w:val="00283A9B"/>
    <w:rsid w:val="0028740F"/>
    <w:rsid w:val="002B685B"/>
    <w:rsid w:val="002D2EA1"/>
    <w:rsid w:val="002D7799"/>
    <w:rsid w:val="002E231D"/>
    <w:rsid w:val="002E247A"/>
    <w:rsid w:val="002E55EB"/>
    <w:rsid w:val="002F5C20"/>
    <w:rsid w:val="003003D7"/>
    <w:rsid w:val="003112EB"/>
    <w:rsid w:val="00314D11"/>
    <w:rsid w:val="003174FD"/>
    <w:rsid w:val="003206C2"/>
    <w:rsid w:val="003361FC"/>
    <w:rsid w:val="0033638B"/>
    <w:rsid w:val="00340E46"/>
    <w:rsid w:val="00341081"/>
    <w:rsid w:val="00344274"/>
    <w:rsid w:val="003615B7"/>
    <w:rsid w:val="00361B81"/>
    <w:rsid w:val="0036673D"/>
    <w:rsid w:val="00376E83"/>
    <w:rsid w:val="00390591"/>
    <w:rsid w:val="003A34D3"/>
    <w:rsid w:val="003B1192"/>
    <w:rsid w:val="003B6C99"/>
    <w:rsid w:val="003C6896"/>
    <w:rsid w:val="003D0491"/>
    <w:rsid w:val="003D2155"/>
    <w:rsid w:val="003F3C91"/>
    <w:rsid w:val="003F6D07"/>
    <w:rsid w:val="0042289D"/>
    <w:rsid w:val="00426D69"/>
    <w:rsid w:val="004322D2"/>
    <w:rsid w:val="00437553"/>
    <w:rsid w:val="00455BFA"/>
    <w:rsid w:val="00462F7B"/>
    <w:rsid w:val="004719AE"/>
    <w:rsid w:val="00472D20"/>
    <w:rsid w:val="004772EE"/>
    <w:rsid w:val="00491329"/>
    <w:rsid w:val="004914E9"/>
    <w:rsid w:val="00493CB6"/>
    <w:rsid w:val="0049625B"/>
    <w:rsid w:val="004A0070"/>
    <w:rsid w:val="004C7E51"/>
    <w:rsid w:val="004D2A18"/>
    <w:rsid w:val="004D53A0"/>
    <w:rsid w:val="004D62B4"/>
    <w:rsid w:val="004D7B6A"/>
    <w:rsid w:val="004E29B3"/>
    <w:rsid w:val="004F3EF9"/>
    <w:rsid w:val="0050256E"/>
    <w:rsid w:val="005133AB"/>
    <w:rsid w:val="0052453E"/>
    <w:rsid w:val="00535D46"/>
    <w:rsid w:val="00536A8B"/>
    <w:rsid w:val="00560B83"/>
    <w:rsid w:val="00562249"/>
    <w:rsid w:val="005662E5"/>
    <w:rsid w:val="00570CCD"/>
    <w:rsid w:val="00574D37"/>
    <w:rsid w:val="0057727A"/>
    <w:rsid w:val="00586C9D"/>
    <w:rsid w:val="00590D07"/>
    <w:rsid w:val="005B2A06"/>
    <w:rsid w:val="005C0DA8"/>
    <w:rsid w:val="005C1D77"/>
    <w:rsid w:val="005C75AE"/>
    <w:rsid w:val="005E11FC"/>
    <w:rsid w:val="005F5DA0"/>
    <w:rsid w:val="00607A42"/>
    <w:rsid w:val="006220B4"/>
    <w:rsid w:val="00624724"/>
    <w:rsid w:val="00634D73"/>
    <w:rsid w:val="00637576"/>
    <w:rsid w:val="00637D72"/>
    <w:rsid w:val="00644634"/>
    <w:rsid w:val="00652DFC"/>
    <w:rsid w:val="00691F63"/>
    <w:rsid w:val="006961D2"/>
    <w:rsid w:val="006A2EE5"/>
    <w:rsid w:val="006A36A7"/>
    <w:rsid w:val="006A5EDE"/>
    <w:rsid w:val="006A654B"/>
    <w:rsid w:val="006A6A82"/>
    <w:rsid w:val="006A6D29"/>
    <w:rsid w:val="006A6F42"/>
    <w:rsid w:val="006B056D"/>
    <w:rsid w:val="006D1AA8"/>
    <w:rsid w:val="006D354E"/>
    <w:rsid w:val="006E69F6"/>
    <w:rsid w:val="006E7A86"/>
    <w:rsid w:val="006F0700"/>
    <w:rsid w:val="006F4593"/>
    <w:rsid w:val="00712DDF"/>
    <w:rsid w:val="007137D9"/>
    <w:rsid w:val="00737165"/>
    <w:rsid w:val="007414D7"/>
    <w:rsid w:val="00746E2F"/>
    <w:rsid w:val="00760D2C"/>
    <w:rsid w:val="007669A2"/>
    <w:rsid w:val="00766C16"/>
    <w:rsid w:val="0077787A"/>
    <w:rsid w:val="00784D58"/>
    <w:rsid w:val="00787E02"/>
    <w:rsid w:val="00794393"/>
    <w:rsid w:val="007A435C"/>
    <w:rsid w:val="007A58B1"/>
    <w:rsid w:val="007B4D94"/>
    <w:rsid w:val="007B5B38"/>
    <w:rsid w:val="007B66DA"/>
    <w:rsid w:val="007C2F22"/>
    <w:rsid w:val="007C6C29"/>
    <w:rsid w:val="007E1045"/>
    <w:rsid w:val="007F1F1C"/>
    <w:rsid w:val="00810812"/>
    <w:rsid w:val="00837920"/>
    <w:rsid w:val="00850F64"/>
    <w:rsid w:val="0086306A"/>
    <w:rsid w:val="00865974"/>
    <w:rsid w:val="00867354"/>
    <w:rsid w:val="00867FD4"/>
    <w:rsid w:val="00872F35"/>
    <w:rsid w:val="00884DCB"/>
    <w:rsid w:val="00894A47"/>
    <w:rsid w:val="008A1F03"/>
    <w:rsid w:val="008A2ADE"/>
    <w:rsid w:val="008A7D66"/>
    <w:rsid w:val="008B034B"/>
    <w:rsid w:val="008B6F2D"/>
    <w:rsid w:val="008C29C4"/>
    <w:rsid w:val="008D6863"/>
    <w:rsid w:val="008E5D38"/>
    <w:rsid w:val="0090418F"/>
    <w:rsid w:val="0090549B"/>
    <w:rsid w:val="00946BB3"/>
    <w:rsid w:val="009508FC"/>
    <w:rsid w:val="0095491E"/>
    <w:rsid w:val="00956DA5"/>
    <w:rsid w:val="0098311F"/>
    <w:rsid w:val="00986375"/>
    <w:rsid w:val="0099514B"/>
    <w:rsid w:val="009A0404"/>
    <w:rsid w:val="009B07BC"/>
    <w:rsid w:val="009B290B"/>
    <w:rsid w:val="009C2149"/>
    <w:rsid w:val="009C237D"/>
    <w:rsid w:val="009C58D1"/>
    <w:rsid w:val="00A0643C"/>
    <w:rsid w:val="00A4579A"/>
    <w:rsid w:val="00A50560"/>
    <w:rsid w:val="00A51E45"/>
    <w:rsid w:val="00A572EE"/>
    <w:rsid w:val="00A57E5D"/>
    <w:rsid w:val="00A81A4C"/>
    <w:rsid w:val="00A83E25"/>
    <w:rsid w:val="00A91452"/>
    <w:rsid w:val="00A92DA7"/>
    <w:rsid w:val="00AA03D2"/>
    <w:rsid w:val="00AA20A1"/>
    <w:rsid w:val="00AA72B8"/>
    <w:rsid w:val="00AC23D3"/>
    <w:rsid w:val="00AE36BE"/>
    <w:rsid w:val="00AF2908"/>
    <w:rsid w:val="00AF3CB0"/>
    <w:rsid w:val="00B21F8B"/>
    <w:rsid w:val="00B25C78"/>
    <w:rsid w:val="00B40372"/>
    <w:rsid w:val="00B428AE"/>
    <w:rsid w:val="00B5081C"/>
    <w:rsid w:val="00B5676D"/>
    <w:rsid w:val="00B61414"/>
    <w:rsid w:val="00B639C6"/>
    <w:rsid w:val="00B86B75"/>
    <w:rsid w:val="00BA140B"/>
    <w:rsid w:val="00BA25F8"/>
    <w:rsid w:val="00BA2B2E"/>
    <w:rsid w:val="00BA3136"/>
    <w:rsid w:val="00BB04F8"/>
    <w:rsid w:val="00BB23FB"/>
    <w:rsid w:val="00BB360F"/>
    <w:rsid w:val="00BC2B63"/>
    <w:rsid w:val="00BC3016"/>
    <w:rsid w:val="00BC48D5"/>
    <w:rsid w:val="00BE0AA4"/>
    <w:rsid w:val="00BE0EE1"/>
    <w:rsid w:val="00BE3330"/>
    <w:rsid w:val="00BE779E"/>
    <w:rsid w:val="00C02676"/>
    <w:rsid w:val="00C13D75"/>
    <w:rsid w:val="00C17D67"/>
    <w:rsid w:val="00C270F2"/>
    <w:rsid w:val="00C271A8"/>
    <w:rsid w:val="00C30D26"/>
    <w:rsid w:val="00C36279"/>
    <w:rsid w:val="00C40F53"/>
    <w:rsid w:val="00C6507E"/>
    <w:rsid w:val="00C74BBB"/>
    <w:rsid w:val="00C87A37"/>
    <w:rsid w:val="00CA08ED"/>
    <w:rsid w:val="00CA3C1C"/>
    <w:rsid w:val="00CA54D4"/>
    <w:rsid w:val="00CD0F6D"/>
    <w:rsid w:val="00CD2CF8"/>
    <w:rsid w:val="00CD75F5"/>
    <w:rsid w:val="00CE0497"/>
    <w:rsid w:val="00CE300A"/>
    <w:rsid w:val="00CE34EA"/>
    <w:rsid w:val="00CF3000"/>
    <w:rsid w:val="00D2777A"/>
    <w:rsid w:val="00D35502"/>
    <w:rsid w:val="00D36489"/>
    <w:rsid w:val="00D433A8"/>
    <w:rsid w:val="00D510BD"/>
    <w:rsid w:val="00D67F00"/>
    <w:rsid w:val="00D82FBF"/>
    <w:rsid w:val="00D8640F"/>
    <w:rsid w:val="00D867F2"/>
    <w:rsid w:val="00D94D3B"/>
    <w:rsid w:val="00DA16D5"/>
    <w:rsid w:val="00DB1A79"/>
    <w:rsid w:val="00DB67F5"/>
    <w:rsid w:val="00DC020F"/>
    <w:rsid w:val="00DC2FF9"/>
    <w:rsid w:val="00DC462B"/>
    <w:rsid w:val="00DC6898"/>
    <w:rsid w:val="00DE4495"/>
    <w:rsid w:val="00DF4C7A"/>
    <w:rsid w:val="00E06223"/>
    <w:rsid w:val="00E16D22"/>
    <w:rsid w:val="00E315A3"/>
    <w:rsid w:val="00E3252A"/>
    <w:rsid w:val="00E45B01"/>
    <w:rsid w:val="00E569FB"/>
    <w:rsid w:val="00E75573"/>
    <w:rsid w:val="00E80965"/>
    <w:rsid w:val="00EA74F6"/>
    <w:rsid w:val="00EB17E3"/>
    <w:rsid w:val="00EC4F98"/>
    <w:rsid w:val="00ED38BA"/>
    <w:rsid w:val="00ED4613"/>
    <w:rsid w:val="00EE3735"/>
    <w:rsid w:val="00EF70C2"/>
    <w:rsid w:val="00F05305"/>
    <w:rsid w:val="00F13817"/>
    <w:rsid w:val="00F156EB"/>
    <w:rsid w:val="00F36968"/>
    <w:rsid w:val="00F61341"/>
    <w:rsid w:val="00F70475"/>
    <w:rsid w:val="00F772BE"/>
    <w:rsid w:val="00FA05A5"/>
    <w:rsid w:val="00FA3CF6"/>
    <w:rsid w:val="00FA4E06"/>
    <w:rsid w:val="00FA6A33"/>
    <w:rsid w:val="00FB37BA"/>
    <w:rsid w:val="00FD02AD"/>
    <w:rsid w:val="00FD22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1A32"/>
  <w15:docId w15:val="{E60E6849-98DD-4A07-84AB-DACB7B01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left="709" w:hanging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7F7"/>
    <w:pPr>
      <w:spacing w:before="120" w:after="120" w:line="264" w:lineRule="auto"/>
      <w:ind w:left="0" w:firstLine="0"/>
    </w:pPr>
    <w:rPr>
      <w:rFonts w:asciiTheme="minorHAnsi" w:hAnsiTheme="minorHAnsi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327F7"/>
    <w:pPr>
      <w:spacing w:after="200" w:line="276" w:lineRule="auto"/>
      <w:jc w:val="center"/>
      <w:outlineLvl w:val="0"/>
    </w:pPr>
    <w:rPr>
      <w:b/>
      <w:bCs/>
      <w:sz w:val="24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295C"/>
    <w:pPr>
      <w:keepNext/>
      <w:keepLines/>
      <w:spacing w:before="4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27F7"/>
    <w:rPr>
      <w:rFonts w:asciiTheme="minorHAnsi" w:hAnsiTheme="minorHAnsi"/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295C"/>
    <w:rPr>
      <w:rFonts w:eastAsiaTheme="majorEastAsia" w:cstheme="majorBidi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7BDD"/>
    <w:pPr>
      <w:numPr>
        <w:ilvl w:val="1"/>
      </w:numPr>
      <w:ind w:left="709" w:hanging="709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07BDD"/>
    <w:rPr>
      <w:rFonts w:eastAsiaTheme="minorEastAsia"/>
      <w:b/>
      <w:spacing w:val="15"/>
    </w:rPr>
  </w:style>
  <w:style w:type="paragraph" w:styleId="Citao">
    <w:name w:val="Quote"/>
    <w:basedOn w:val="Normal"/>
    <w:next w:val="Normal"/>
    <w:link w:val="CitaoChar"/>
    <w:uiPriority w:val="29"/>
    <w:qFormat/>
    <w:rsid w:val="00C95B66"/>
    <w:pPr>
      <w:spacing w:line="240" w:lineRule="auto"/>
      <w:ind w:left="2268"/>
    </w:pPr>
    <w:rPr>
      <w:iCs/>
    </w:rPr>
  </w:style>
  <w:style w:type="character" w:customStyle="1" w:styleId="CitaoChar">
    <w:name w:val="Citação Char"/>
    <w:basedOn w:val="Fontepargpadro"/>
    <w:link w:val="Citao"/>
    <w:uiPriority w:val="29"/>
    <w:rsid w:val="00C95B66"/>
    <w:rPr>
      <w:iCs/>
      <w:sz w:val="20"/>
    </w:rPr>
  </w:style>
  <w:style w:type="paragraph" w:styleId="Legenda">
    <w:name w:val="caption"/>
    <w:next w:val="Normal"/>
    <w:uiPriority w:val="35"/>
    <w:unhideWhenUsed/>
    <w:qFormat/>
    <w:rsid w:val="00C02676"/>
    <w:pPr>
      <w:spacing w:before="100" w:beforeAutospacing="1" w:after="120" w:line="240" w:lineRule="auto"/>
      <w:ind w:left="0" w:firstLine="0"/>
    </w:pPr>
    <w:rPr>
      <w:rFonts w:asciiTheme="majorHAnsi" w:hAnsiTheme="majorHAnsi" w:cstheme="majorHAnsi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05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054E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F5ABF"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F5AB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F5AB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CC26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2608"/>
  </w:style>
  <w:style w:type="paragraph" w:styleId="Rodap">
    <w:name w:val="footer"/>
    <w:basedOn w:val="Normal"/>
    <w:link w:val="RodapChar"/>
    <w:uiPriority w:val="99"/>
    <w:unhideWhenUsed/>
    <w:rsid w:val="00CC26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2608"/>
  </w:style>
  <w:style w:type="table" w:styleId="Tabelacomgrade">
    <w:name w:val="Table Grid"/>
    <w:basedOn w:val="Tabelanormal"/>
    <w:uiPriority w:val="39"/>
    <w:rsid w:val="00CE10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styleId="TtulodoLivro">
    <w:name w:val="Book Title"/>
    <w:uiPriority w:val="33"/>
    <w:qFormat/>
    <w:rsid w:val="007C25D0"/>
    <w:rPr>
      <w:noProof/>
      <w:lang w:eastAsia="pt-BR"/>
    </w:rPr>
  </w:style>
  <w:style w:type="paragraph" w:styleId="SemEspaamento">
    <w:name w:val="No Spacing"/>
    <w:basedOn w:val="Cabealho"/>
    <w:uiPriority w:val="1"/>
    <w:qFormat/>
    <w:rsid w:val="00E327F7"/>
    <w:pPr>
      <w:spacing w:before="0" w:after="0"/>
      <w:jc w:val="right"/>
    </w:pPr>
  </w:style>
  <w:style w:type="paragraph" w:customStyle="1" w:styleId="TableCaption">
    <w:name w:val="Table Caption"/>
    <w:qFormat/>
  </w:style>
  <w:style w:type="paragraph" w:customStyle="1" w:styleId="Legenda1">
    <w:name w:val="Legenda1"/>
    <w:next w:val="Normal"/>
    <w:link w:val="captionChar"/>
    <w:qFormat/>
    <w:rsid w:val="00455BFA"/>
    <w:pPr>
      <w:spacing w:after="100" w:afterAutospacing="1" w:line="240" w:lineRule="auto"/>
      <w:ind w:left="0" w:firstLine="0"/>
      <w:jc w:val="left"/>
    </w:pPr>
    <w:rPr>
      <w:rFonts w:asciiTheme="minorHAnsi" w:hAnsiTheme="minorHAnsi"/>
      <w:sz w:val="18"/>
      <w:szCs w:val="20"/>
    </w:rPr>
  </w:style>
  <w:style w:type="character" w:customStyle="1" w:styleId="captionChar">
    <w:name w:val="caption Char"/>
    <w:basedOn w:val="Fontepargpadro"/>
    <w:link w:val="Legenda1"/>
    <w:rsid w:val="00455BFA"/>
    <w:rPr>
      <w:rFonts w:asciiTheme="minorHAnsi" w:hAnsiTheme="minorHAnsi"/>
      <w:sz w:val="18"/>
      <w:szCs w:val="20"/>
    </w:rPr>
  </w:style>
  <w:style w:type="character" w:styleId="Hyperlink">
    <w:name w:val="Hyperlink"/>
    <w:basedOn w:val="Fontepargpadro"/>
    <w:uiPriority w:val="99"/>
    <w:unhideWhenUsed/>
    <w:rsid w:val="003A34D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3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6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a548da2118d25344/Alysson/Unifor/Monitoria/TPE/Elabora&#231;&#227;o%20dos%20Boletins/PMC/boletins_feitos/21%20-%20Setembro_2020/Di&#225;rio_Econ&#244;mico_ETENE_Com&#233;rcio_Setembro_202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[Diário_Econômico_ETENE_Comércio_Setembro_2020.xlsx]Tabela_Gráfico!$I$4</c:f>
              <c:strCache>
                <c:ptCount val="1"/>
                <c:pt idx="0">
                  <c:v>Varejo Restrito 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700"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[Diário_Econômico_ETENE_Comércio_Setembro_2020.xlsx]Tabela_Gráfico!$H$5:$H$16</c:f>
              <c:strCache>
                <c:ptCount val="12"/>
                <c:pt idx="0">
                  <c:v>Maranhão</c:v>
                </c:pt>
                <c:pt idx="1">
                  <c:v>Paraíba</c:v>
                </c:pt>
                <c:pt idx="2">
                  <c:v>Espírito Santo</c:v>
                </c:pt>
                <c:pt idx="3">
                  <c:v>Minas Gerais</c:v>
                </c:pt>
                <c:pt idx="4">
                  <c:v>Brasil</c:v>
                </c:pt>
                <c:pt idx="5">
                  <c:v>Piauí</c:v>
                </c:pt>
                <c:pt idx="6">
                  <c:v>Pernambuco</c:v>
                </c:pt>
                <c:pt idx="7">
                  <c:v>Rio Grande do Norte</c:v>
                </c:pt>
                <c:pt idx="8">
                  <c:v>Alagoas</c:v>
                </c:pt>
                <c:pt idx="9">
                  <c:v>Sergipe</c:v>
                </c:pt>
                <c:pt idx="10">
                  <c:v>Bahia</c:v>
                </c:pt>
                <c:pt idx="11">
                  <c:v>Ceará</c:v>
                </c:pt>
              </c:strCache>
            </c:strRef>
          </c:cat>
          <c:val>
            <c:numRef>
              <c:f>[Diário_Econômico_ETENE_Comércio_Setembro_2020.xlsx]Tabela_Gráfico!$I$5:$I$16</c:f>
              <c:numCache>
                <c:formatCode>0.0_ ;[Red]\-0.0\ </c:formatCode>
                <c:ptCount val="12"/>
                <c:pt idx="0">
                  <c:v>0.6</c:v>
                </c:pt>
                <c:pt idx="1">
                  <c:v>0.1</c:v>
                </c:pt>
                <c:pt idx="2">
                  <c:v>0</c:v>
                </c:pt>
                <c:pt idx="3">
                  <c:v>-0.7</c:v>
                </c:pt>
                <c:pt idx="4">
                  <c:v>-1.8</c:v>
                </c:pt>
                <c:pt idx="5">
                  <c:v>-2.5</c:v>
                </c:pt>
                <c:pt idx="6">
                  <c:v>-5</c:v>
                </c:pt>
                <c:pt idx="7">
                  <c:v>-7.8</c:v>
                </c:pt>
                <c:pt idx="8">
                  <c:v>-9</c:v>
                </c:pt>
                <c:pt idx="9">
                  <c:v>-9.1999999999999993</c:v>
                </c:pt>
                <c:pt idx="10">
                  <c:v>-10.1</c:v>
                </c:pt>
                <c:pt idx="11">
                  <c:v>-13.6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7C-4741-B5F0-1A83826B283E}"/>
            </c:ext>
          </c:extLst>
        </c:ser>
        <c:ser>
          <c:idx val="1"/>
          <c:order val="1"/>
          <c:tx>
            <c:strRef>
              <c:f>[Diário_Econômico_ETENE_Comércio_Setembro_2020.xlsx]Tabela_Gráfico!$J$4</c:f>
              <c:strCache>
                <c:ptCount val="1"/>
                <c:pt idx="0">
                  <c:v>Varejo Ampliado</c:v>
                </c:pt>
              </c:strCache>
            </c:strRef>
          </c:tx>
          <c:spPr>
            <a:solidFill>
              <a:srgbClr val="A6193C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700"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[Diário_Econômico_ETENE_Comércio_Setembro_2020.xlsx]Tabela_Gráfico!$H$5:$H$16</c:f>
              <c:strCache>
                <c:ptCount val="12"/>
                <c:pt idx="0">
                  <c:v>Maranhão</c:v>
                </c:pt>
                <c:pt idx="1">
                  <c:v>Paraíba</c:v>
                </c:pt>
                <c:pt idx="2">
                  <c:v>Espírito Santo</c:v>
                </c:pt>
                <c:pt idx="3">
                  <c:v>Minas Gerais</c:v>
                </c:pt>
                <c:pt idx="4">
                  <c:v>Brasil</c:v>
                </c:pt>
                <c:pt idx="5">
                  <c:v>Piauí</c:v>
                </c:pt>
                <c:pt idx="6">
                  <c:v>Pernambuco</c:v>
                </c:pt>
                <c:pt idx="7">
                  <c:v>Rio Grande do Norte</c:v>
                </c:pt>
                <c:pt idx="8">
                  <c:v>Alagoas</c:v>
                </c:pt>
                <c:pt idx="9">
                  <c:v>Sergipe</c:v>
                </c:pt>
                <c:pt idx="10">
                  <c:v>Bahia</c:v>
                </c:pt>
                <c:pt idx="11">
                  <c:v>Ceará</c:v>
                </c:pt>
              </c:strCache>
            </c:strRef>
          </c:cat>
          <c:val>
            <c:numRef>
              <c:f>[Diário_Econômico_ETENE_Comércio_Setembro_2020.xlsx]Tabela_Gráfico!$J$5:$J$16</c:f>
              <c:numCache>
                <c:formatCode>0.0_ ;[Red]\-0.0\ </c:formatCode>
                <c:ptCount val="12"/>
                <c:pt idx="0">
                  <c:v>-3.2</c:v>
                </c:pt>
                <c:pt idx="1">
                  <c:v>-4.2</c:v>
                </c:pt>
                <c:pt idx="2">
                  <c:v>-2.5</c:v>
                </c:pt>
                <c:pt idx="3">
                  <c:v>-2.2000000000000002</c:v>
                </c:pt>
                <c:pt idx="4">
                  <c:v>-6.2</c:v>
                </c:pt>
                <c:pt idx="5">
                  <c:v>-11.7</c:v>
                </c:pt>
                <c:pt idx="6">
                  <c:v>-8.3000000000000007</c:v>
                </c:pt>
                <c:pt idx="7">
                  <c:v>-9.6999999999999993</c:v>
                </c:pt>
                <c:pt idx="8">
                  <c:v>-7.7</c:v>
                </c:pt>
                <c:pt idx="9">
                  <c:v>-11.3</c:v>
                </c:pt>
                <c:pt idx="10">
                  <c:v>-14</c:v>
                </c:pt>
                <c:pt idx="11">
                  <c:v>-13.1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7C-4741-B5F0-1A83826B283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94"/>
        <c:overlap val="-11"/>
        <c:axId val="41804544"/>
        <c:axId val="41806080"/>
      </c:barChart>
      <c:catAx>
        <c:axId val="41804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 sz="600"/>
            </a:pPr>
            <a:endParaRPr lang="pt-BR"/>
          </a:p>
        </c:txPr>
        <c:crossAx val="41806080"/>
        <c:crosses val="autoZero"/>
        <c:auto val="1"/>
        <c:lblAlgn val="ctr"/>
        <c:lblOffset val="100"/>
        <c:noMultiLvlLbl val="0"/>
      </c:catAx>
      <c:valAx>
        <c:axId val="41806080"/>
        <c:scaling>
          <c:orientation val="minMax"/>
        </c:scaling>
        <c:delete val="1"/>
        <c:axPos val="l"/>
        <c:numFmt formatCode="0.0_ ;[Red]\-0.0\ " sourceLinked="1"/>
        <c:majorTickMark val="out"/>
        <c:minorTickMark val="none"/>
        <c:tickLblPos val="nextTo"/>
        <c:crossAx val="41804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 sz="800"/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sz="600" b="1">
          <a:latin typeface="+mn-lt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 Version="10"/>
</file>

<file path=customXml/itemProps1.xml><?xml version="1.0" encoding="utf-8"?>
<ds:datastoreItem xmlns:ds="http://schemas.openxmlformats.org/officeDocument/2006/customXml" ds:itemID="{FE70D2BB-69C0-4315-8457-4AF90C3B7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874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Nicolico Trompieri Neto;Alysson Inácio de Oliveira</dc:creator>
  <cp:keywords/>
  <cp:lastModifiedBy>Alysson Oliveira</cp:lastModifiedBy>
  <cp:revision>281</cp:revision>
  <dcterms:created xsi:type="dcterms:W3CDTF">2020-04-07T15:46:00Z</dcterms:created>
  <dcterms:modified xsi:type="dcterms:W3CDTF">2020-09-18T01:58:00Z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margin">
    <vt:lpwstr>right = 3cm, top = 2.5cm, left = 3cm, bottom = 2.5cm</vt:lpwstr>
  </property>
  <property fmtid="{D5CDD505-2E9C-101B-9397-08002B2CF9AE}" pid="4" name="output">
    <vt:lpwstr/>
  </property>
</Properties>
</file>