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elvetica" w:hAnsi="Helvetica"/>
        </w:rPr>
      </w:pPr>
      <w:r>
        <w:rPr>
          <w:rFonts w:ascii="Helvetica" w:hAnsi="Helvetica"/>
        </w:rPr>
      </w:r>
    </w:p>
    <w:p>
      <w:pPr>
        <w:pStyle w:val="Normal"/>
        <w:jc w:val="right"/>
        <w:rPr>
          <w:rFonts w:ascii="Helvetica" w:hAnsi="Helvetica"/>
          <w:sz w:val="20"/>
          <w:szCs w:val="20"/>
        </w:rPr>
      </w:pPr>
      <w:r>
        <w:rPr>
          <w:rFonts w:ascii="Helvetica" w:hAnsi="Helvetica"/>
          <w:sz w:val="20"/>
          <w:szCs w:val="20"/>
        </w:rPr>
      </w:r>
    </w:p>
    <w:p>
      <w:pPr>
        <w:pStyle w:val="Normal"/>
        <w:jc w:val="right"/>
        <w:rPr/>
      </w:pPr>
      <w:r>
        <w:rPr>
          <w:rFonts w:ascii="Helvetica" w:hAnsi="Helvetica"/>
          <w:sz w:val="20"/>
          <w:szCs w:val="20"/>
        </w:rPr>
        <w:t xml:space="preserve">Full name: </w:t>
      </w:r>
    </w:p>
    <w:p>
      <w:pPr>
        <w:pStyle w:val="Normal"/>
        <w:jc w:val="right"/>
        <w:rPr/>
      </w:pPr>
      <w:r>
        <w:rPr>
          <w:rFonts w:ascii="Helvetica" w:hAnsi="Helvetica"/>
          <w:sz w:val="20"/>
          <w:szCs w:val="20"/>
        </w:rPr>
        <w:t xml:space="preserve">Immatriculation Number: </w:t>
      </w:r>
    </w:p>
    <w:p>
      <w:pPr>
        <w:pStyle w:val="Normal"/>
        <w:jc w:val="right"/>
        <w:rPr/>
      </w:pPr>
      <w:r>
        <w:rPr>
          <w:rFonts w:ascii="Helvetica" w:hAnsi="Helvetica"/>
          <w:sz w:val="20"/>
          <w:szCs w:val="20"/>
        </w:rPr>
        <w:t xml:space="preserve">                                   </w:t>
      </w:r>
    </w:p>
    <w:p>
      <w:pPr>
        <w:pStyle w:val="Normal"/>
        <w:jc w:val="right"/>
        <w:rPr>
          <w:rFonts w:ascii="Helvetica" w:hAnsi="Helvetica"/>
          <w:sz w:val="20"/>
          <w:szCs w:val="20"/>
        </w:rPr>
      </w:pPr>
      <w:r>
        <w:rPr>
          <w:rFonts w:ascii="Helvetica" w:hAnsi="Helvetica"/>
          <w:sz w:val="20"/>
          <w:szCs w:val="20"/>
        </w:rPr>
      </w:r>
    </w:p>
    <w:p>
      <w:pPr>
        <w:pStyle w:val="Normal"/>
        <w:jc w:val="right"/>
        <w:rPr>
          <w:rFonts w:ascii="Helvetica" w:hAnsi="Helvetica"/>
        </w:rPr>
      </w:pPr>
      <w:r>
        <w:rPr>
          <w:rFonts w:ascii="Helvetica" w:hAnsi="Helvetica"/>
        </w:rPr>
        <w:t xml:space="preserve"> </w:t>
      </w:r>
    </w:p>
    <w:p>
      <w:pPr>
        <w:pStyle w:val="Normal"/>
        <w:jc w:val="center"/>
        <w:rPr>
          <w:rFonts w:ascii="Helvetica" w:hAnsi="Helvetica"/>
          <w:sz w:val="32"/>
          <w:szCs w:val="32"/>
        </w:rPr>
      </w:pPr>
      <w:r>
        <w:rPr>
          <w:rFonts w:ascii="Helvetica" w:hAnsi="Helvetica"/>
          <w:b/>
          <w:bCs/>
          <w:sz w:val="32"/>
          <w:szCs w:val="32"/>
        </w:rPr>
        <w:t>Day 2: Using Cross-References to Retrieve Structural Data from the Protein Data Bank (PDB)</w:t>
      </w:r>
    </w:p>
    <w:p>
      <w:pPr>
        <w:pStyle w:val="HorizontalLine"/>
        <w:rPr>
          <w:rFonts w:ascii="Helvetica" w:hAnsi="Helvetica"/>
        </w:rPr>
      </w:pPr>
      <w:r>
        <w:rPr>
          <w:rFonts w:ascii="Helvetica" w:hAnsi="Helvetica"/>
        </w:rPr>
      </w:r>
    </w:p>
    <w:p>
      <w:pPr>
        <w:pStyle w:val="Normal"/>
        <w:jc w:val="both"/>
        <w:rPr>
          <w:rFonts w:ascii="Helvetica" w:hAnsi="Helvetica"/>
        </w:rPr>
      </w:pPr>
      <w:r>
        <w:rPr>
          <w:rFonts w:ascii="Helvetica" w:hAnsi="Helvetica"/>
          <w:color w:val="000000"/>
        </w:rPr>
        <w:t>As we learned yesterday, KNIME can be handy to query databases in an automated fashion via API requests. UNIPROT contains a multitude of useful information about a given protein. Today we will learn how to interconnect different databases by using cross-references. More specifically, we will use UNIPROT IDs to retrieve and analyze available 3D protein structures from the PDB.</w:t>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rPr>
      </w:pPr>
      <w:r>
        <w:rPr>
          <w:rFonts w:ascii="Helvetica" w:hAnsi="Helvetica"/>
          <w:b/>
          <w:bCs/>
          <w:color w:val="000000"/>
        </w:rPr>
        <w:t>2.1 Example Workflow</w:t>
      </w:r>
    </w:p>
    <w:p>
      <w:pPr>
        <w:pStyle w:val="HorizontalLine"/>
        <w:rPr/>
      </w:pPr>
      <w:r>
        <w:rPr/>
      </w:r>
    </w:p>
    <w:p>
      <w:pPr>
        <w:pStyle w:val="Courier"/>
        <w:jc w:val="both"/>
        <w:rPr/>
      </w:pPr>
      <w:r>
        <w:rPr>
          <w:b w:val="false"/>
          <w:bCs w:val="false"/>
          <w:sz w:val="24"/>
        </w:rPr>
        <w:t xml:space="preserve">UNIPROT provides cross-references to the PDB in the form of PDB IDs  for a given UNIPROT entry (e.g, 3o7q, 4zw9, 3wdo). PDB cross-references are integrated in XML files as </w:t>
      </w:r>
      <w:r>
        <w:rPr>
          <w:rFonts w:ascii="Courier" w:hAnsi="Courier"/>
          <w:b w:val="false"/>
          <w:bCs w:val="false"/>
          <w:sz w:val="24"/>
        </w:rPr>
        <w:t>&lt;dbReference&gt;</w:t>
      </w:r>
      <w:r>
        <w:rPr>
          <w:b w:val="false"/>
          <w:bCs w:val="false"/>
          <w:sz w:val="24"/>
        </w:rPr>
        <w:t xml:space="preserve"> elements. However, there are multiple </w:t>
      </w:r>
      <w:r>
        <w:rPr>
          <w:rFonts w:ascii="Courier" w:hAnsi="Courier"/>
          <w:b w:val="false"/>
          <w:bCs w:val="false"/>
          <w:sz w:val="24"/>
        </w:rPr>
        <w:t>&lt;dbReference&gt;</w:t>
      </w:r>
      <w:r>
        <w:rPr>
          <w:b w:val="false"/>
          <w:bCs w:val="false"/>
          <w:sz w:val="24"/>
        </w:rPr>
        <w:t xml:space="preserve"> elements which provide cross-references to </w:t>
      </w:r>
      <w:r>
        <w:rPr>
          <w:bCs w:val="false"/>
          <w:sz w:val="24"/>
        </w:rPr>
        <w:t>different</w:t>
      </w:r>
      <w:r>
        <w:rPr>
          <w:b w:val="false"/>
          <w:bCs w:val="false"/>
          <w:sz w:val="24"/>
        </w:rPr>
        <w:t xml:space="preserve"> databases, such as:</w:t>
      </w:r>
    </w:p>
    <w:p>
      <w:pPr>
        <w:pStyle w:val="Courier"/>
        <w:jc w:val="both"/>
        <w:rPr>
          <w:b w:val="false"/>
          <w:b w:val="false"/>
          <w:bCs w:val="false"/>
          <w:sz w:val="24"/>
        </w:rPr>
      </w:pPr>
      <w:r>
        <w:rPr>
          <w:b w:val="false"/>
          <w:bCs w:val="false"/>
          <w:sz w:val="24"/>
        </w:rPr>
      </w:r>
    </w:p>
    <w:p>
      <w:pPr>
        <w:pStyle w:val="Courier"/>
        <w:jc w:val="both"/>
        <w:rPr>
          <w:b w:val="false"/>
          <w:b w:val="false"/>
          <w:bCs w:val="false"/>
          <w:sz w:val="24"/>
        </w:rPr>
      </w:pPr>
      <w:r>
        <w:rPr>
          <w:b w:val="false"/>
          <w:bCs w:val="false"/>
          <w:sz w:val="24"/>
        </w:rPr>
      </w:r>
    </w:p>
    <w:p>
      <w:pPr>
        <w:pStyle w:val="Courier"/>
        <w:jc w:val="both"/>
        <w:rPr>
          <w:rFonts w:ascii="Courier" w:hAnsi="Courier"/>
          <w:b w:val="false"/>
          <w:b w:val="false"/>
          <w:bCs w:val="false"/>
          <w:sz w:val="24"/>
        </w:rPr>
      </w:pPr>
      <w:r>
        <w:rPr>
          <w:rFonts w:ascii="Courier" w:hAnsi="Courier"/>
          <w:b w:val="false"/>
          <w:bCs w:val="false"/>
          <w:sz w:val="24"/>
        </w:rPr>
        <w:t>&lt;dbReference type="PubMed" id="12730500"/&gt;</w:t>
      </w:r>
    </w:p>
    <w:p>
      <w:pPr>
        <w:pStyle w:val="Courier"/>
        <w:jc w:val="both"/>
        <w:rPr>
          <w:rFonts w:ascii="Courier" w:hAnsi="Courier"/>
          <w:b w:val="false"/>
          <w:b w:val="false"/>
          <w:bCs w:val="false"/>
          <w:sz w:val="24"/>
        </w:rPr>
      </w:pPr>
      <w:r>
        <w:rPr>
          <w:rFonts w:ascii="Courier" w:hAnsi="Courier"/>
          <w:b w:val="false"/>
          <w:bCs w:val="false"/>
          <w:sz w:val="24"/>
        </w:rPr>
        <w:t>&lt;dbReference type="GO" id="GO:0039579"&gt;</w:t>
      </w:r>
    </w:p>
    <w:p>
      <w:pPr>
        <w:pStyle w:val="Courier"/>
        <w:jc w:val="both"/>
        <w:rPr>
          <w:rFonts w:ascii="Courier" w:hAnsi="Courier"/>
          <w:b w:val="false"/>
          <w:b w:val="false"/>
          <w:bCs w:val="false"/>
          <w:sz w:val="24"/>
        </w:rPr>
      </w:pPr>
      <w:r>
        <w:rPr>
          <w:rFonts w:ascii="Courier" w:hAnsi="Courier"/>
          <w:b w:val="false"/>
          <w:bCs w:val="false"/>
          <w:sz w:val="24"/>
        </w:rPr>
        <w:t>&lt;dbReference type="InterPro" id="IPR036333"&gt;</w:t>
      </w:r>
    </w:p>
    <w:p>
      <w:pPr>
        <w:pStyle w:val="Courier"/>
        <w:jc w:val="both"/>
        <w:rPr>
          <w:rFonts w:ascii="Courier" w:hAnsi="Courier"/>
          <w:b w:val="false"/>
          <w:b w:val="false"/>
          <w:bCs w:val="false"/>
          <w:sz w:val="24"/>
        </w:rPr>
      </w:pPr>
      <w:r>
        <w:rPr>
          <w:rFonts w:ascii="Courier" w:hAnsi="Courier"/>
          <w:b w:val="false"/>
          <w:bCs w:val="false"/>
          <w:sz w:val="24"/>
        </w:rPr>
        <w:t>&lt;dbReference type="Pfam" id="PF06478"&gt;</w:t>
      </w:r>
    </w:p>
    <w:p>
      <w:pPr>
        <w:pStyle w:val="Courier"/>
        <w:jc w:val="both"/>
        <w:rPr>
          <w:rFonts w:ascii="Courier" w:hAnsi="Courier"/>
        </w:rPr>
      </w:pPr>
      <w:r>
        <w:rPr>
          <w:rFonts w:ascii="Courier" w:hAnsi="Courier"/>
          <w:b w:val="false"/>
          <w:bCs w:val="false"/>
          <w:sz w:val="24"/>
        </w:rPr>
        <w:t xml:space="preserve">&lt;dbReference </w:t>
      </w:r>
      <w:r>
        <w:rPr>
          <w:rFonts w:ascii="Courier" w:hAnsi="Courier"/>
          <w:sz w:val="24"/>
        </w:rPr>
        <w:t>type="PDB"</w:t>
      </w:r>
      <w:r>
        <w:rPr>
          <w:rFonts w:ascii="Courier" w:hAnsi="Courier"/>
          <w:b w:val="false"/>
          <w:bCs w:val="false"/>
          <w:sz w:val="24"/>
        </w:rPr>
        <w:t xml:space="preserve"> </w:t>
      </w:r>
      <w:r>
        <w:rPr>
          <w:rFonts w:ascii="Courier" w:hAnsi="Courier"/>
          <w:sz w:val="24"/>
        </w:rPr>
        <w:t>id="6NUR"</w:t>
      </w:r>
      <w:r>
        <w:rPr>
          <w:rFonts w:ascii="Courier" w:hAnsi="Courier"/>
          <w:b w:val="false"/>
          <w:bCs w:val="false"/>
          <w:sz w:val="24"/>
        </w:rPr>
        <w:t>&gt;</w:t>
      </w:r>
    </w:p>
    <w:p>
      <w:pPr>
        <w:pStyle w:val="Courier"/>
        <w:jc w:val="both"/>
        <w:rPr>
          <w:rFonts w:ascii="Courier" w:hAnsi="Courier"/>
          <w:b w:val="false"/>
          <w:b w:val="false"/>
          <w:bCs w:val="false"/>
          <w:sz w:val="24"/>
        </w:rPr>
      </w:pPr>
      <w:r>
        <w:rPr>
          <w:rFonts w:ascii="Courier" w:hAnsi="Courier"/>
          <w:b w:val="false"/>
          <w:bCs w:val="false"/>
          <w:sz w:val="24"/>
        </w:rPr>
      </w:r>
    </w:p>
    <w:p>
      <w:pPr>
        <w:pStyle w:val="Courier"/>
        <w:jc w:val="both"/>
        <w:rPr>
          <w:rFonts w:ascii="Courier" w:hAnsi="Courier"/>
          <w:b w:val="false"/>
          <w:b w:val="false"/>
          <w:bCs w:val="false"/>
          <w:sz w:val="24"/>
        </w:rPr>
      </w:pPr>
      <w:r>
        <w:rPr>
          <w:rFonts w:ascii="Courier" w:hAnsi="Courier"/>
          <w:b w:val="false"/>
          <w:bCs w:val="false"/>
          <w:sz w:val="24"/>
        </w:rPr>
      </w:r>
    </w:p>
    <w:p>
      <w:pPr>
        <w:pStyle w:val="Courier"/>
        <w:jc w:val="both"/>
        <w:rPr>
          <w:rFonts w:ascii="Courier" w:hAnsi="Courier"/>
          <w:b w:val="false"/>
          <w:b w:val="false"/>
          <w:bCs w:val="false"/>
          <w:sz w:val="24"/>
        </w:rPr>
      </w:pPr>
      <w:r>
        <w:rPr>
          <w:rFonts w:ascii="Courier" w:hAnsi="Courier"/>
          <w:b w:val="false"/>
          <w:bCs w:val="false"/>
          <w:sz w:val="24"/>
        </w:rPr>
      </w:r>
    </w:p>
    <w:p>
      <w:pPr>
        <w:pStyle w:val="Courier"/>
        <w:jc w:val="both"/>
        <w:rPr/>
      </w:pPr>
      <w:r>
        <w:rPr>
          <w:b w:val="false"/>
          <w:bCs w:val="false"/>
          <w:sz w:val="24"/>
        </w:rPr>
        <w:t xml:space="preserve">The question arises how to enforce KNIME to only keep XML elements which do possess the ‘PDB’ attribute. We can to this by a proper definition of the Xpath query. We will use a similar syntax like in the previous exercise where we extracted the length of the protein sequence. However, we have to generalize the query in a way that it solely retrieves all ‘id’ values which correspond to the ‘type=”PDB”’ attribute. A correct definition to achieve this operation is shown in the following screenshot: </w:t>
      </w:r>
    </w:p>
    <w:p>
      <w:pPr>
        <w:pStyle w:val="Courier"/>
        <w:jc w:val="both"/>
        <w:rPr>
          <w:rFonts w:ascii="Courier" w:hAnsi="Courier"/>
          <w:b w:val="false"/>
          <w:b w:val="false"/>
          <w:bCs w:val="false"/>
          <w:sz w:val="24"/>
        </w:rPr>
      </w:pPr>
      <w:r>
        <w:rPr>
          <w:rFonts w:ascii="Courier" w:hAnsi="Courier"/>
          <w:b w:val="false"/>
          <w:bCs w:val="false"/>
          <w:sz w:val="24"/>
        </w:rPr>
      </w:r>
    </w:p>
    <w:p>
      <w:pPr>
        <w:pStyle w:val="Courier"/>
        <w:jc w:val="both"/>
        <w:rPr>
          <w:rFonts w:ascii="Courier" w:hAnsi="Courier"/>
          <w:b w:val="false"/>
          <w:b w:val="false"/>
          <w:bCs w:val="false"/>
          <w:sz w:val="24"/>
        </w:rPr>
      </w:pPr>
      <w:r>
        <w:rPr>
          <w:rFonts w:ascii="Courier" w:hAnsi="Courier"/>
          <w:b w:val="false"/>
          <w:bCs w:val="false"/>
          <w:sz w:val="24"/>
        </w:rPr>
      </w:r>
    </w:p>
    <w:p>
      <w:pPr>
        <w:pStyle w:val="Courier"/>
        <w:jc w:val="both"/>
        <w:rPr>
          <w:b w:val="false"/>
          <w:b w:val="false"/>
          <w:bCs w:val="false"/>
          <w:sz w:val="24"/>
        </w:rPr>
      </w:pPr>
      <w:r>
        <w:rPr>
          <w:b w:val="false"/>
          <w:bCs w:val="false"/>
          <w:sz w:val="24"/>
        </w:rPr>
        <w:drawing>
          <wp:anchor behindDoc="0" distT="0" distB="0" distL="0" distR="0" simplePos="0" locked="0" layoutInCell="1" allowOverlap="1" relativeHeight="2">
            <wp:simplePos x="0" y="0"/>
            <wp:positionH relativeFrom="column">
              <wp:posOffset>1202690</wp:posOffset>
            </wp:positionH>
            <wp:positionV relativeFrom="paragraph">
              <wp:posOffset>82550</wp:posOffset>
            </wp:positionV>
            <wp:extent cx="3791585" cy="407797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0" r="1936" b="1126"/>
                    <a:stretch>
                      <a:fillRect/>
                    </a:stretch>
                  </pic:blipFill>
                  <pic:spPr bwMode="auto">
                    <a:xfrm>
                      <a:off x="0" y="0"/>
                      <a:ext cx="3791585" cy="4077970"/>
                    </a:xfrm>
                    <a:prstGeom prst="rect">
                      <a:avLst/>
                    </a:prstGeom>
                  </pic:spPr>
                </pic:pic>
              </a:graphicData>
            </a:graphic>
          </wp:anchor>
        </w:drawing>
      </w:r>
    </w:p>
    <w:p>
      <w:pPr>
        <w:pStyle w:val="Courier"/>
        <w:jc w:val="both"/>
        <w:rPr>
          <w:b w:val="false"/>
          <w:b w:val="false"/>
          <w:bCs w:val="false"/>
          <w:sz w:val="24"/>
        </w:rPr>
      </w:pPr>
      <w:r>
        <w:rPr>
          <w:b w:val="false"/>
          <w:bCs w:val="false"/>
          <w:sz w:val="24"/>
        </w:rPr>
      </w:r>
    </w:p>
    <w:p>
      <w:pPr>
        <w:pStyle w:val="Courier"/>
        <w:jc w:val="both"/>
        <w:rPr>
          <w:b w:val="false"/>
          <w:b w:val="false"/>
          <w:bCs w:val="false"/>
          <w:sz w:val="24"/>
        </w:rPr>
      </w:pPr>
      <w:r>
        <w:rPr>
          <w:b w:val="false"/>
          <w:bCs w:val="false"/>
          <w:sz w:val="24"/>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t>Please note that there can be multiple PDB IDs per single UNIPROT entry available. Therefore, we select the option ‘Multiple Rows’ in ‘Multiple tag options’ to list all unique PDB IDs into a separate row in table. The output table will look as follows:</w:t>
      </w:r>
    </w:p>
    <w:p>
      <w:pPr>
        <w:pStyle w:val="Normal"/>
        <w:jc w:val="both"/>
        <w:rPr>
          <w:rFonts w:ascii="Helvetica" w:hAnsi="Helvetica"/>
          <w:color w:val="000000"/>
        </w:rPr>
      </w:pPr>
      <w:r>
        <w:rPr>
          <w:rFonts w:ascii="Helvetica" w:hAnsi="Helvetica"/>
          <w:color w:val="000000"/>
        </w:rPr>
        <w:drawing>
          <wp:anchor behindDoc="0" distT="0" distB="0" distL="0" distR="0" simplePos="0" locked="0" layoutInCell="1" allowOverlap="1" relativeHeight="3">
            <wp:simplePos x="0" y="0"/>
            <wp:positionH relativeFrom="column">
              <wp:posOffset>812165</wp:posOffset>
            </wp:positionH>
            <wp:positionV relativeFrom="paragraph">
              <wp:posOffset>114300</wp:posOffset>
            </wp:positionV>
            <wp:extent cx="4343400" cy="16490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0" r="0" b="56929"/>
                    <a:stretch>
                      <a:fillRect/>
                    </a:stretch>
                  </pic:blipFill>
                  <pic:spPr bwMode="auto">
                    <a:xfrm>
                      <a:off x="0" y="0"/>
                      <a:ext cx="4343400" cy="1649095"/>
                    </a:xfrm>
                    <a:prstGeom prst="rect">
                      <a:avLst/>
                    </a:prstGeom>
                  </pic:spPr>
                </pic:pic>
              </a:graphicData>
            </a:graphic>
          </wp:anchor>
        </w:drawing>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t xml:space="preserve">In the given example, there is only a single PDB ID (3I6G) for ‘Membrane protein’, while there are eight PDB IDs for ‘Nucleoprotein’, and so on. </w:t>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pPr>
      <w:bookmarkStart w:id="0" w:name="__DdeLink__544_1470971405"/>
      <w:r>
        <w:rPr>
          <w:rFonts w:ascii="Helvetica" w:hAnsi="Helvetica"/>
          <w:color w:val="000000"/>
        </w:rPr>
        <w:t>After retrieving PDB codes per target from UniProt</w:t>
      </w:r>
      <w:r>
        <w:rPr>
          <w:rFonts w:ascii="Helvetica" w:hAnsi="Helvetica"/>
          <w:color w:val="000000"/>
        </w:rPr>
        <w:t>,</w:t>
      </w:r>
      <w:bookmarkEnd w:id="0"/>
      <w:r>
        <w:rPr>
          <w:rFonts w:ascii="Helvetica" w:hAnsi="Helvetica"/>
          <w:color w:val="000000"/>
        </w:rPr>
        <w:t xml:space="preserve"> we use the ‘PDB id’ column to create an API request to extract useful information about the protein structures from PDB. We use the ‘String Manipulation’ node to create the API calls as follows:</w:t>
      </w:r>
    </w:p>
    <w:p>
      <w:pPr>
        <w:pStyle w:val="Normal"/>
        <w:jc w:val="both"/>
        <w:rPr>
          <w:rFonts w:ascii="Helvetica" w:hAnsi="Helvetica"/>
          <w:color w:val="000000"/>
        </w:rPr>
      </w:pPr>
      <w:r>
        <w:rPr>
          <w:rFonts w:ascii="Helvetica" w:hAnsi="Helvetica"/>
          <w:color w:val="000000"/>
        </w:rPr>
      </w:r>
    </w:p>
    <w:p>
      <w:pPr>
        <w:pStyle w:val="TableContents"/>
        <w:jc w:val="center"/>
        <w:rPr>
          <w:rFonts w:ascii="Courier" w:hAnsi="Courier"/>
          <w:color w:val="000000"/>
        </w:rPr>
      </w:pPr>
      <w:r>
        <w:rPr>
          <w:rFonts w:ascii="Courier" w:hAnsi="Courier"/>
          <w:color w:val="000000"/>
        </w:rPr>
        <w:t>https://files.rcsb.org/view/3I6G.pdb</w:t>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t>Since specialized PDB nodes are an integral part of KNIME, we can use them to load PDB files via API calls (‘PDB Loader’ node) and extract different structural properties (‘PDB Property Extractor’ node) directly:</w:t>
      </w:r>
    </w:p>
    <w:p>
      <w:pPr>
        <w:pStyle w:val="Normal"/>
        <w:jc w:val="both"/>
        <w:rPr>
          <w:rFonts w:ascii="Helvetica" w:hAnsi="Helvetica"/>
          <w:color w:val="000000"/>
        </w:rPr>
      </w:pPr>
      <w:r>
        <w:rPr>
          <w:rFonts w:ascii="Helvetica" w:hAnsi="Helvetica"/>
          <w:color w:val="000000"/>
        </w:rPr>
        <w:drawing>
          <wp:anchor behindDoc="0" distT="0" distB="0" distL="0" distR="0" simplePos="0" locked="0" layoutInCell="1" allowOverlap="1" relativeHeight="4">
            <wp:simplePos x="0" y="0"/>
            <wp:positionH relativeFrom="column">
              <wp:posOffset>983615</wp:posOffset>
            </wp:positionH>
            <wp:positionV relativeFrom="paragraph">
              <wp:posOffset>198120</wp:posOffset>
            </wp:positionV>
            <wp:extent cx="4152900" cy="19240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152900" cy="1924050"/>
                    </a:xfrm>
                    <a:prstGeom prst="rect">
                      <a:avLst/>
                    </a:prstGeom>
                  </pic:spPr>
                </pic:pic>
              </a:graphicData>
            </a:graphic>
          </wp:anchor>
        </w:drawing>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pPr>
      <w:r>
        <w:rPr>
          <w:rFonts w:ascii="Helvetica" w:hAnsi="Helvetica"/>
          <w:color w:val="000000"/>
        </w:rPr>
        <w:t>The PDB webservices provide many diverse utilities. For example, we can specify an API call to request detailed information about co-resolved ligands. An example of such an API call is provided below:</w:t>
      </w:r>
    </w:p>
    <w:p>
      <w:pPr>
        <w:pStyle w:val="Normal"/>
        <w:jc w:val="both"/>
        <w:rPr>
          <w:rFonts w:ascii="Helvetica" w:hAnsi="Helvetica"/>
          <w:color w:val="000000"/>
        </w:rPr>
      </w:pPr>
      <w:r>
        <w:rPr>
          <w:rFonts w:ascii="Helvetica" w:hAnsi="Helvetica"/>
          <w:color w:val="000000"/>
        </w:rPr>
      </w:r>
    </w:p>
    <w:p>
      <w:pPr>
        <w:pStyle w:val="TableContents"/>
        <w:jc w:val="center"/>
        <w:rPr>
          <w:rFonts w:ascii="Courier" w:hAnsi="Courier"/>
          <w:color w:val="000000"/>
        </w:rPr>
      </w:pPr>
      <w:r>
        <w:rPr>
          <w:rFonts w:ascii="Courier" w:hAnsi="Courier"/>
          <w:color w:val="000000"/>
        </w:rPr>
        <w:t>https://www.rcsb.org/pdb/rest/ligandInfo?structureId=3I6G</w:t>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pPr>
      <w:r>
        <w:rPr>
          <w:rFonts w:ascii="Helvetica" w:hAnsi="Helvetica"/>
          <w:color w:val="000000"/>
        </w:rPr>
        <w:t>After fetching co-resolved ligands with KNIME, our aim will be to examine ligand properties in greater detail:</w:t>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drawing>
          <wp:anchor behindDoc="0" distT="0" distB="0" distL="0" distR="0" simplePos="0" locked="0" layoutInCell="1" allowOverlap="1" relativeHeight="5">
            <wp:simplePos x="0" y="0"/>
            <wp:positionH relativeFrom="column">
              <wp:posOffset>0</wp:posOffset>
            </wp:positionH>
            <wp:positionV relativeFrom="paragraph">
              <wp:posOffset>27305</wp:posOffset>
            </wp:positionV>
            <wp:extent cx="6032500" cy="115379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032500" cy="1153795"/>
                    </a:xfrm>
                    <a:prstGeom prst="rect">
                      <a:avLst/>
                    </a:prstGeom>
                  </pic:spPr>
                </pic:pic>
              </a:graphicData>
            </a:graphic>
          </wp:anchor>
        </w:drawing>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b/>
          <w:b/>
          <w:bCs/>
        </w:rPr>
      </w:pPr>
      <w:r>
        <w:rPr>
          <w:rFonts w:ascii="Helvetica" w:hAnsi="Helvetica"/>
          <w:b/>
          <w:bCs/>
          <w:color w:val="000000"/>
        </w:rPr>
        <w:t>2.2 Questions &amp; Challenges</w:t>
      </w:r>
    </w:p>
    <w:p>
      <w:pPr>
        <w:pStyle w:val="HorizontalLine"/>
        <w:rPr/>
      </w:pPr>
      <w:r>
        <w:rPr/>
      </w:r>
    </w:p>
    <w:p>
      <w:pPr>
        <w:pStyle w:val="Normal"/>
        <w:jc w:val="both"/>
        <w:rPr>
          <w:rFonts w:ascii="Helvetica" w:hAnsi="Helvetica"/>
        </w:rPr>
      </w:pPr>
      <w:r>
        <w:rPr>
          <w:rFonts w:ascii="Helvetica" w:hAnsi="Helvetica"/>
          <w:color w:val="000000"/>
        </w:rPr>
        <w:t>1. In the example workflow we learned how to link UNIPROT entries to the available PDB structures. After retrieval of available PDB structures use appropriate nodes to calculate the number of unique PDB IDs per UNIPROT entry and fill in the table below:</w:t>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tbl>
      <w:tblPr>
        <w:tblW w:w="9441"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000" w:noVBand="0" w:noHBand="0" w:lastColumn="0" w:firstColumn="0" w:lastRow="0" w:firstRow="0"/>
      </w:tblPr>
      <w:tblGrid>
        <w:gridCol w:w="3240"/>
        <w:gridCol w:w="6200"/>
      </w:tblGrid>
      <w:tr>
        <w:trPr/>
        <w:tc>
          <w:tcPr>
            <w:tcW w:w="324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jc w:val="center"/>
              <w:rPr>
                <w:rFonts w:ascii="Helvetica" w:hAnsi="Helvetica"/>
                <w:b/>
                <w:b/>
                <w:bCs/>
              </w:rPr>
            </w:pPr>
            <w:r>
              <w:rPr>
                <w:rFonts w:ascii="Helvetica" w:hAnsi="Helvetica"/>
                <w:b/>
                <w:bCs/>
              </w:rPr>
              <w:t>Uniprot ID</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center"/>
              <w:rPr/>
            </w:pPr>
            <w:r>
              <w:rPr>
                <w:rFonts w:ascii="Helvetica" w:hAnsi="Helvetica"/>
                <w:b/>
                <w:bCs/>
              </w:rPr>
              <w:t xml:space="preserve">Number of Unique PDB IDs </w:t>
            </w:r>
          </w:p>
        </w:tc>
      </w:tr>
      <w:tr>
        <w:trPr/>
        <w:tc>
          <w:tcPr>
            <w:tcW w:w="324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rFonts w:ascii="Helvetica" w:hAnsi="Helvetica"/>
              </w:rPr>
              <w:t>P0C6X7</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both"/>
              <w:rPr/>
            </w:pPr>
            <w:r>
              <w:rPr/>
            </w:r>
          </w:p>
        </w:tc>
      </w:tr>
      <w:tr>
        <w:trPr/>
        <w:tc>
          <w:tcPr>
            <w:tcW w:w="324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rFonts w:ascii="Helvetica" w:hAnsi="Helvetica"/>
              </w:rPr>
              <w:t>P0C6U8</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jc w:val="both"/>
              <w:rPr/>
            </w:pPr>
            <w:r>
              <w:rPr/>
            </w:r>
          </w:p>
        </w:tc>
      </w:tr>
      <w:tr>
        <w:trPr/>
        <w:tc>
          <w:tcPr>
            <w:tcW w:w="324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rFonts w:ascii="Helvetica" w:hAnsi="Helvetica"/>
              </w:rPr>
              <w:t>P59594</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jc w:val="both"/>
              <w:rPr/>
            </w:pPr>
            <w:r>
              <w:rPr/>
            </w:r>
          </w:p>
        </w:tc>
      </w:tr>
      <w:tr>
        <w:trPr/>
        <w:tc>
          <w:tcPr>
            <w:tcW w:w="324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rFonts w:ascii="Helvetica" w:hAnsi="Helvetica"/>
              </w:rPr>
              <w:t xml:space="preserve">Q9BYF1 </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jc w:val="both"/>
              <w:rPr/>
            </w:pPr>
            <w:r>
              <w:rPr/>
            </w:r>
          </w:p>
        </w:tc>
      </w:tr>
      <w:tr>
        <w:trPr/>
        <w:tc>
          <w:tcPr>
            <w:tcW w:w="324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rFonts w:ascii="Helvetica" w:hAnsi="Helvetica"/>
              </w:rPr>
              <w:t xml:space="preserve">O15393 </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jc w:val="both"/>
              <w:rPr/>
            </w:pPr>
            <w:r>
              <w:rPr/>
            </w:r>
          </w:p>
        </w:tc>
      </w:tr>
      <w:tr>
        <w:trPr/>
        <w:tc>
          <w:tcPr>
            <w:tcW w:w="324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rFonts w:ascii="Helvetica" w:hAnsi="Helvetica"/>
              </w:rPr>
              <w:t xml:space="preserve">P50052 </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jc w:val="both"/>
              <w:rPr/>
            </w:pPr>
            <w:r>
              <w:rPr/>
            </w:r>
          </w:p>
        </w:tc>
      </w:tr>
      <w:tr>
        <w:trPr/>
        <w:tc>
          <w:tcPr>
            <w:tcW w:w="324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rFonts w:ascii="Helvetica" w:hAnsi="Helvetica"/>
              </w:rPr>
              <w:t xml:space="preserve">A0A220F1P8 </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jc w:val="both"/>
              <w:rPr/>
            </w:pPr>
            <w:r>
              <w:rPr/>
            </w:r>
          </w:p>
        </w:tc>
      </w:tr>
    </w:tbl>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pPr>
      <w:r>
        <w:rPr>
          <w:rFonts w:ascii="Helvetica" w:hAnsi="Helvetica"/>
          <w:color w:val="000000"/>
        </w:rPr>
        <w:t>2. After execution of the PDB nodes in your workflow, you should get a list of PDB IDs with their structural properties. Your task is to create a list of available experimental methods (‘Experimental Method’ column) and calculate the number of unique PDB IDs which were resolved by the respective methods.</w:t>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tbl>
      <w:tblPr>
        <w:tblW w:w="9441"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000" w:noVBand="0" w:noHBand="0" w:lastColumn="0" w:firstColumn="0" w:lastRow="0" w:firstRow="0"/>
      </w:tblPr>
      <w:tblGrid>
        <w:gridCol w:w="4405"/>
        <w:gridCol w:w="5035"/>
      </w:tblGrid>
      <w:tr>
        <w:trPr/>
        <w:tc>
          <w:tcPr>
            <w:tcW w:w="4405"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jc w:val="center"/>
              <w:rPr/>
            </w:pPr>
            <w:r>
              <w:rPr>
                <w:rFonts w:ascii="Helvetica" w:hAnsi="Helvetica"/>
                <w:b/>
                <w:bCs/>
              </w:rPr>
              <w:t>Experimental Method</w:t>
            </w:r>
          </w:p>
        </w:tc>
        <w:tc>
          <w:tcPr>
            <w:tcW w:w="50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center"/>
              <w:rPr/>
            </w:pPr>
            <w:r>
              <w:rPr>
                <w:rFonts w:ascii="Helvetica" w:hAnsi="Helvetica"/>
                <w:b/>
                <w:bCs/>
              </w:rPr>
              <w:t xml:space="preserve">Number of Unique PDB IDs </w:t>
            </w:r>
          </w:p>
        </w:tc>
      </w:tr>
      <w:tr>
        <w:trPr/>
        <w:tc>
          <w:tcPr>
            <w:tcW w:w="440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center"/>
              <w:rPr/>
            </w:pPr>
            <w:r>
              <w:rPr/>
            </w:r>
          </w:p>
        </w:tc>
        <w:tc>
          <w:tcPr>
            <w:tcW w:w="50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both"/>
              <w:rPr/>
            </w:pPr>
            <w:r>
              <w:rPr/>
            </w:r>
          </w:p>
        </w:tc>
      </w:tr>
      <w:tr>
        <w:trPr/>
        <w:tc>
          <w:tcPr>
            <w:tcW w:w="440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center"/>
              <w:rPr/>
            </w:pPr>
            <w:r>
              <w:rPr/>
            </w:r>
          </w:p>
        </w:tc>
        <w:tc>
          <w:tcPr>
            <w:tcW w:w="50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jc w:val="both"/>
              <w:rPr/>
            </w:pPr>
            <w:r>
              <w:rPr/>
            </w:r>
          </w:p>
        </w:tc>
      </w:tr>
      <w:tr>
        <w:trPr/>
        <w:tc>
          <w:tcPr>
            <w:tcW w:w="440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center"/>
              <w:rPr/>
            </w:pPr>
            <w:r>
              <w:rPr/>
            </w:r>
          </w:p>
        </w:tc>
        <w:tc>
          <w:tcPr>
            <w:tcW w:w="50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jc w:val="both"/>
              <w:rPr/>
            </w:pPr>
            <w:r>
              <w:rPr/>
            </w:r>
          </w:p>
        </w:tc>
      </w:tr>
      <w:tr>
        <w:trPr/>
        <w:tc>
          <w:tcPr>
            <w:tcW w:w="440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rFonts w:ascii="Helvetica" w:hAnsi="Helvetica"/>
              </w:rPr>
              <w:t xml:space="preserve"> </w:t>
            </w:r>
          </w:p>
        </w:tc>
        <w:tc>
          <w:tcPr>
            <w:tcW w:w="50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jc w:val="both"/>
              <w:rPr/>
            </w:pPr>
            <w:r>
              <w:rPr/>
            </w:r>
          </w:p>
        </w:tc>
      </w:tr>
    </w:tbl>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pPr>
      <w:r>
        <w:rPr>
          <w:rFonts w:ascii="Helvetica" w:hAnsi="Helvetica"/>
          <w:color w:val="000000"/>
        </w:rPr>
        <w:t>3. Which KNIME nodes would you use to calculate basic statistics, such as mininum, maximimum, mean, and median values? Name at least two different nodes:</w:t>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pPr>
      <w:r>
        <w:rPr>
          <w:rFonts w:ascii="Helvetica" w:hAnsi="Helvetica"/>
          <w:color w:val="000000"/>
        </w:rPr>
        <w:t>4. In case of the PDB structures resolved via X-Ray diffraction, use any available KNIME node to calculate the mininum, maximimum, mean, and median values of crystal resolution [</w:t>
      </w:r>
      <w:r>
        <w:rPr>
          <w:rFonts w:ascii="Ubuntu" w:hAnsi="Ubuntu"/>
          <w:color w:val="000000"/>
        </w:rPr>
        <w:t>Å</w:t>
      </w:r>
      <w:r>
        <w:rPr>
          <w:rFonts w:ascii="Helvetica" w:hAnsi="Helvetica"/>
          <w:color w:val="000000"/>
        </w:rPr>
        <w:t>].</w:t>
      </w:r>
    </w:p>
    <w:p>
      <w:pPr>
        <w:pStyle w:val="Normal"/>
        <w:jc w:val="both"/>
        <w:rPr>
          <w:rFonts w:ascii="Helvetica" w:hAnsi="Helvetica"/>
          <w:color w:val="000000"/>
        </w:rPr>
      </w:pPr>
      <w:r>
        <w:rPr>
          <w:rFonts w:ascii="Helvetica" w:hAnsi="Helvetica"/>
          <w:color w:val="000000"/>
        </w:rPr>
      </w:r>
    </w:p>
    <w:tbl>
      <w:tblPr>
        <w:tblW w:w="9441"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000" w:noVBand="0" w:noHBand="0" w:lastColumn="0" w:firstColumn="0" w:lastRow="0" w:firstRow="0"/>
      </w:tblPr>
      <w:tblGrid>
        <w:gridCol w:w="4405"/>
        <w:gridCol w:w="5035"/>
      </w:tblGrid>
      <w:tr>
        <w:trPr/>
        <w:tc>
          <w:tcPr>
            <w:tcW w:w="4405"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jc w:val="center"/>
              <w:rPr/>
            </w:pPr>
            <w:r>
              <w:rPr>
                <w:rFonts w:ascii="Helvetica" w:hAnsi="Helvetica"/>
                <w:b/>
                <w:bCs/>
              </w:rPr>
              <w:t>Statistic Value Type</w:t>
            </w:r>
          </w:p>
        </w:tc>
        <w:tc>
          <w:tcPr>
            <w:tcW w:w="50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center"/>
              <w:rPr/>
            </w:pPr>
            <w:r>
              <w:rPr>
                <w:rFonts w:ascii="Helvetica" w:hAnsi="Helvetica"/>
                <w:b/>
                <w:bCs/>
              </w:rPr>
              <w:t xml:space="preserve">Crystal resolution </w:t>
            </w:r>
            <w:r>
              <w:rPr>
                <w:rFonts w:ascii="Helvetica" w:hAnsi="Helvetica"/>
                <w:b/>
                <w:bCs/>
                <w:color w:val="000000"/>
              </w:rPr>
              <w:t>[</w:t>
            </w:r>
            <w:r>
              <w:rPr>
                <w:rFonts w:ascii="Ubuntu" w:hAnsi="Ubuntu"/>
                <w:b/>
                <w:bCs/>
                <w:color w:val="000000"/>
              </w:rPr>
              <w:t>Å</w:t>
            </w:r>
            <w:r>
              <w:rPr>
                <w:rFonts w:ascii="Helvetica" w:hAnsi="Helvetica"/>
                <w:b/>
                <w:bCs/>
                <w:color w:val="000000"/>
              </w:rPr>
              <w:t>]</w:t>
            </w:r>
          </w:p>
        </w:tc>
      </w:tr>
      <w:tr>
        <w:trPr/>
        <w:tc>
          <w:tcPr>
            <w:tcW w:w="440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center"/>
              <w:rPr/>
            </w:pPr>
            <w:r>
              <w:rPr>
                <w:rFonts w:ascii="Helvetica" w:hAnsi="Helvetica"/>
              </w:rPr>
              <w:t>Minimum</w:t>
            </w:r>
          </w:p>
        </w:tc>
        <w:tc>
          <w:tcPr>
            <w:tcW w:w="50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both"/>
              <w:rPr/>
            </w:pPr>
            <w:r>
              <w:rPr/>
            </w:r>
          </w:p>
        </w:tc>
      </w:tr>
      <w:tr>
        <w:trPr/>
        <w:tc>
          <w:tcPr>
            <w:tcW w:w="440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center"/>
              <w:rPr/>
            </w:pPr>
            <w:r>
              <w:rPr>
                <w:rFonts w:ascii="Helvetica" w:hAnsi="Helvetica"/>
              </w:rPr>
              <w:t>Maximum</w:t>
            </w:r>
          </w:p>
        </w:tc>
        <w:tc>
          <w:tcPr>
            <w:tcW w:w="50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jc w:val="both"/>
              <w:rPr/>
            </w:pPr>
            <w:r>
              <w:rPr/>
            </w:r>
          </w:p>
        </w:tc>
      </w:tr>
      <w:tr>
        <w:trPr/>
        <w:tc>
          <w:tcPr>
            <w:tcW w:w="440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center"/>
              <w:rPr/>
            </w:pPr>
            <w:r>
              <w:rPr>
                <w:rFonts w:ascii="Helvetica" w:hAnsi="Helvetica"/>
              </w:rPr>
              <w:t>Mean</w:t>
            </w:r>
          </w:p>
        </w:tc>
        <w:tc>
          <w:tcPr>
            <w:tcW w:w="50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jc w:val="both"/>
              <w:rPr/>
            </w:pPr>
            <w:r>
              <w:rPr/>
            </w:r>
          </w:p>
        </w:tc>
      </w:tr>
      <w:tr>
        <w:trPr/>
        <w:tc>
          <w:tcPr>
            <w:tcW w:w="440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rFonts w:ascii="Helvetica" w:hAnsi="Helvetica"/>
              </w:rPr>
              <w:t xml:space="preserve">Median </w:t>
            </w:r>
          </w:p>
        </w:tc>
        <w:tc>
          <w:tcPr>
            <w:tcW w:w="50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jc w:val="both"/>
              <w:rPr/>
            </w:pPr>
            <w:r>
              <w:rPr/>
            </w:r>
          </w:p>
        </w:tc>
      </w:tr>
    </w:tbl>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t>5.  After retrieval of co-resolved ligands, look at different ligand properties. What is the minimum, maximum, and median molecular weight for those ligands?</w:t>
      </w:r>
    </w:p>
    <w:p>
      <w:pPr>
        <w:pStyle w:val="Normal"/>
        <w:jc w:val="both"/>
        <w:rPr>
          <w:rFonts w:ascii="Arial" w:hAnsi="Arial"/>
          <w:color w:val="000000"/>
          <w:sz w:val="22"/>
        </w:rPr>
      </w:pPr>
      <w:r>
        <w:rPr>
          <w:rFonts w:ascii="Arial" w:hAnsi="Arial"/>
          <w:color w:val="000000"/>
          <w:sz w:val="22"/>
        </w:rPr>
      </w:r>
    </w:p>
    <w:p>
      <w:pPr>
        <w:pStyle w:val="Normal"/>
        <w:jc w:val="both"/>
        <w:rPr>
          <w:rFonts w:ascii="Helvetica" w:hAnsi="Helvetica"/>
          <w:color w:val="000000"/>
        </w:rPr>
      </w:pPr>
      <w:r>
        <w:rPr>
          <w:rFonts w:ascii="Helvetica" w:hAnsi="Helvetica"/>
          <w:color w:val="000000"/>
        </w:rPr>
      </w:r>
    </w:p>
    <w:tbl>
      <w:tblPr>
        <w:tblW w:w="9441"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000" w:noVBand="0" w:noHBand="0" w:lastColumn="0" w:firstColumn="0" w:lastRow="0" w:firstRow="0"/>
      </w:tblPr>
      <w:tblGrid>
        <w:gridCol w:w="4405"/>
        <w:gridCol w:w="5035"/>
      </w:tblGrid>
      <w:tr>
        <w:trPr/>
        <w:tc>
          <w:tcPr>
            <w:tcW w:w="4405"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jc w:val="center"/>
              <w:rPr/>
            </w:pPr>
            <w:r>
              <w:rPr>
                <w:rFonts w:ascii="Helvetica" w:hAnsi="Helvetica"/>
                <w:b/>
                <w:bCs/>
              </w:rPr>
              <w:t>Statistic Value Type</w:t>
            </w:r>
          </w:p>
        </w:tc>
        <w:tc>
          <w:tcPr>
            <w:tcW w:w="50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center"/>
              <w:rPr/>
            </w:pPr>
            <w:r>
              <w:rPr>
                <w:rFonts w:ascii="Helvetica" w:hAnsi="Helvetica"/>
                <w:b/>
                <w:bCs/>
                <w:color w:val="000000"/>
              </w:rPr>
              <w:t>Molecular Weight</w:t>
            </w:r>
          </w:p>
        </w:tc>
      </w:tr>
      <w:tr>
        <w:trPr/>
        <w:tc>
          <w:tcPr>
            <w:tcW w:w="440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center"/>
              <w:rPr/>
            </w:pPr>
            <w:r>
              <w:rPr>
                <w:rFonts w:ascii="Helvetica" w:hAnsi="Helvetica"/>
              </w:rPr>
              <w:t>Minimum</w:t>
            </w:r>
          </w:p>
        </w:tc>
        <w:tc>
          <w:tcPr>
            <w:tcW w:w="50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both"/>
              <w:rPr/>
            </w:pPr>
            <w:r>
              <w:rPr/>
            </w:r>
          </w:p>
        </w:tc>
      </w:tr>
      <w:tr>
        <w:trPr/>
        <w:tc>
          <w:tcPr>
            <w:tcW w:w="440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center"/>
              <w:rPr/>
            </w:pPr>
            <w:r>
              <w:rPr>
                <w:rFonts w:ascii="Helvetica" w:hAnsi="Helvetica"/>
              </w:rPr>
              <w:t>Maximum</w:t>
            </w:r>
          </w:p>
        </w:tc>
        <w:tc>
          <w:tcPr>
            <w:tcW w:w="50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jc w:val="both"/>
              <w:rPr/>
            </w:pPr>
            <w:r>
              <w:rPr/>
            </w:r>
          </w:p>
        </w:tc>
      </w:tr>
      <w:tr>
        <w:trPr/>
        <w:tc>
          <w:tcPr>
            <w:tcW w:w="440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center"/>
              <w:rPr/>
            </w:pPr>
            <w:r>
              <w:rPr>
                <w:rFonts w:ascii="Helvetica" w:hAnsi="Helvetica"/>
              </w:rPr>
              <w:t>Mean</w:t>
            </w:r>
          </w:p>
        </w:tc>
        <w:tc>
          <w:tcPr>
            <w:tcW w:w="50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jc w:val="both"/>
              <w:rPr/>
            </w:pPr>
            <w:r>
              <w:rPr/>
            </w:r>
          </w:p>
        </w:tc>
      </w:tr>
      <w:tr>
        <w:trPr/>
        <w:tc>
          <w:tcPr>
            <w:tcW w:w="440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rFonts w:ascii="Helvetica" w:hAnsi="Helvetica"/>
              </w:rPr>
              <w:t xml:space="preserve">Median </w:t>
            </w:r>
          </w:p>
        </w:tc>
        <w:tc>
          <w:tcPr>
            <w:tcW w:w="50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jc w:val="both"/>
              <w:rPr/>
            </w:pPr>
            <w:r>
              <w:rPr/>
            </w:r>
          </w:p>
        </w:tc>
      </w:tr>
    </w:tbl>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sz w:val="22"/>
        </w:rPr>
      </w:pPr>
      <w:r>
        <w:rPr>
          <w:rFonts w:ascii="Helvetica" w:hAnsi="Helvetica"/>
          <w:color w:val="000000"/>
          <w:sz w:val="22"/>
        </w:rPr>
      </w:r>
    </w:p>
    <w:p>
      <w:pPr>
        <w:pStyle w:val="Normal"/>
        <w:jc w:val="both"/>
        <w:rPr/>
      </w:pPr>
      <w:r>
        <w:rPr>
          <w:rFonts w:ascii="Helvetica" w:hAnsi="Helvetica"/>
          <w:color w:val="000000"/>
        </w:rPr>
        <w:t>6. Calculate the number of unique ligands per protein target and fill in the table.</w:t>
      </w:r>
    </w:p>
    <w:p>
      <w:pPr>
        <w:pStyle w:val="Normal"/>
        <w:jc w:val="both"/>
        <w:rPr>
          <w:rFonts w:ascii="Helvetica" w:hAnsi="Helvetica"/>
          <w:color w:val="000000"/>
        </w:rPr>
      </w:pPr>
      <w:r>
        <w:rPr>
          <w:rFonts w:ascii="Helvetica" w:hAnsi="Helvetica"/>
          <w:color w:val="000000"/>
        </w:rPr>
      </w:r>
    </w:p>
    <w:tbl>
      <w:tblPr>
        <w:tblW w:w="9441"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000" w:noVBand="0" w:noHBand="0" w:lastColumn="0" w:firstColumn="0" w:lastRow="0" w:firstRow="0"/>
      </w:tblPr>
      <w:tblGrid>
        <w:gridCol w:w="3240"/>
        <w:gridCol w:w="6200"/>
      </w:tblGrid>
      <w:tr>
        <w:trPr/>
        <w:tc>
          <w:tcPr>
            <w:tcW w:w="324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jc w:val="center"/>
              <w:rPr/>
            </w:pPr>
            <w:r>
              <w:rPr>
                <w:rFonts w:ascii="Helvetica" w:hAnsi="Helvetica"/>
                <w:b/>
                <w:bCs/>
              </w:rPr>
              <w:t>Uniprot ID</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center"/>
              <w:rPr/>
            </w:pPr>
            <w:r>
              <w:rPr>
                <w:rFonts w:ascii="Helvetica" w:hAnsi="Helvetica"/>
                <w:b/>
                <w:bCs/>
              </w:rPr>
              <w:t>Number of Unique ligands</w:t>
            </w:r>
          </w:p>
        </w:tc>
      </w:tr>
      <w:tr>
        <w:trPr/>
        <w:tc>
          <w:tcPr>
            <w:tcW w:w="324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rFonts w:ascii="Helvetica" w:hAnsi="Helvetica"/>
              </w:rPr>
              <w:t>P0C6X7</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both"/>
              <w:rPr/>
            </w:pPr>
            <w:r>
              <w:rPr/>
            </w:r>
          </w:p>
        </w:tc>
      </w:tr>
      <w:tr>
        <w:trPr/>
        <w:tc>
          <w:tcPr>
            <w:tcW w:w="324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rFonts w:ascii="Helvetica" w:hAnsi="Helvetica"/>
              </w:rPr>
              <w:t>P0C6U8</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jc w:val="both"/>
              <w:rPr/>
            </w:pPr>
            <w:r>
              <w:rPr/>
            </w:r>
          </w:p>
        </w:tc>
      </w:tr>
      <w:tr>
        <w:trPr/>
        <w:tc>
          <w:tcPr>
            <w:tcW w:w="324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rFonts w:ascii="Helvetica" w:hAnsi="Helvetica"/>
              </w:rPr>
              <w:t>P59594</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jc w:val="both"/>
              <w:rPr/>
            </w:pPr>
            <w:r>
              <w:rPr/>
            </w:r>
          </w:p>
        </w:tc>
      </w:tr>
      <w:tr>
        <w:trPr/>
        <w:tc>
          <w:tcPr>
            <w:tcW w:w="324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rFonts w:ascii="Helvetica" w:hAnsi="Helvetica"/>
              </w:rPr>
              <w:t xml:space="preserve">Q9BYF1 </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jc w:val="both"/>
              <w:rPr/>
            </w:pPr>
            <w:r>
              <w:rPr/>
            </w:r>
          </w:p>
        </w:tc>
      </w:tr>
      <w:tr>
        <w:trPr/>
        <w:tc>
          <w:tcPr>
            <w:tcW w:w="324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rFonts w:ascii="Helvetica" w:hAnsi="Helvetica"/>
              </w:rPr>
              <w:t xml:space="preserve">O15393 </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jc w:val="both"/>
              <w:rPr/>
            </w:pPr>
            <w:r>
              <w:rPr/>
            </w:r>
          </w:p>
        </w:tc>
      </w:tr>
      <w:tr>
        <w:trPr/>
        <w:tc>
          <w:tcPr>
            <w:tcW w:w="324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rFonts w:ascii="Helvetica" w:hAnsi="Helvetica"/>
              </w:rPr>
              <w:t xml:space="preserve">P50052 </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jc w:val="both"/>
              <w:rPr/>
            </w:pPr>
            <w:r>
              <w:rPr/>
            </w:r>
          </w:p>
        </w:tc>
      </w:tr>
      <w:tr>
        <w:trPr/>
        <w:tc>
          <w:tcPr>
            <w:tcW w:w="324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rFonts w:ascii="Helvetica" w:hAnsi="Helvetica"/>
              </w:rPr>
              <w:t xml:space="preserve">A0A220F1P8 </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jc w:val="both"/>
              <w:rPr/>
            </w:pPr>
            <w:r>
              <w:rPr/>
            </w:r>
          </w:p>
        </w:tc>
      </w:tr>
    </w:tbl>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t>7. Provide additional ligand properties by calculating RDKit descriptors for the ligands. First, convert the SMILES string format into a molecular type (‘Molecule Type Cast’ node) format. Now you can visually inspect the ligand structure in a table. As a next step, remove all rows with missing molecular type (‘Row Filter’ node) and keep only unique ligands (‘GroupBy’ node using ligand molecular type as a group). Afterwards, convert smiles columns with visualized structures into the RDKit format (‘RDKit from Molecule’). Then, calculate RDKit descriptors by using the ‘RDKit descriptor calculation’ node. Below you can see the visual depiction of such a workflow:</w:t>
      </w:r>
    </w:p>
    <w:p>
      <w:pPr>
        <w:pStyle w:val="Normal"/>
        <w:jc w:val="both"/>
        <w:rPr>
          <w:rFonts w:ascii="Helvetica" w:hAnsi="Helvetica"/>
          <w:color w:val="000000"/>
          <w:sz w:val="22"/>
        </w:rPr>
      </w:pPr>
      <w:r>
        <w:rPr>
          <w:rFonts w:ascii="Helvetica" w:hAnsi="Helvetica"/>
          <w:color w:val="000000"/>
          <w:sz w:val="22"/>
        </w:rPr>
      </w:r>
    </w:p>
    <w:p>
      <w:pPr>
        <w:pStyle w:val="Normal"/>
        <w:jc w:val="both"/>
        <w:rPr>
          <w:rFonts w:ascii="Helvetica" w:hAnsi="Helvetica"/>
          <w:color w:val="000000"/>
          <w:sz w:val="22"/>
        </w:rPr>
      </w:pPr>
      <w:r>
        <w:rPr/>
        <w:drawing>
          <wp:inline distT="0" distB="0" distL="0" distR="0">
            <wp:extent cx="5422900" cy="137858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422900" cy="1378585"/>
                    </a:xfrm>
                    <a:prstGeom prst="rect">
                      <a:avLst/>
                    </a:prstGeom>
                  </pic:spPr>
                </pic:pic>
              </a:graphicData>
            </a:graphic>
          </wp:inline>
        </w:drawing>
      </w:r>
    </w:p>
    <w:p>
      <w:pPr>
        <w:pStyle w:val="Normal"/>
        <w:jc w:val="both"/>
        <w:rPr>
          <w:rFonts w:ascii="Helvetica" w:hAnsi="Helvetica"/>
          <w:color w:val="000000"/>
          <w:sz w:val="22"/>
        </w:rPr>
      </w:pPr>
      <w:r>
        <w:rPr>
          <w:rFonts w:ascii="Helvetica" w:hAnsi="Helvetica"/>
          <w:color w:val="000000"/>
          <w:sz w:val="22"/>
        </w:rPr>
      </w:r>
    </w:p>
    <w:p>
      <w:pPr>
        <w:pStyle w:val="Normal"/>
        <w:jc w:val="both"/>
        <w:rPr>
          <w:rFonts w:ascii="Helvetica" w:hAnsi="Helvetica"/>
          <w:color w:val="000000"/>
          <w:sz w:val="22"/>
        </w:rPr>
      </w:pPr>
      <w:r>
        <w:rPr>
          <w:rFonts w:ascii="Helvetica" w:hAnsi="Helvetica"/>
          <w:color w:val="000000"/>
          <w:sz w:val="22"/>
        </w:rPr>
      </w:r>
    </w:p>
    <w:p>
      <w:pPr>
        <w:pStyle w:val="Normal"/>
        <w:jc w:val="both"/>
        <w:rPr/>
      </w:pPr>
      <w:r>
        <w:rPr>
          <w:rFonts w:ascii="Helvetica" w:hAnsi="Helvetica"/>
          <w:color w:val="000000"/>
        </w:rPr>
        <w:t>Finally, use any KNIME node of your choice to calculate different statistical measures for the respective RDKit descriptors (table below)</w:t>
      </w:r>
      <w:bookmarkStart w:id="1" w:name="_GoBack"/>
      <w:bookmarkEnd w:id="1"/>
      <w:r>
        <w:rPr>
          <w:rFonts w:ascii="Helvetica" w:hAnsi="Helvetica"/>
          <w:color w:val="000000"/>
        </w:rPr>
        <w:t>:</w:t>
      </w:r>
    </w:p>
    <w:p>
      <w:pPr>
        <w:pStyle w:val="Normal"/>
        <w:jc w:val="both"/>
        <w:rPr>
          <w:rFonts w:ascii="Helvetica" w:hAnsi="Helvetica"/>
          <w:b/>
          <w:b/>
          <w:bCs/>
        </w:rPr>
      </w:pPr>
      <w:r>
        <w:rPr>
          <w:rFonts w:ascii="Helvetica" w:hAnsi="Helvetica"/>
          <w:b/>
          <w:bCs/>
        </w:rPr>
      </w:r>
    </w:p>
    <w:tbl>
      <w:tblPr>
        <w:tblW w:w="9520" w:type="dxa"/>
        <w:jc w:val="left"/>
        <w:tblInd w:w="46"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000" w:noVBand="0" w:noHBand="0" w:lastColumn="0" w:firstColumn="0" w:lastRow="0" w:firstRow="0"/>
      </w:tblPr>
      <w:tblGrid>
        <w:gridCol w:w="1440"/>
        <w:gridCol w:w="800"/>
        <w:gridCol w:w="819"/>
        <w:gridCol w:w="901"/>
        <w:gridCol w:w="1620"/>
        <w:gridCol w:w="1520"/>
        <w:gridCol w:w="2419"/>
      </w:tblGrid>
      <w:tr>
        <w:trPr/>
        <w:tc>
          <w:tcPr>
            <w:tcW w:w="144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both"/>
              <w:rPr>
                <w:rFonts w:ascii="Helvetica" w:hAnsi="Helvetica"/>
              </w:rPr>
            </w:pPr>
            <w:r>
              <w:rPr>
                <w:rFonts w:ascii="Helvetica" w:hAnsi="Helvetica"/>
              </w:rPr>
            </w:r>
          </w:p>
        </w:tc>
        <w:tc>
          <w:tcPr>
            <w:tcW w:w="8079"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jc w:val="center"/>
              <w:rPr/>
            </w:pPr>
            <w:r>
              <w:rPr>
                <w:rFonts w:ascii="Helvetica" w:hAnsi="Helvetica"/>
                <w:b/>
                <w:bCs/>
              </w:rPr>
              <w:t xml:space="preserve">Rdkit descriptor </w:t>
            </w:r>
          </w:p>
        </w:tc>
      </w:tr>
      <w:tr>
        <w:trPr/>
        <w:tc>
          <w:tcPr>
            <w:tcW w:w="144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both"/>
              <w:rPr/>
            </w:pPr>
            <w:r>
              <w:rPr>
                <w:rFonts w:ascii="Helvetica" w:hAnsi="Helvetica"/>
              </w:rPr>
              <w:t>Statistic Value Type</w:t>
            </w:r>
          </w:p>
        </w:tc>
        <w:tc>
          <w:tcPr>
            <w:tcW w:w="8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both"/>
              <w:rPr/>
            </w:pPr>
            <w:r>
              <w:rPr>
                <w:rFonts w:ascii="Helvetica" w:hAnsi="Helvetica"/>
              </w:rPr>
              <w:t>SlogP</w:t>
            </w:r>
          </w:p>
        </w:tc>
        <w:tc>
          <w:tcPr>
            <w:tcW w:w="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both"/>
              <w:rPr/>
            </w:pPr>
            <w:r>
              <w:rPr>
                <w:rFonts w:ascii="Helvetica" w:hAnsi="Helvetica"/>
              </w:rPr>
              <w:t>SMR</w:t>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both"/>
              <w:rPr/>
            </w:pPr>
            <w:r>
              <w:rPr>
                <w:rFonts w:ascii="Helvetica" w:hAnsi="Helvetica"/>
              </w:rPr>
              <w:t>TPSA</w:t>
            </w:r>
          </w:p>
        </w:tc>
        <w:tc>
          <w:tcPr>
            <w:tcW w:w="16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sz w:val="20"/>
                <w:szCs w:val="20"/>
              </w:rPr>
            </w:pPr>
            <w:r>
              <w:rPr>
                <w:rFonts w:ascii="Helvetica" w:hAnsi="Helvetica"/>
                <w:sz w:val="20"/>
                <w:szCs w:val="20"/>
              </w:rPr>
              <w:t>Number of Heteroatoms</w:t>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sz w:val="20"/>
                <w:szCs w:val="20"/>
              </w:rPr>
            </w:pPr>
            <w:r>
              <w:rPr>
                <w:rFonts w:ascii="Helvetica" w:hAnsi="Helvetica"/>
                <w:sz w:val="20"/>
                <w:szCs w:val="20"/>
              </w:rPr>
              <w:t>Number of  Rotatable Bonds</w:t>
            </w:r>
          </w:p>
        </w:tc>
        <w:tc>
          <w:tcPr>
            <w:tcW w:w="24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sz w:val="20"/>
                <w:szCs w:val="20"/>
              </w:rPr>
            </w:pPr>
            <w:r>
              <w:rPr>
                <w:rFonts w:ascii="Helvetica" w:hAnsi="Helvetica"/>
                <w:sz w:val="20"/>
                <w:szCs w:val="20"/>
              </w:rPr>
              <w:t>Number of Aromatic</w:t>
            </w:r>
          </w:p>
          <w:p>
            <w:pPr>
              <w:pStyle w:val="TableContents"/>
              <w:rPr>
                <w:sz w:val="20"/>
                <w:szCs w:val="20"/>
              </w:rPr>
            </w:pPr>
            <w:r>
              <w:rPr>
                <w:rFonts w:ascii="Helvetica" w:hAnsi="Helvetica"/>
                <w:sz w:val="20"/>
                <w:szCs w:val="20"/>
              </w:rPr>
              <w:t>Rings</w:t>
            </w:r>
          </w:p>
        </w:tc>
      </w:tr>
      <w:tr>
        <w:trPr/>
        <w:tc>
          <w:tcPr>
            <w:tcW w:w="144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both"/>
              <w:rPr/>
            </w:pPr>
            <w:r>
              <w:rPr>
                <w:rFonts w:ascii="Helvetica" w:hAnsi="Helvetica"/>
                <w:b/>
                <w:bCs/>
              </w:rPr>
              <w:t>Minimum</w:t>
            </w:r>
          </w:p>
        </w:tc>
        <w:tc>
          <w:tcPr>
            <w:tcW w:w="8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c>
          <w:tcPr>
            <w:tcW w:w="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c>
          <w:tcPr>
            <w:tcW w:w="16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c>
          <w:tcPr>
            <w:tcW w:w="24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r>
      <w:tr>
        <w:trPr/>
        <w:tc>
          <w:tcPr>
            <w:tcW w:w="144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both"/>
              <w:rPr/>
            </w:pPr>
            <w:r>
              <w:rPr>
                <w:rFonts w:ascii="Helvetica" w:hAnsi="Helvetica"/>
                <w:b/>
                <w:bCs/>
              </w:rPr>
              <w:t>Maximum</w:t>
            </w:r>
          </w:p>
        </w:tc>
        <w:tc>
          <w:tcPr>
            <w:tcW w:w="8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c>
          <w:tcPr>
            <w:tcW w:w="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c>
          <w:tcPr>
            <w:tcW w:w="16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c>
          <w:tcPr>
            <w:tcW w:w="24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r>
      <w:tr>
        <w:trPr/>
        <w:tc>
          <w:tcPr>
            <w:tcW w:w="144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both"/>
              <w:rPr/>
            </w:pPr>
            <w:r>
              <w:rPr>
                <w:rFonts w:ascii="Helvetica" w:hAnsi="Helvetica"/>
                <w:b/>
                <w:bCs/>
              </w:rPr>
              <w:t>Mean</w:t>
            </w:r>
          </w:p>
        </w:tc>
        <w:tc>
          <w:tcPr>
            <w:tcW w:w="8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c>
          <w:tcPr>
            <w:tcW w:w="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c>
          <w:tcPr>
            <w:tcW w:w="16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c>
          <w:tcPr>
            <w:tcW w:w="24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r>
      <w:tr>
        <w:trPr/>
        <w:tc>
          <w:tcPr>
            <w:tcW w:w="144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both"/>
              <w:rPr/>
            </w:pPr>
            <w:r>
              <w:rPr>
                <w:rFonts w:ascii="Helvetica" w:hAnsi="Helvetica"/>
                <w:b/>
                <w:bCs/>
              </w:rPr>
              <w:t>Median</w:t>
            </w:r>
          </w:p>
        </w:tc>
        <w:tc>
          <w:tcPr>
            <w:tcW w:w="8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c>
          <w:tcPr>
            <w:tcW w:w="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c>
          <w:tcPr>
            <w:tcW w:w="16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c>
          <w:tcPr>
            <w:tcW w:w="24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Normal"/>
              <w:jc w:val="both"/>
              <w:rPr>
                <w:rFonts w:ascii="Helvetica" w:hAnsi="Helvetica"/>
              </w:rPr>
            </w:pPr>
            <w:r>
              <w:rPr>
                <w:rFonts w:ascii="Helvetica" w:hAnsi="Helvetica"/>
              </w:rPr>
            </w:r>
          </w:p>
        </w:tc>
      </w:tr>
    </w:tbl>
    <w:p>
      <w:pPr>
        <w:pStyle w:val="TableContents"/>
        <w:jc w:val="both"/>
        <w:rPr/>
      </w:pPr>
      <w:r>
        <w:rPr/>
      </w:r>
    </w:p>
    <w:sectPr>
      <w:headerReference w:type="default" r:id="rId7"/>
      <w:footerReference w:type="default" r:id="rId8"/>
      <w:type w:val="nextPage"/>
      <w:pgSz w:w="11906" w:h="16838"/>
      <w:pgMar w:left="1134" w:right="1134" w:header="1134" w:top="1648" w:footer="1134" w:bottom="169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w:altName w:val="Courier New"/>
    <w:charset w:val="01"/>
    <w:family w:val="roman"/>
    <w:pitch w:val="variable"/>
  </w:font>
  <w:font w:name="Ubuntu">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i/>
        <w:i/>
        <w:iCs/>
        <w:sz w:val="20"/>
        <w:szCs w:val="20"/>
      </w:rPr>
    </w:pPr>
    <w:r>
      <w:rPr>
        <w:i/>
        <w:iCs/>
        <w:sz w:val="20"/>
        <w:szCs w:val="20"/>
      </w:rPr>
      <w:t>MPS6 Zdrazil Lab: Data Science Approaches  for Drug Discovery</w:t>
    </w:r>
  </w:p>
</w:hdr>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uiPriority w:val="9"/>
    <w:qFormat/>
    <w:pPr>
      <w:outlineLvl w:val="0"/>
    </w:pPr>
    <w:rPr>
      <w:rFonts w:ascii="Liberation Serif" w:hAnsi="Liberation Serif"/>
      <w:b/>
      <w:bCs/>
      <w:sz w:val="48"/>
      <w:szCs w:val="48"/>
    </w:rPr>
  </w:style>
  <w:style w:type="paragraph" w:styleId="Heading3">
    <w:name w:val="Heading 3"/>
    <w:basedOn w:val="Heading"/>
    <w:uiPriority w:val="9"/>
    <w:semiHidden/>
    <w:unhideWhenUsed/>
    <w:qFormat/>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NumberingSymbols" w:customStyle="1">
    <w:name w:val="Numbering Symbols"/>
    <w:qFormat/>
    <w:rPr/>
  </w:style>
  <w:style w:type="character" w:styleId="SprechblasentextZchn" w:customStyle="1">
    <w:name w:val="Sprechblasentext Zchn"/>
    <w:basedOn w:val="DefaultParagraphFont"/>
    <w:link w:val="Sprechblasentext"/>
    <w:uiPriority w:val="99"/>
    <w:semiHidden/>
    <w:qFormat/>
    <w:rsid w:val="0066076b"/>
    <w:rPr>
      <w:rFonts w:ascii="Times New Roman" w:hAnsi="Times New Roman" w:cs="Mangal"/>
      <w:sz w:val="18"/>
      <w:szCs w:val="16"/>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suppressLineNumbers/>
      <w:tabs>
        <w:tab w:val="center" w:pos="4819" w:leader="none"/>
        <w:tab w:val="right" w:pos="9638" w:leader="none"/>
      </w:tabs>
    </w:pPr>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Footer">
    <w:name w:val="Footer"/>
    <w:basedOn w:val="Normal"/>
    <w:pPr/>
    <w:rPr/>
  </w:style>
  <w:style w:type="paragraph" w:styleId="Courier" w:customStyle="1">
    <w:name w:val="Courier"/>
    <w:basedOn w:val="TableContents"/>
    <w:qFormat/>
    <w:pPr>
      <w:jc w:val="center"/>
    </w:pPr>
    <w:rPr>
      <w:rFonts w:ascii="Helvetica" w:hAnsi="Helvetica"/>
      <w:b/>
      <w:bCs/>
      <w:sz w:val="28"/>
      <w:szCs w:val="28"/>
    </w:rPr>
  </w:style>
  <w:style w:type="paragraph" w:styleId="BalloonText">
    <w:name w:val="Balloon Text"/>
    <w:basedOn w:val="Normal"/>
    <w:link w:val="SprechblasentextZchn"/>
    <w:uiPriority w:val="99"/>
    <w:semiHidden/>
    <w:unhideWhenUsed/>
    <w:qFormat/>
    <w:rsid w:val="0066076b"/>
    <w:pPr/>
    <w:rPr>
      <w:rFonts w:ascii="Times New Roman" w:hAnsi="Times New Roman" w:cs="Mangal"/>
      <w:sz w:val="18"/>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LibreOffice/5.1.6.2$Linux_X86_64 LibreOffice_project/10m0$Build-2</Application>
  <Pages>7</Pages>
  <Words>821</Words>
  <Characters>4532</Characters>
  <CharactersWithSpaces>5335</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2020-04-15T12:56:00Z</dcterms:created>
  <dc:creator>Microsoft Office User</dc:creator>
  <dc:description/>
  <dc:language>en-US</dc:language>
  <cp:lastModifiedBy/>
  <dcterms:modified xsi:type="dcterms:W3CDTF">2020-09-29T20:46:22Z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