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t>Peptide Testing &amp; Certification: Business Plan</w:t>
      </w:r>
    </w:p>
    <w:p>
      <w:pPr>
        <w:pStyle w:val="Heading3"/>
        <w:spacing w:before="160" w:after="80"/>
      </w:pPr>
      <w:r>
        <w:t>The Case for Building the "Informed Sport" of the Research Peptide Market</w:t>
      </w:r>
    </w:p>
    <w:p>
      <w:pPr>
        <w:spacing w:after="120"/>
      </w:pPr>
      <w:r>
        <w:rPr>
          <w:i/>
        </w:rPr>
        <w:t>Research compiled April 2026. All numbers sourced — see Appendix A.</w:t>
      </w:r>
    </w:p>
    <w:p>
      <w:pPr>
        <w:spacing w:before="120" w:after="120"/>
        <w:pBdr>
          <w:bottom w:val="single" w:sz="6" w:space="1" w:color="AAAAAA"/>
        </w:pBdr>
      </w:pPr>
    </w:p>
    <w:p>
      <w:pPr>
        <w:pStyle w:val="Heading2"/>
        <w:spacing w:before="240" w:after="80"/>
      </w:pPr>
      <w:r>
        <w:t>Table of Contents</w:t>
      </w:r>
    </w:p>
    <w:p>
      <w:pPr>
        <w:pStyle w:val="ListNumber"/>
        <w:spacing w:after="40"/>
      </w:pPr>
      <w:r>
        <w:t>Executive Summary</w:t>
      </w:r>
    </w:p>
    <w:p>
      <w:pPr>
        <w:pStyle w:val="ListNumber"/>
        <w:spacing w:after="40"/>
      </w:pPr>
      <w:r>
        <w:t>The Opportunity in One Paragraph</w:t>
      </w:r>
    </w:p>
    <w:p>
      <w:pPr>
        <w:pStyle w:val="ListNumber"/>
        <w:spacing w:after="40"/>
      </w:pPr>
      <w:r>
        <w:t>Market Overview</w:t>
      </w:r>
    </w:p>
    <w:p>
      <w:pPr>
        <w:pStyle w:val="ListBullet"/>
        <w:spacing w:after="40"/>
      </w:pPr>
      <w:r>
        <w:t>3.1 Global Therapeutic Peptide Market</w:t>
      </w:r>
    </w:p>
    <w:p>
      <w:pPr>
        <w:pStyle w:val="ListBullet"/>
        <w:spacing w:after="40"/>
      </w:pPr>
      <w:r>
        <w:t>3.2 GLP-1 / Compounding Pharmacy Sector</w:t>
      </w:r>
    </w:p>
    <w:p>
      <w:pPr>
        <w:pStyle w:val="ListBullet"/>
        <w:spacing w:after="40"/>
      </w:pPr>
      <w:r>
        <w:t>3.3 Research / Gray-Market Peptide Segment</w:t>
      </w:r>
    </w:p>
    <w:p>
      <w:pPr>
        <w:pStyle w:val="ListBullet"/>
        <w:spacing w:after="40"/>
      </w:pPr>
      <w:r>
        <w:t>3.4 Consumer Demand Signals</w:t>
      </w:r>
    </w:p>
    <w:p>
      <w:pPr>
        <w:pStyle w:val="ListBullet"/>
        <w:spacing w:after="40"/>
      </w:pPr>
      <w:r>
        <w:t>3.5 The Quality Failure Rate — Why Testing Is Urgent</w:t>
      </w:r>
    </w:p>
    <w:p>
      <w:pPr>
        <w:pStyle w:val="ListNumber"/>
        <w:spacing w:after="40"/>
      </w:pPr>
      <w:r>
        <w:t>Regulatory Landscape</w:t>
      </w:r>
    </w:p>
    <w:p>
      <w:pPr>
        <w:pStyle w:val="ListBullet"/>
        <w:spacing w:after="40"/>
      </w:pPr>
      <w:r>
        <w:t>4.1 The "Research Use Only" Legal Fiction</w:t>
      </w:r>
    </w:p>
    <w:p>
      <w:pPr>
        <w:pStyle w:val="ListBullet"/>
        <w:spacing w:after="40"/>
      </w:pPr>
      <w:r>
        <w:t>4.2 FDA Enforcement Actions (2023–2026)</w:t>
      </w:r>
    </w:p>
    <w:p>
      <w:pPr>
        <w:pStyle w:val="ListBullet"/>
        <w:spacing w:after="40"/>
      </w:pPr>
      <w:r>
        <w:t>4.3 The Regulatory Tailwind: 2026 Reversals</w:t>
      </w:r>
    </w:p>
    <w:p>
      <w:pPr>
        <w:pStyle w:val="ListBullet"/>
        <w:spacing w:after="40"/>
      </w:pPr>
      <w:r>
        <w:t>4.4 DEA Scheduling Status</w:t>
      </w:r>
    </w:p>
    <w:p>
      <w:pPr>
        <w:pStyle w:val="ListBullet"/>
        <w:spacing w:after="40"/>
      </w:pPr>
      <w:r>
        <w:t>4.5 What a Testing Lab Actually Needs to Operate</w:t>
      </w:r>
    </w:p>
    <w:p>
      <w:pPr>
        <w:pStyle w:val="ListBullet"/>
        <w:spacing w:after="40"/>
      </w:pPr>
      <w:r>
        <w:t>4.6 ISO 17025: The Credential That Matters</w:t>
      </w:r>
    </w:p>
    <w:p>
      <w:pPr>
        <w:pStyle w:val="ListBullet"/>
        <w:spacing w:after="40"/>
      </w:pPr>
      <w:r>
        <w:t>4.7 COA Legal Framework and Liability</w:t>
      </w:r>
    </w:p>
    <w:p>
      <w:pPr>
        <w:pStyle w:val="ListNumber"/>
        <w:spacing w:after="40"/>
      </w:pPr>
      <w:r>
        <w:t>What Is a Certificate of Analysis (COA)?</w:t>
      </w:r>
    </w:p>
    <w:p>
      <w:pPr>
        <w:pStyle w:val="ListNumber"/>
        <w:spacing w:after="40"/>
      </w:pPr>
      <w:r>
        <w:t>Competitive Landscape</w:t>
      </w:r>
    </w:p>
    <w:p>
      <w:pPr>
        <w:pStyle w:val="ListBullet"/>
        <w:spacing w:after="40"/>
      </w:pPr>
      <w:r>
        <w:t>6.1 Janoshik Analytical (Czech Republic)</w:t>
      </w:r>
    </w:p>
    <w:p>
      <w:pPr>
        <w:pStyle w:val="ListBullet"/>
        <w:spacing w:after="40"/>
      </w:pPr>
      <w:r>
        <w:t>6.2 Colmaric Analyticals (US)</w:t>
      </w:r>
    </w:p>
    <w:p>
      <w:pPr>
        <w:pStyle w:val="ListBullet"/>
        <w:spacing w:after="40"/>
      </w:pPr>
      <w:r>
        <w:t>6.3 MZ Biolabs (US)</w:t>
      </w:r>
    </w:p>
    <w:p>
      <w:pPr>
        <w:pStyle w:val="ListBullet"/>
        <w:spacing w:after="40"/>
      </w:pPr>
      <w:r>
        <w:t>6.4 ACS Lab (US)</w:t>
      </w:r>
    </w:p>
    <w:p>
      <w:pPr>
        <w:pStyle w:val="ListBullet"/>
        <w:spacing w:after="40"/>
      </w:pPr>
      <w:r>
        <w:t>6.5 Finnrick (Independent Consumer Testing)</w:t>
      </w:r>
    </w:p>
    <w:p>
      <w:pPr>
        <w:pStyle w:val="ListBullet"/>
        <w:spacing w:after="40"/>
      </w:pPr>
      <w:r>
        <w:t>6.6 In-House Vendor Testing</w:t>
      </w:r>
    </w:p>
    <w:p>
      <w:pPr>
        <w:pStyle w:val="ListBullet"/>
        <w:spacing w:after="40"/>
      </w:pPr>
      <w:r>
        <w:t>6.7 Competitive Gap Matrix</w:t>
      </w:r>
    </w:p>
    <w:p>
      <w:pPr>
        <w:pStyle w:val="ListNumber"/>
        <w:spacing w:after="40"/>
      </w:pPr>
      <w:r>
        <w:t>Three Business Models</w:t>
      </w:r>
    </w:p>
    <w:p>
      <w:pPr>
        <w:pStyle w:val="ListBullet"/>
        <w:spacing w:after="40"/>
      </w:pPr>
      <w:r>
        <w:t>Model A: Full In-House Laboratory</w:t>
      </w:r>
    </w:p>
    <w:p>
      <w:pPr>
        <w:pStyle w:val="ListBullet"/>
        <w:spacing w:after="40"/>
      </w:pPr>
      <w:r>
        <w:t>Model B: White-Label Brand (Outsourced Testing)</w:t>
      </w:r>
    </w:p>
    <w:p>
      <w:pPr>
        <w:pStyle w:val="ListBullet"/>
        <w:spacing w:after="40"/>
      </w:pPr>
      <w:r>
        <w:t>Model C: Certification Body (Standards + Seal)</w:t>
      </w:r>
    </w:p>
    <w:p>
      <w:pPr>
        <w:pStyle w:val="ListBullet"/>
        <w:spacing w:after="40"/>
      </w:pPr>
      <w:r>
        <w:t>Recommended: Phased Hybrid</w:t>
      </w:r>
    </w:p>
    <w:p>
      <w:pPr>
        <w:pStyle w:val="ListNumber"/>
        <w:spacing w:after="40"/>
      </w:pPr>
      <w:r>
        <w:t>Startup Cost Analysis</w:t>
      </w:r>
    </w:p>
    <w:p>
      <w:pPr>
        <w:pStyle w:val="ListBullet"/>
        <w:spacing w:after="40"/>
      </w:pPr>
      <w:r>
        <w:t>8.1 Phase 1: White-Label Launch (Months 1–12)</w:t>
      </w:r>
    </w:p>
    <w:p>
      <w:pPr>
        <w:pStyle w:val="ListBullet"/>
        <w:spacing w:after="40"/>
      </w:pPr>
      <w:r>
        <w:t>8.2 Phase 2: ISO 17025 Accreditation (Months 6–18)</w:t>
      </w:r>
    </w:p>
    <w:p>
      <w:pPr>
        <w:pStyle w:val="ListBullet"/>
        <w:spacing w:after="40"/>
      </w:pPr>
      <w:r>
        <w:t>8.3 Phase 3: In-House Lab Build-Out (Year 2–3)</w:t>
      </w:r>
    </w:p>
    <w:p>
      <w:pPr>
        <w:pStyle w:val="ListBullet"/>
        <w:spacing w:after="40"/>
      </w:pPr>
      <w:r>
        <w:t>8.4 Total Capital Requirements by Model</w:t>
      </w:r>
    </w:p>
    <w:p>
      <w:pPr>
        <w:pStyle w:val="ListNumber"/>
        <w:spacing w:after="40"/>
      </w:pPr>
      <w:r>
        <w:t>Revenue Model and Financial Projections</w:t>
      </w:r>
    </w:p>
    <w:p>
      <w:pPr>
        <w:pStyle w:val="ListBullet"/>
        <w:spacing w:after="40"/>
      </w:pPr>
      <w:r>
        <w:t>9.1 Unit Economics</w:t>
      </w:r>
    </w:p>
    <w:p>
      <w:pPr>
        <w:pStyle w:val="ListBullet"/>
        <w:spacing w:after="40"/>
      </w:pPr>
      <w:r>
        <w:t>9.2 Total Addressable Market</w:t>
      </w:r>
    </w:p>
    <w:p>
      <w:pPr>
        <w:pStyle w:val="ListBullet"/>
        <w:spacing w:after="40"/>
      </w:pPr>
      <w:r>
        <w:t>9.3 5-Year Revenue Projections</w:t>
      </w:r>
    </w:p>
    <w:p>
      <w:pPr>
        <w:pStyle w:val="ListBullet"/>
        <w:spacing w:after="40"/>
      </w:pPr>
      <w:r>
        <w:t>9.4 Break-Even Analysis</w:t>
      </w:r>
    </w:p>
    <w:p>
      <w:pPr>
        <w:pStyle w:val="ListNumber"/>
        <w:spacing w:after="40"/>
      </w:pPr>
      <w:r>
        <w:t>How to Become the NSF of Peptides</w:t>
      </w:r>
    </w:p>
    <w:p>
      <w:pPr>
        <w:pStyle w:val="ListBullet"/>
        <w:spacing w:after="40"/>
      </w:pPr>
      <w:r>
        <w:t>10.1 Case Studies: NSF, Informed Sport, ConsumerLab, UL</w:t>
      </w:r>
    </w:p>
    <w:p>
      <w:pPr>
        <w:pStyle w:val="ListBullet"/>
        <w:spacing w:after="40"/>
      </w:pPr>
      <w:r>
        <w:t>10.2 Network Effects and Critical Mass</w:t>
      </w:r>
    </w:p>
    <w:p>
      <w:pPr>
        <w:pStyle w:val="ListBullet"/>
        <w:spacing w:after="40"/>
      </w:pPr>
      <w:r>
        <w:t>10.3 The Early Adopter Partnership Strategy</w:t>
      </w:r>
    </w:p>
    <w:p>
      <w:pPr>
        <w:pStyle w:val="ListNumber"/>
        <w:spacing w:after="40"/>
      </w:pPr>
      <w:r>
        <w:t>Implementation Roadmap</w:t>
      </w:r>
    </w:p>
    <w:p>
      <w:pPr>
        <w:pStyle w:val="ListNumber"/>
        <w:spacing w:after="40"/>
      </w:pPr>
      <w:r>
        <w:t>Risk Analysis</w:t>
      </w:r>
    </w:p>
    <w:p>
      <w:pPr>
        <w:pStyle w:val="ListNumber"/>
        <w:spacing w:after="40"/>
      </w:pPr>
      <w:r>
        <w:t>The Recommendation</w:t>
      </w:r>
    </w:p>
    <w:p>
      <w:pPr>
        <w:spacing w:after="120"/>
      </w:pPr>
      <w:r>
        <w:t>Appendix A: Data Sources</w:t>
      </w:r>
    </w:p>
    <w:p>
      <w:pPr>
        <w:spacing w:after="120"/>
      </w:pPr>
      <w:r>
        <w:t>Appendix B: Equipment Cost Matrix</w:t>
      </w:r>
    </w:p>
    <w:p>
      <w:pPr>
        <w:spacing w:after="120"/>
      </w:pPr>
      <w:r>
        <w:t>Appendix C: Competitive Comparison Matrix</w:t>
      </w:r>
    </w:p>
    <w:p>
      <w:pPr>
        <w:spacing w:after="120"/>
      </w:pPr>
      <w:r>
        <w:t>Appendix D: Regulatory Quick-Reference</w:t>
      </w:r>
    </w:p>
    <w:p>
      <w:pPr>
        <w:spacing w:before="120" w:after="120"/>
        <w:pBdr>
          <w:bottom w:val="single" w:sz="6" w:space="1" w:color="AAAAAA"/>
        </w:pBdr>
      </w:pPr>
    </w:p>
    <w:p>
      <w:pPr>
        <w:pStyle w:val="Heading2"/>
        <w:spacing w:before="240" w:after="80"/>
      </w:pPr>
      <w:r>
        <w:t>Section 1: Executive Summary</w:t>
      </w:r>
    </w:p>
    <w:p>
      <w:pPr>
        <w:spacing w:after="120"/>
      </w:pPr>
      <w:r>
        <w:t xml:space="preserve">The research peptide market is a multi-hundred-million-dollar industry with a critical infrastructure failure at its core: there is no trusted, standardized, US-based testing and certification body. Gray-market peptide imports from China reached </w:t>
      </w:r>
      <w:r>
        <w:rPr>
          <w:b/>
        </w:rPr>
        <w:t>$328 million in just the first nine months of 2025</w:t>
      </w:r>
      <w:r>
        <w:t xml:space="preserve">, nearly doubling year-over-year. Community testing projects have found that </w:t>
      </w:r>
      <w:r>
        <w:rPr>
          <w:b/>
        </w:rPr>
        <w:t>50% of research peptides contain incorrect dosing, 70% contain toxins or contaminants, and 30% contain the wrong molecule entirely.</w:t>
      </w:r>
      <w:r>
        <w:t xml:space="preserve"> The two most-trusted current testing labs — Janoshik Analytical (Czech Republic) and Colmaric Analyticals (US) — both have significant gaps: disputed or unverifiable ISO 17025 accreditation, opaque pricing, and no certification seal that vendors can display.</w:t>
      </w:r>
    </w:p>
    <w:p>
      <w:pPr>
        <w:spacing w:after="120"/>
      </w:pPr>
      <w:r>
        <w:rPr>
          <w:b/>
        </w:rPr>
        <w:t>The gap:</w:t>
      </w:r>
      <w:r>
        <w:t xml:space="preserve"> NSF International, Informed Sport, USP, and ConsumerLab — the established certification brands in the dietary supplement industry — do not currently test or certify research peptides. The category is unserved by any recognized, standards-based, US-based testing brand.</w:t>
      </w:r>
    </w:p>
    <w:p>
      <w:pPr>
        <w:spacing w:after="120"/>
      </w:pPr>
      <w:r>
        <w:rPr>
          <w:b/>
        </w:rPr>
        <w:t>The opportunity:</w:t>
      </w:r>
      <w:r>
        <w:t xml:space="preserve"> Build the "Informed Sport for peptides." The business model is: test peptide batches from vendors, issue blockchain-verified Certificates of Analysis, and license a recognizable certification seal that signals quality to buyers. Three revenue streams: (1) B2B testing fees from vendors, (2) certification seal licensing for ongoing programs, (3) optional B2C subscription for consumer access to the COA database.</w:t>
      </w:r>
    </w:p>
    <w:p>
      <w:pPr>
        <w:spacing w:after="120"/>
      </w:pPr>
      <w:r>
        <w:rPr>
          <w:b/>
        </w:rPr>
        <w:t>Entry strategy:</w:t>
      </w:r>
      <w:r>
        <w:t xml:space="preserve"> Start with a white-label outsourced model (zero lab capex, fast to market), achieve ISO 17025 accreditation as a marketing credential, then build in-house lab capability as volume justifies. Capital required: </w:t>
      </w:r>
      <w:r>
        <w:rPr>
          <w:b/>
        </w:rPr>
        <w:t>$150K–$300K to launch</w:t>
      </w:r>
      <w:r>
        <w:t>; full lab build-out in Year 2–3 requires $500K–$1.5M additional.</w:t>
      </w:r>
    </w:p>
    <w:p>
      <w:pPr>
        <w:spacing w:after="120"/>
      </w:pPr>
      <w:r>
        <w:rPr>
          <w:b/>
        </w:rPr>
        <w:t>Total addressable market (conservative):</w:t>
      </w:r>
      <w:r>
        <w:t xml:space="preserve"> 1,000 active vendors × 25 SKUs × $500/COA annual = </w:t>
      </w:r>
      <w:r>
        <w:rPr>
          <w:b/>
        </w:rPr>
        <w:t>$12.5M</w:t>
      </w:r>
      <w:r>
        <w:t xml:space="preserve"> in B2B testing alone. Add a B2C subscription layer and a certification seal licensing program and the 5-year revenue target of </w:t>
      </w:r>
      <w:r>
        <w:rPr>
          <w:b/>
        </w:rPr>
        <w:t>$5–15M</w:t>
      </w:r>
      <w:r>
        <w:t xml:space="preserve"> is achievable with first-mover execution.</w:t>
      </w:r>
    </w:p>
    <w:p>
      <w:pPr>
        <w:spacing w:after="120"/>
      </w:pPr>
      <w:r>
        <w:rPr>
          <w:b/>
        </w:rPr>
        <w:t>Regulatory environment:</w:t>
      </w:r>
      <w:r>
        <w:t xml:space="preserve"> Moving in favor of this business, not against it. RFK Jr.'s HHS (February 2026) announced 14 of 19 restricted peptides would be recategorized as legal for compounding. A PCAC advisory panel is scheduled July 2026 to potentially legalize BPC-157 and TB-500 — two of the most popular peptides. More legal peptides means more vendors, more products, more need for testing.</w:t>
      </w:r>
    </w:p>
    <w:p>
      <w:pPr>
        <w:spacing w:before="120" w:after="120"/>
        <w:pBdr>
          <w:bottom w:val="single" w:sz="6" w:space="1" w:color="AAAAAA"/>
        </w:pBdr>
      </w:pPr>
    </w:p>
    <w:p>
      <w:pPr>
        <w:pStyle w:val="Heading2"/>
        <w:spacing w:before="240" w:after="80"/>
      </w:pPr>
      <w:r>
        <w:t>Section 2: The Opportunity in One Paragraph</w:t>
      </w:r>
    </w:p>
    <w:p>
      <w:pPr>
        <w:spacing w:after="120"/>
      </w:pPr>
      <w:r>
        <w:t>The dietary supplement industry in 2001 was exactly where research peptides are today: large, fast-growing, unregulated, and rife with fraud. NSF International stepped into that gap, partnered with the NFL and GNC, and within three years became the mandatory certification standard for serious supplement brands. They grew from $5 million in revenue to a $7 billion market valuation over two decades — doing nothing but testing and stamping products. The research peptide market in 2026 is larger, faster-growing, and more fraud-ridden than supplements were in 2001. There is no NSF equivalent. The window to become the default certification standard is open right now, before a better-funded competitor closes it.</w:t>
      </w:r>
    </w:p>
    <w:p>
      <w:pPr>
        <w:spacing w:before="120" w:after="120"/>
        <w:pBdr>
          <w:bottom w:val="single" w:sz="6" w:space="1" w:color="AAAAAA"/>
        </w:pBdr>
      </w:pPr>
    </w:p>
    <w:p>
      <w:pPr>
        <w:pStyle w:val="Heading2"/>
        <w:spacing w:before="240" w:after="80"/>
      </w:pPr>
      <w:r>
        <w:t>Section 3: Market Overview</w:t>
      </w:r>
    </w:p>
    <w:p>
      <w:pPr>
        <w:pStyle w:val="Heading3"/>
        <w:spacing w:before="160" w:after="80"/>
      </w:pPr>
      <w:r>
        <w:t>3.1 Global Therapeutic Peptide Market</w:t>
      </w:r>
    </w:p>
    <w:p>
      <w:pPr>
        <w:spacing w:after="120"/>
      </w:pPr>
      <w:r>
        <w:t>The global peptide therapeutics market is one of the fastest-growing sectors in biopharmaceuticals. Market estimates vary by source and definition, but the directional consensus is consistent: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before="40" w:after="40"/>
            </w:pPr>
            <w:r>
              <w:rPr>
                <w:b/>
              </w:rPr>
            </w:r>
            <w:r>
              <w:rPr>
                <w:b/>
              </w:rPr>
              <w:t>Source</w:t>
            </w:r>
          </w:p>
        </w:tc>
        <w:tc>
          <w:tcPr>
            <w:tcW w:type="dxa" w:w="2340"/>
          </w:tcPr>
          <w:p>
            <w:pPr>
              <w:spacing w:before="40" w:after="40"/>
            </w:pPr>
            <w:r>
              <w:rPr>
                <w:b/>
              </w:rPr>
            </w:r>
            <w:r>
              <w:rPr>
                <w:b/>
              </w:rPr>
              <w:t>2024–2025 Market Size</w:t>
            </w:r>
          </w:p>
        </w:tc>
        <w:tc>
          <w:tcPr>
            <w:tcW w:type="dxa" w:w="2340"/>
          </w:tcPr>
          <w:p>
            <w:pPr>
              <w:spacing w:before="40" w:after="40"/>
            </w:pPr>
            <w:r>
              <w:rPr>
                <w:b/>
              </w:rPr>
            </w:r>
            <w:r>
              <w:rPr>
                <w:b/>
              </w:rPr>
              <w:t>Projected Size</w:t>
            </w:r>
          </w:p>
        </w:tc>
        <w:tc>
          <w:tcPr>
            <w:tcW w:type="dxa" w:w="2340"/>
          </w:tcPr>
          <w:p>
            <w:pPr>
              <w:spacing w:before="40" w:after="40"/>
            </w:pPr>
            <w:r>
              <w:rPr>
                <w:b/>
              </w:rPr>
            </w:r>
            <w:r>
              <w:rPr>
                <w:b/>
              </w:rPr>
              <w:t>CAGR</w:t>
            </w:r>
          </w:p>
        </w:tc>
      </w:tr>
      <w:tr>
        <w:tc>
          <w:tcPr>
            <w:tcW w:type="dxa" w:w="2340"/>
          </w:tcPr>
          <w:p>
            <w:pPr>
              <w:spacing w:before="40" w:after="40"/>
            </w:pPr>
            <w:r/>
            <w:r>
              <w:t>Grand View Research</w:t>
            </w:r>
          </w:p>
        </w:tc>
        <w:tc>
          <w:tcPr>
            <w:tcW w:type="dxa" w:w="2340"/>
          </w:tcPr>
          <w:p>
            <w:pPr>
              <w:spacing w:before="40" w:after="40"/>
            </w:pPr>
            <w:r/>
            <w:r>
              <w:t>$140.86B (2025)</w:t>
            </w:r>
          </w:p>
        </w:tc>
        <w:tc>
          <w:tcPr>
            <w:tcW w:type="dxa" w:w="2340"/>
          </w:tcPr>
          <w:p>
            <w:pPr>
              <w:spacing w:before="40" w:after="40"/>
            </w:pPr>
            <w:r/>
            <w:r>
              <w:t>$294.58B (2033)</w:t>
            </w:r>
          </w:p>
        </w:tc>
        <w:tc>
          <w:tcPr>
            <w:tcW w:type="dxa" w:w="2340"/>
          </w:tcPr>
          <w:p>
            <w:pPr>
              <w:spacing w:before="40" w:after="40"/>
            </w:pPr>
            <w:r/>
            <w:r>
              <w:t>8.73%</w:t>
            </w:r>
          </w:p>
        </w:tc>
      </w:tr>
      <w:tr>
        <w:tc>
          <w:tcPr>
            <w:tcW w:type="dxa" w:w="2340"/>
          </w:tcPr>
          <w:p>
            <w:pPr>
              <w:spacing w:before="40" w:after="40"/>
            </w:pPr>
            <w:r/>
            <w:r>
              <w:t>GMInsights</w:t>
            </w:r>
          </w:p>
        </w:tc>
        <w:tc>
          <w:tcPr>
            <w:tcW w:type="dxa" w:w="2340"/>
          </w:tcPr>
          <w:p>
            <w:pPr>
              <w:spacing w:before="40" w:after="40"/>
            </w:pPr>
            <w:r/>
            <w:r>
              <w:t>$46.4B (2024)</w:t>
            </w:r>
          </w:p>
        </w:tc>
        <w:tc>
          <w:tcPr>
            <w:tcW w:type="dxa" w:w="2340"/>
          </w:tcPr>
          <w:p>
            <w:pPr>
              <w:spacing w:before="40" w:after="40"/>
            </w:pPr>
            <w:r/>
            <w:r>
              <w:t>$100B (2034)</w:t>
            </w:r>
          </w:p>
        </w:tc>
        <w:tc>
          <w:tcPr>
            <w:tcW w:type="dxa" w:w="2340"/>
          </w:tcPr>
          <w:p>
            <w:pPr>
              <w:spacing w:before="40" w:after="40"/>
            </w:pPr>
            <w:r/>
            <w:r>
              <w:t>8.1%</w:t>
            </w:r>
          </w:p>
        </w:tc>
      </w:tr>
      <w:tr>
        <w:tc>
          <w:tcPr>
            <w:tcW w:type="dxa" w:w="2340"/>
          </w:tcPr>
          <w:p>
            <w:pPr>
              <w:spacing w:before="40" w:after="40"/>
            </w:pPr>
            <w:r/>
            <w:r>
              <w:t>IMARC Group</w:t>
            </w:r>
          </w:p>
        </w:tc>
        <w:tc>
          <w:tcPr>
            <w:tcW w:type="dxa" w:w="2340"/>
          </w:tcPr>
          <w:p>
            <w:pPr>
              <w:spacing w:before="40" w:after="40"/>
            </w:pPr>
            <w:r/>
            <w:r>
              <w:t>$46.17B (2024)</w:t>
            </w:r>
          </w:p>
        </w:tc>
        <w:tc>
          <w:tcPr>
            <w:tcW w:type="dxa" w:w="2340"/>
          </w:tcPr>
          <w:p>
            <w:pPr>
              <w:spacing w:before="40" w:after="40"/>
            </w:pPr>
            <w:r/>
            <w:r>
              <w:t>$91.87B (2033)</w:t>
            </w:r>
          </w:p>
        </w:tc>
        <w:tc>
          <w:tcPr>
            <w:tcW w:type="dxa" w:w="2340"/>
          </w:tcPr>
          <w:p>
            <w:pPr>
              <w:spacing w:before="40" w:after="40"/>
            </w:pPr>
            <w:r/>
            <w:r>
              <w:t>7.55%</w:t>
            </w:r>
          </w:p>
        </w:tc>
      </w:tr>
      <w:tr>
        <w:tc>
          <w:tcPr>
            <w:tcW w:type="dxa" w:w="2340"/>
          </w:tcPr>
          <w:p>
            <w:pPr>
              <w:spacing w:before="40" w:after="40"/>
            </w:pPr>
            <w:r/>
            <w:r>
              <w:t>Roots Analysis</w:t>
            </w:r>
          </w:p>
        </w:tc>
        <w:tc>
          <w:tcPr>
            <w:tcW w:type="dxa" w:w="2340"/>
          </w:tcPr>
          <w:p>
            <w:pPr>
              <w:spacing w:before="40" w:after="40"/>
            </w:pPr>
            <w:r/>
            <w:r>
              <w:t>$72.2B (2024)</w:t>
            </w:r>
          </w:p>
        </w:tc>
        <w:tc>
          <w:tcPr>
            <w:tcW w:type="dxa" w:w="2340"/>
          </w:tcPr>
          <w:p>
            <w:pPr>
              <w:spacing w:before="40" w:after="40"/>
            </w:pPr>
            <w:r/>
            <w:r>
              <w:t>$162.4B (2035)</w:t>
            </w:r>
          </w:p>
        </w:tc>
        <w:tc>
          <w:tcPr>
            <w:tcW w:type="dxa" w:w="2340"/>
          </w:tcPr>
          <w:p>
            <w:pPr>
              <w:spacing w:before="40" w:after="40"/>
            </w:pPr>
            <w:r/>
            <w:r>
              <w:t>6.8%</w:t>
            </w:r>
          </w:p>
        </w:tc>
      </w:tr>
    </w:tbl>
    <w:p/>
    <w:p>
      <w:pPr>
        <w:spacing w:after="120"/>
      </w:pPr>
      <w:r>
        <w:t>The wide range reflects definitional differences (therapeutic peptides only vs. including synthesis and tools). Regardless of which estimate is used, the direction is the same: high single-digit to double-digit annual growth for at least a decade.</w:t>
      </w:r>
    </w:p>
    <w:p>
      <w:pPr>
        <w:spacing w:after="120"/>
      </w:pPr>
      <w:r>
        <w:rPr>
          <w:b/>
        </w:rPr>
        <w:t>Approximately 120 peptide drugs are approved globally</w:t>
      </w:r>
      <w:r>
        <w:t xml:space="preserve"> as of 2024, with the FDA approving 3 new peptide therapeutics in 2024 alone: Palopegteriparatide (Yorvipath) for hypoparathyroidism, Pegulicianine (Lumisight) for breast cancer imaging, and Levacetylleucine (Aqneursa) for Niemann-Pick disease. (Source: NIH/PMC, 2024 FDA TIDES Harvest)</w:t>
      </w:r>
    </w:p>
    <w:p>
      <w:pPr>
        <w:pStyle w:val="Heading3"/>
        <w:spacing w:before="160" w:after="80"/>
      </w:pPr>
      <w:r>
        <w:t>3.2 GLP-1 / Compounding Pharmacy Sector</w:t>
      </w:r>
    </w:p>
    <w:p>
      <w:pPr>
        <w:spacing w:after="120"/>
      </w:pPr>
      <w:r>
        <w:t>The GLP-1 receptor agonist subsegment is the single most important market driver for this business plan. Semaglutide (Ozempic, Wegovy, Rybelsus) and tirzepatide (Mounjaro, Zepbound) are peptides — and their explosive growth has made "peptide" a household word.</w:t>
      </w:r>
    </w:p>
    <w:p>
      <w:pPr>
        <w:pStyle w:val="ListBullet"/>
        <w:spacing w:after="40"/>
      </w:pPr>
      <w:r>
        <w:rPr>
          <w:b/>
        </w:rPr>
        <w:t>US GLP-1 market (2025):</w:t>
      </w:r>
      <w:r>
        <w:t xml:space="preserve"> $47.98 billion; semaglutide = 59.94% share = $27.84 billion (Source: Grand View Research US outlook)</w:t>
      </w:r>
    </w:p>
    <w:p>
      <w:pPr>
        <w:pStyle w:val="ListBullet"/>
        <w:spacing w:after="40"/>
      </w:pPr>
      <w:r>
        <w:rPr>
          <w:b/>
        </w:rPr>
        <w:t>Projected:</w:t>
      </w:r>
      <w:r>
        <w:t xml:space="preserve"> $132.79 billion globally by 2035 at 9.63% CAGR (Source: TowardsHealthcare)</w:t>
      </w:r>
    </w:p>
    <w:p>
      <w:pPr>
        <w:pStyle w:val="ListBullet"/>
        <w:spacing w:after="40"/>
      </w:pPr>
      <w:r>
        <w:rPr>
          <w:b/>
        </w:rPr>
        <w:t>Semaglutide alone:</w:t>
      </w:r>
      <w:r>
        <w:t xml:space="preserve"> Forecasted $58.72 billion by 2031 (Source: Mordor Intelligence)</w:t>
      </w:r>
    </w:p>
    <w:p>
      <w:pPr>
        <w:spacing w:after="120"/>
      </w:pPr>
      <w:r>
        <w:t>The compounding pharmacy market — which produces some peptides legally — is the regulatory battleground:</w:t>
      </w:r>
    </w:p>
    <w:p>
      <w:pPr>
        <w:pStyle w:val="ListBullet"/>
        <w:spacing w:after="40"/>
      </w:pPr>
      <w:r>
        <w:rPr>
          <w:b/>
        </w:rPr>
        <w:t>US compounding pharmacy market:</w:t>
      </w:r>
      <w:r>
        <w:t xml:space="preserve"> $6.45 billion (2025) → $10.93 billion (2034), 6.04% CAGR (Source: Precedence Research)</w:t>
      </w:r>
    </w:p>
    <w:p>
      <w:pPr>
        <w:pStyle w:val="ListBullet"/>
        <w:spacing w:after="40"/>
      </w:pPr>
      <w:r>
        <w:t>503A (traditional compounding): $4.4 billion, 82% of market</w:t>
      </w:r>
    </w:p>
    <w:p>
      <w:pPr>
        <w:pStyle w:val="ListBullet"/>
        <w:spacing w:after="40"/>
      </w:pPr>
      <w:r>
        <w:t>503B (outsourcing facilities): $1.16 billion → $2.42 billion by 2034</w:t>
      </w:r>
    </w:p>
    <w:p>
      <w:pPr>
        <w:spacing w:after="120"/>
      </w:pPr>
      <w:r>
        <w:t xml:space="preserve">At the peak of the GLP-1 shortage, </w:t>
      </w:r>
      <w:r>
        <w:rPr>
          <w:b/>
        </w:rPr>
        <w:t>up to 30% of all US GLP-1 prescriptions</w:t>
      </w:r>
      <w:r>
        <w:t xml:space="preserve"> were being filled by compounding pharmacies. That window has largely closed (FDA resolved the shortage February 2025), but the demand and infrastructure remain. Compounding pharmacies that made semaglutide are now positioned to compound other peptides as regulations evolve — and they need COA testing for every batch.</w:t>
      </w:r>
    </w:p>
    <w:p>
      <w:pPr>
        <w:pStyle w:val="Heading3"/>
        <w:spacing w:before="160" w:after="80"/>
      </w:pPr>
      <w:r>
        <w:t>3.3 Research / Gray-Market Peptide Segment</w:t>
      </w:r>
    </w:p>
    <w:p>
      <w:pPr>
        <w:spacing w:after="120"/>
      </w:pPr>
      <w:r>
        <w:t>The gray market — research peptides sold online labeled "not for human consumption" but widely used by humans — is the most relevant segment for a testing business. The scale is larger than most people realize:</w:t>
      </w:r>
    </w:p>
    <w:p>
      <w:pPr>
        <w:spacing w:after="120"/>
      </w:pPr>
      <w:r>
        <w:rPr>
          <w:b/>
        </w:rPr>
        <w:t>US gray-market peptide imports from China:</w:t>
      </w:r>
    </w:p>
    <w:p>
      <w:pPr>
        <w:pStyle w:val="ListBullet"/>
        <w:spacing w:after="40"/>
      </w:pPr>
      <w:r>
        <w:t xml:space="preserve">First 9 months of 2025: </w:t>
      </w:r>
      <w:r>
        <w:rPr>
          <w:b/>
        </w:rPr>
        <w:t>$328 million</w:t>
      </w:r>
      <w:r>
        <w:t xml:space="preserve"> — nearly double the $164 million in the same period of 2024</w:t>
      </w:r>
    </w:p>
    <w:p>
      <w:pPr>
        <w:pStyle w:val="ListBullet"/>
        <w:spacing w:after="40"/>
      </w:pPr>
      <w:r>
        <w:t>Sources: GZERO Media, SF Standard (September 2025)</w:t>
      </w:r>
    </w:p>
    <w:p>
      <w:pPr>
        <w:spacing w:after="120"/>
      </w:pPr>
      <w:r>
        <w:t>This is not a niche. The SF Standard reported in September 2025: "Everyone Has a Chinese Peptide Dealer Now." Peptides are being purchased by biohackers, gym-goers, anti-aging clinics, concierge medicine practices, and DIY health optimizers.</w:t>
      </w:r>
    </w:p>
    <w:p>
      <w:pPr>
        <w:spacing w:after="120"/>
      </w:pPr>
      <w:r>
        <w:rPr>
          <w:b/>
        </w:rPr>
        <w:t>Consumer adoption data:</w:t>
      </w:r>
    </w:p>
    <w:p>
      <w:pPr>
        <w:pStyle w:val="ListBullet"/>
        <w:spacing w:after="40"/>
      </w:pPr>
      <w:r>
        <w:t xml:space="preserve">Peptide use among gym members: estimated </w:t>
      </w:r>
      <w:r>
        <w:rPr>
          <w:b/>
        </w:rPr>
        <w:t>29%</w:t>
      </w:r>
      <w:r>
        <w:t xml:space="preserve"> (2024) vs. </w:t>
      </w:r>
      <w:r>
        <w:rPr>
          <w:b/>
        </w:rPr>
        <w:t>8.2%</w:t>
      </w:r>
      <w:r>
        <w:t xml:space="preserve"> in 2014 — a 3.5× increase in a decade (Source: fitness epidemiology literature cited in Genesis Publishing)</w:t>
      </w:r>
    </w:p>
    <w:p>
      <w:pPr>
        <w:pStyle w:val="ListBullet"/>
        <w:spacing w:after="40"/>
      </w:pPr>
      <w:r>
        <w:t xml:space="preserve">SuppCo app survey: </w:t>
      </w:r>
      <w:r>
        <w:rPr>
          <w:b/>
        </w:rPr>
        <w:t>~90% of its 640,000 users</w:t>
      </w:r>
      <w:r>
        <w:t xml:space="preserve"> expressed interest in tracking peptides</w:t>
      </w:r>
    </w:p>
    <w:p>
      <w:pPr>
        <w:pStyle w:val="ListBullet"/>
        <w:spacing w:after="40"/>
      </w:pPr>
      <w:r>
        <w:t xml:space="preserve">r/peptides subreddit: </w:t>
      </w:r>
      <w:r>
        <w:rPr>
          <w:b/>
        </w:rPr>
        <w:t>70,000+ weekly visitors</w:t>
      </w:r>
    </w:p>
    <w:p>
      <w:pPr>
        <w:pStyle w:val="ListBullet"/>
        <w:spacing w:after="40"/>
      </w:pPr>
      <w:r>
        <w:t xml:space="preserve">r/biohackers: </w:t>
      </w:r>
      <w:r>
        <w:rPr>
          <w:b/>
        </w:rPr>
        <w:t>600,000+ subscribers</w:t>
      </w:r>
      <w:r>
        <w:t>, frequent peptide discussion threads</w:t>
      </w:r>
    </w:p>
    <w:p>
      <w:pPr>
        <w:pStyle w:val="Heading3"/>
        <w:spacing w:before="160" w:after="80"/>
      </w:pPr>
      <w:r>
        <w:t>3.4 Consumer Demand Signals</w:t>
      </w:r>
    </w:p>
    <w:p>
      <w:pPr>
        <w:spacing w:after="120"/>
      </w:pPr>
      <w:r>
        <w:t>The cultural shift is documented across multiple channels:</w:t>
      </w:r>
    </w:p>
    <w:p>
      <w:pPr>
        <w:pStyle w:val="ListBullet"/>
        <w:spacing w:after="40"/>
      </w:pPr>
      <w:r>
        <w:rPr>
          <w:b/>
        </w:rPr>
        <w:t>Time Magazine (2025–2026):</w:t>
      </w:r>
      <w:r>
        <w:t xml:space="preserve"> Ran cover-adjacent feature on "anti-aging peptide shots" — the viral TikTok/Instagram wellness trend</w:t>
      </w:r>
    </w:p>
    <w:p>
      <w:pPr>
        <w:pStyle w:val="ListBullet"/>
        <w:spacing w:after="40"/>
      </w:pPr>
      <w:r>
        <w:rPr>
          <w:b/>
        </w:rPr>
        <w:t>Globe and Mail:</w:t>
      </w:r>
      <w:r>
        <w:t xml:space="preserve"> "Peptides booming in fitness world" — mainstream Canadian press</w:t>
      </w:r>
    </w:p>
    <w:p>
      <w:pPr>
        <w:pStyle w:val="ListBullet"/>
        <w:spacing w:after="40"/>
      </w:pPr>
      <w:r>
        <w:rPr>
          <w:b/>
        </w:rPr>
        <w:t>STAT News (April 2026):</w:t>
      </w:r>
      <w:r>
        <w:t xml:space="preserve"> RFK Jr.'s explicit support for expanding peptide access</w:t>
      </w:r>
    </w:p>
    <w:p>
      <w:pPr>
        <w:pStyle w:val="ListBullet"/>
        <w:spacing w:after="40"/>
      </w:pPr>
      <w:r>
        <w:rPr>
          <w:b/>
        </w:rPr>
        <w:t>Reddit thread ("What's up with the peptides hype?" early 2026):</w:t>
      </w:r>
      <w:r>
        <w:t xml:space="preserve"> 586 upvotes with comments like "never heard this word before, now it's seemingly everywhere like AI"</w:t>
      </w:r>
    </w:p>
    <w:p>
      <w:pPr>
        <w:spacing w:after="120"/>
      </w:pPr>
      <w:r>
        <w:t>The adoption curve closely resembles the supplement industry in the early 2000s: underground → fitness enthusiast → biohacker → mainstream. Supplements went mainstream in the 2000s–2010s and became a $50+ billion industry. Peptides are on an accelerated version of that same trajectory.</w:t>
      </w:r>
    </w:p>
    <w:p>
      <w:pPr>
        <w:pStyle w:val="Heading3"/>
        <w:spacing w:before="160" w:after="80"/>
      </w:pPr>
      <w:r>
        <w:t>3.5 The Quality Failure Rate — Why Testing Is Urgent</w:t>
      </w:r>
    </w:p>
    <w:p>
      <w:pPr>
        <w:spacing w:after="120"/>
      </w:pPr>
      <w:r>
        <w:t>Community testing projects have documented catastrophic quality failures in the gray-market peptide supply:</w:t>
      </w:r>
    </w:p>
    <w:p>
      <w:pPr>
        <w:pStyle w:val="ListBullet"/>
        <w:spacing w:after="40"/>
      </w:pPr>
      <w:r>
        <w:rPr>
          <w:b/>
        </w:rPr>
        <w:t>50%</w:t>
      </w:r>
      <w:r>
        <w:t xml:space="preserve"> of tested research peptides contained incorrect dosing (above or below stated amounts)</w:t>
      </w:r>
    </w:p>
    <w:p>
      <w:pPr>
        <w:pStyle w:val="ListBullet"/>
        <w:spacing w:after="40"/>
      </w:pPr>
      <w:r>
        <w:rPr>
          <w:b/>
        </w:rPr>
        <w:t>70%</w:t>
      </w:r>
      <w:r>
        <w:t xml:space="preserve"> contained toxins or contaminants</w:t>
      </w:r>
    </w:p>
    <w:p>
      <w:pPr>
        <w:pStyle w:val="ListBullet"/>
        <w:spacing w:after="40"/>
      </w:pPr>
      <w:r>
        <w:rPr>
          <w:b/>
        </w:rPr>
        <w:t>30%</w:t>
      </w:r>
      <w:r>
        <w:t xml:space="preserve"> contained incorrect amino acid sequences</w:t>
      </w:r>
    </w:p>
    <w:p>
      <w:pPr>
        <w:pStyle w:val="ListBullet"/>
        <w:spacing w:after="40"/>
      </w:pPr>
      <w:r>
        <w:rPr>
          <w:b/>
        </w:rPr>
        <w:t>1 in 3</w:t>
      </w:r>
      <w:r>
        <w:t xml:space="preserve"> products was not the molecule ordered</w:t>
      </w:r>
    </w:p>
    <w:p>
      <w:pPr>
        <w:spacing w:after="120"/>
      </w:pPr>
      <w:r>
        <w:t>(Source: Safety analyses cited in TC Compound blog, referencing community testing data)</w:t>
      </w:r>
    </w:p>
    <w:p>
      <w:pPr>
        <w:spacing w:after="120"/>
      </w:pPr>
      <w:r>
        <w:t>This is not a minor quality-control gap. This is a systematic failure that has caused real harm (incorrect dosing of semaglutide analogs has been documented in urgent care visits) and that creates urgent demand for verified, trustworthy testing.</w:t>
      </w:r>
    </w:p>
    <w:p>
      <w:pPr>
        <w:spacing w:after="120"/>
      </w:pPr>
      <w:r>
        <w:rPr>
          <w:b/>
        </w:rPr>
        <w:t>The price signal:</w:t>
      </w:r>
      <w:r>
        <w:t xml:space="preserve"> Buyers already pay a 30–50% premium for tested peptides:</w:t>
      </w:r>
    </w:p>
    <w:p>
      <w:pPr>
        <w:pStyle w:val="ListBullet"/>
        <w:spacing w:after="40"/>
      </w:pPr>
      <w:r>
        <w:t>Untested peptide vial: $90–$120</w:t>
      </w:r>
    </w:p>
    <w:p>
      <w:pPr>
        <w:pStyle w:val="ListBullet"/>
        <w:spacing w:after="40"/>
      </w:pPr>
      <w:r>
        <w:t>Verified third-party tested vial: $140–$150</w:t>
      </w:r>
    </w:p>
    <w:p>
      <w:pPr>
        <w:spacing w:after="120"/>
      </w:pPr>
      <w:r>
        <w:t>This premium is the market expressing exactly how much consumers value quality assurance. That premium is the revenue model.</w:t>
      </w:r>
    </w:p>
    <w:p>
      <w:pPr>
        <w:spacing w:before="120" w:after="120"/>
        <w:pBdr>
          <w:bottom w:val="single" w:sz="6" w:space="1" w:color="AAAAAA"/>
        </w:pBdr>
      </w:pPr>
    </w:p>
    <w:p>
      <w:pPr>
        <w:pStyle w:val="Heading2"/>
        <w:spacing w:before="240" w:after="80"/>
      </w:pPr>
      <w:r>
        <w:t>Section 4: Regulatory Landscape</w:t>
      </w:r>
    </w:p>
    <w:p>
      <w:pPr>
        <w:pStyle w:val="Heading3"/>
        <w:spacing w:before="160" w:after="80"/>
      </w:pPr>
      <w:r>
        <w:t>4.1 The "Research Use Only" Legal Fiction</w:t>
      </w:r>
    </w:p>
    <w:p>
      <w:pPr>
        <w:spacing w:after="120"/>
      </w:pPr>
      <w:r>
        <w:t>The entire gray-market peptide industry runs on a legal fiction: products are labeled "not for human consumption" and sold as "research chemicals." This label provides zero legal protection.</w:t>
      </w:r>
    </w:p>
    <w:p>
      <w:pPr>
        <w:spacing w:after="120"/>
      </w:pPr>
      <w:r>
        <w:t xml:space="preserve">The FDA's position, stated explicitly in multiple warning letters (2024–2026): the RUO disclaimer is </w:t>
      </w:r>
      <w:r>
        <w:rPr>
          <w:b/>
        </w:rPr>
        <w:t>"a ruse to avoid FDA scrutiny for selling misbranded and adulterated products."</w:t>
      </w:r>
      <w:r>
        <w:t xml:space="preserve"> When a product is marketed with dosing information, bundled with syringes, or sold by a company whose entire catalog is oriented toward human use, the RUO label becomes void. The product is classified as a misbranded, unapproved drug under the Federal Food, Drug, and Cosmetic Act.</w:t>
      </w:r>
    </w:p>
    <w:p>
      <w:pPr>
        <w:spacing w:after="120"/>
      </w:pPr>
      <w:r>
        <w:t>This legal reality means:</w:t>
      </w:r>
    </w:p>
    <w:p>
      <w:pPr>
        <w:pStyle w:val="ListNumber"/>
        <w:spacing w:after="40"/>
      </w:pPr>
      <w:r>
        <w:t>Peptide vendors operate in genuine legal risk — which increases the value of having a COA from a credible third party (demonstrates quality intent, not necessarily legal cover)</w:t>
      </w:r>
    </w:p>
    <w:p>
      <w:pPr>
        <w:pStyle w:val="ListNumber"/>
        <w:spacing w:after="40"/>
      </w:pPr>
      <w:r>
        <w:t>A testing lab that issues COAs is NOT selling the peptides — it is providing analytical chemistry services — and is on far more solid legal ground</w:t>
      </w:r>
    </w:p>
    <w:p>
      <w:pPr>
        <w:pStyle w:val="ListNumber"/>
        <w:spacing w:after="40"/>
      </w:pPr>
      <w:r>
        <w:t xml:space="preserve">Regulatory pressure on vendors </w:t>
      </w:r>
      <w:r>
        <w:rPr>
          <w:i/>
        </w:rPr>
        <w:t>increases</w:t>
      </w:r>
      <w:r>
        <w:t xml:space="preserve"> demand for testing services, not decreases it</w:t>
      </w:r>
    </w:p>
    <w:p>
      <w:pPr>
        <w:pStyle w:val="Heading3"/>
        <w:spacing w:before="160" w:after="80"/>
      </w:pPr>
      <w:r>
        <w:t>4.2 FDA Enforcement Actions (2023–2026)</w:t>
      </w:r>
    </w:p>
    <w:p>
      <w:pPr>
        <w:spacing w:after="120"/>
      </w:pPr>
      <w:r>
        <w:t>The enforcement escalation is well-documented:</w:t>
      </w:r>
    </w:p>
    <w:p>
      <w:pPr>
        <w:pStyle w:val="ListBullet"/>
        <w:spacing w:after="40"/>
      </w:pPr>
      <w:r>
        <w:rPr>
          <w:b/>
        </w:rPr>
        <w:t>September 2023:</w:t>
      </w:r>
      <w:r>
        <w:t xml:space="preserve"> FDA placed 19 peptides on Category 2 (prohibited for compounding), including BPC-157, TB-500, thymosin α1, Melanotan II, CJC-1295, Ipamorelin, AOD-9604</w:t>
      </w:r>
    </w:p>
    <w:p>
      <w:pPr>
        <w:pStyle w:val="ListBullet"/>
        <w:spacing w:after="40"/>
      </w:pPr>
      <w:r>
        <w:rPr>
          <w:b/>
        </w:rPr>
        <w:t>2024:</w:t>
      </w:r>
      <w:r>
        <w:t xml:space="preserve"> DOJ prosecuted Tailor Made Compounding LLC for distributing unapproved peptides including BPC-157 — resulting in </w:t>
      </w:r>
      <w:r>
        <w:rPr>
          <w:b/>
        </w:rPr>
        <w:t>$1.79 million forfeiture</w:t>
      </w:r>
    </w:p>
    <w:p>
      <w:pPr>
        <w:pStyle w:val="ListBullet"/>
        <w:spacing w:after="40"/>
      </w:pPr>
      <w:r>
        <w:rPr>
          <w:b/>
        </w:rPr>
        <w:t>2024–2025:</w:t>
      </w:r>
      <w:r>
        <w:t xml:space="preserve"> 50+ FDA warning letters to peptide vendors</w:t>
      </w:r>
    </w:p>
    <w:p>
      <w:pPr>
        <w:pStyle w:val="ListBullet"/>
        <w:spacing w:after="40"/>
      </w:pPr>
      <w:r>
        <w:rPr>
          <w:b/>
        </w:rPr>
        <w:t>2025:</w:t>
      </w:r>
      <w:r>
        <w:t xml:space="preserve"> Warning letters increased 50% in FY2025, with 22% targeting compounded GLP-1 products</w:t>
      </w:r>
    </w:p>
    <w:p>
      <w:pPr>
        <w:pStyle w:val="ListBullet"/>
        <w:spacing w:after="40"/>
      </w:pPr>
      <w:r>
        <w:rPr>
          <w:b/>
        </w:rPr>
        <w:t>March 31, 2026:</w:t>
      </w:r>
      <w:r>
        <w:t xml:space="preserve"> FDA warning letter to Gram Peptides for selling Retatrutide and Tirzepatide (Source: FDA.gov warning letter 721806)</w:t>
      </w:r>
    </w:p>
    <w:p>
      <w:pPr>
        <w:spacing w:after="120"/>
      </w:pPr>
      <w:r>
        <w:t>Each enforcement action increases the perceived risk of selling untested products and the value of third-party COA documentation.</w:t>
      </w:r>
    </w:p>
    <w:p>
      <w:pPr>
        <w:pStyle w:val="Heading3"/>
        <w:spacing w:before="160" w:after="80"/>
      </w:pPr>
      <w:r>
        <w:t>4.3 The Regulatory Tailwind: 2026 Reversals</w:t>
      </w:r>
    </w:p>
    <w:p>
      <w:pPr>
        <w:spacing w:after="120"/>
      </w:pPr>
      <w:r>
        <w:t xml:space="preserve">The regulatory picture is not one-directionally hostile. In fact, the dominant trend in 2026 is toward </w:t>
      </w:r>
      <w:r>
        <w:rPr>
          <w:i/>
        </w:rPr>
        <w:t>expansion</w:t>
      </w:r>
      <w:r>
        <w:t xml:space="preserve"> of legal peptide access:</w:t>
      </w:r>
    </w:p>
    <w:p>
      <w:pPr>
        <w:spacing w:after="120"/>
      </w:pPr>
      <w:r>
        <w:rPr>
          <w:b/>
        </w:rPr>
        <w:t>September 20, 2024:</w:t>
      </w:r>
      <w:r>
        <w:t xml:space="preserve"> FDA removed 5 peptides from Category 2 (AOD-9604, CJC-1295, Ipamorelin, Thymosin Alpha-1, Selank) and referred them to the Pharmacy Compounding Advisory Committee (PCAC) for formal review</w:t>
      </w:r>
    </w:p>
    <w:p>
      <w:pPr>
        <w:spacing w:after="120"/>
      </w:pPr>
      <w:r>
        <w:rPr>
          <w:b/>
        </w:rPr>
        <w:t>February 27, 2026:</w:t>
      </w:r>
      <w:r>
        <w:t xml:space="preserve"> HHS Secretary Robert F. Kennedy Jr. announced approximately </w:t>
      </w:r>
      <w:r>
        <w:rPr>
          <w:b/>
        </w:rPr>
        <w:t>14 of 19 Category 2 peptides</w:t>
      </w:r>
      <w:r>
        <w:t xml:space="preserve"> would be recategorized as Category 1 — restoring legal compounding access. This is the single most important regulatory development for this business.</w:t>
      </w:r>
    </w:p>
    <w:p>
      <w:pPr>
        <w:spacing w:after="120"/>
      </w:pPr>
      <w:r>
        <w:rPr>
          <w:b/>
        </w:rPr>
        <w:t>July 2026 (scheduled):</w:t>
      </w:r>
      <w:r>
        <w:t xml:space="preserve"> PCAC advisory panel meeting to discuss legalizing compounding of 7+ peptides including BPC-157 and TB-500 for ulcerative colitis, wound healing, and obesity</w:t>
      </w:r>
    </w:p>
    <w:p>
      <w:pPr>
        <w:spacing w:after="120"/>
      </w:pPr>
      <w:r>
        <w:rPr>
          <w:b/>
        </w:rPr>
        <w:t>April 15, 2026:</w:t>
      </w:r>
      <w:r>
        <w:t xml:space="preserve"> FDA published Federal Register notice reconsidering whether to include BPC-157 and TB-500 on the 503A bulk drug substances list</w:t>
      </w:r>
    </w:p>
    <w:p>
      <w:pPr>
        <w:spacing w:after="120"/>
      </w:pPr>
      <w:r>
        <w:rPr>
          <w:b/>
        </w:rPr>
        <w:t>The implication for the testing business:</w:t>
      </w:r>
      <w:r>
        <w:t xml:space="preserve"> Regulatory expansion means more legal vendors, more compounding pharmacies producing peptides, and more </w:t>
      </w:r>
      <w:r>
        <w:rPr>
          <w:i/>
        </w:rPr>
        <w:t>mandatory</w:t>
      </w:r>
      <w:r>
        <w:t xml:space="preserve"> COA testing requirements. When BPC-157 is legal to compound, the FDA will require 503A pharmacies to have verified COAs for the bulk substance. That's a mandated testing market.</w:t>
      </w:r>
    </w:p>
    <w:p>
      <w:pPr>
        <w:pStyle w:val="Heading3"/>
        <w:spacing w:before="160" w:after="80"/>
      </w:pPr>
      <w:r>
        <w:t>4.4 DEA Scheduling Status</w:t>
      </w:r>
    </w:p>
    <w:p>
      <w:pPr>
        <w:spacing w:after="120"/>
      </w:pPr>
      <w:r>
        <w:t>No common research peptides are currently DEA-scheduled (Schedules I–V). BPC-157, TB-500, CJC-1295, Ipamorelin, Melanotan II, PT-141, AOD-9604, and others are not controlled substances. This means:</w:t>
      </w:r>
    </w:p>
    <w:p>
      <w:pPr>
        <w:pStyle w:val="ListBullet"/>
        <w:spacing w:after="40"/>
      </w:pPr>
      <w:r>
        <w:t>No DEA registration required for a testing lab handling only these peptides</w:t>
      </w:r>
    </w:p>
    <w:p>
      <w:pPr>
        <w:pStyle w:val="ListBullet"/>
        <w:spacing w:after="40"/>
      </w:pPr>
      <w:r>
        <w:t>No criminal exposure for simple possession or analysis</w:t>
      </w:r>
    </w:p>
    <w:p>
      <w:pPr>
        <w:pStyle w:val="ListBullet"/>
        <w:spacing w:after="40"/>
      </w:pPr>
      <w:r>
        <w:t>The lab's legal exposure is governed by FDA regulations (analytical chemistry services), not DEA rules</w:t>
      </w:r>
    </w:p>
    <w:p>
      <w:pPr>
        <w:spacing w:after="120"/>
      </w:pPr>
      <w:r>
        <w:t>PT-141 (bremelanotide) is FDA-approved (Vyleesi, 2019) and legal with a prescription — testing it is straightforward analytical chemistry.</w:t>
      </w:r>
    </w:p>
    <w:p>
      <w:pPr>
        <w:pStyle w:val="Heading3"/>
        <w:spacing w:before="160" w:after="80"/>
      </w:pPr>
      <w:r>
        <w:t>4.5 What a Testing Lab Actually Needs to Operate</w:t>
      </w:r>
    </w:p>
    <w:p>
      <w:pPr>
        <w:spacing w:after="120"/>
      </w:pPr>
      <w:r>
        <w:rPr>
          <w:b/>
        </w:rPr>
        <w:t>Federal requirements:</w:t>
      </w:r>
    </w:p>
    <w:p>
      <w:pPr>
        <w:pStyle w:val="ListBullet"/>
        <w:spacing w:after="40"/>
      </w:pPr>
      <w:r>
        <w:rPr>
          <w:b/>
        </w:rPr>
        <w:t>CLIA registration:</w:t>
      </w:r>
      <w:r>
        <w:t xml:space="preserve"> Only required if the lab conducts clinical diagnostic testing on human specimens. A peptide purity testing lab doing chemical analysis — NOT clinical diagnosis — is </w:t>
      </w:r>
      <w:r>
        <w:rPr>
          <w:i/>
        </w:rPr>
        <w:t>not</w:t>
      </w:r>
      <w:r>
        <w:t xml:space="preserve"> a CLIA laboratory. This is a key distinction that reduces regulatory burden.</w:t>
      </w:r>
    </w:p>
    <w:p>
      <w:pPr>
        <w:pStyle w:val="ListBullet"/>
        <w:spacing w:after="40"/>
      </w:pPr>
      <w:r>
        <w:rPr>
          <w:b/>
        </w:rPr>
        <w:t>FDA facility registration:</w:t>
      </w:r>
      <w:r>
        <w:t xml:space="preserve"> Required if the lab </w:t>
      </w:r>
      <w:r>
        <w:rPr>
          <w:i/>
        </w:rPr>
        <w:t>manufactures, processes, packs, or distributes</w:t>
      </w:r>
      <w:r>
        <w:t xml:space="preserve"> FDA-regulated products. A third-party testing lab providing analytical services is not manufacturing — it does not trigger this requirement in most cases.</w:t>
      </w:r>
    </w:p>
    <w:p>
      <w:pPr>
        <w:pStyle w:val="ListBullet"/>
        <w:spacing w:after="40"/>
      </w:pPr>
      <w:r>
        <w:rPr>
          <w:b/>
        </w:rPr>
        <w:t>DEA registration:</w:t>
      </w:r>
      <w:r>
        <w:t xml:space="preserve"> Not required for peptide-only labs (no scheduled substances). Required only if the lab handles controlled substance analogs or DEA-scheduled compounds.</w:t>
      </w:r>
    </w:p>
    <w:p>
      <w:pPr>
        <w:spacing w:after="120"/>
      </w:pPr>
      <w:r>
        <w:rPr>
          <w:b/>
        </w:rPr>
        <w:t>State-level requirements:</w:t>
      </w:r>
    </w:p>
    <w:p>
      <w:pPr>
        <w:pStyle w:val="ListBullet"/>
        <w:spacing w:after="40"/>
      </w:pPr>
      <w:r>
        <w:t>10 states require laboratory personnel licensure: California, Hawaii, Florida, New York, North Dakota, Tennessee, Louisiana, Nevada, West Virginia, and Montana</w:t>
      </w:r>
    </w:p>
    <w:p>
      <w:pPr>
        <w:pStyle w:val="ListBullet"/>
        <w:spacing w:after="40"/>
      </w:pPr>
      <w:r>
        <w:t>Requirements vary: annual fees, continuing education, minimum education standards, fingerprinting, certification from an acceptable agency</w:t>
      </w:r>
    </w:p>
    <w:p>
      <w:pPr>
        <w:spacing w:after="120"/>
      </w:pPr>
      <w:r>
        <w:rPr>
          <w:b/>
        </w:rPr>
        <w:t>Bottom line:</w:t>
      </w:r>
      <w:r>
        <w:t xml:space="preserve"> A peptide testing lab providing analytical chemistry services (not clinical diagnosis) operates primarily under ISO 17025 voluntary accreditation and state laboratory personnel licensing. The federal regulatory burden is lower than for clinical labs or pharmaceutical manufacturers.</w:t>
      </w:r>
    </w:p>
    <w:p>
      <w:pPr>
        <w:pStyle w:val="Heading3"/>
        <w:spacing w:before="160" w:after="80"/>
      </w:pPr>
      <w:r>
        <w:t>4.6 ISO 17025: The Credential That Matters</w:t>
      </w:r>
    </w:p>
    <w:p>
      <w:pPr>
        <w:spacing w:after="120"/>
      </w:pPr>
      <w:r>
        <w:t>ISO/IEC 17025 is the international standard for testing and calibration laboratory competence. It is not legally required for most analytical labs, but it is:</w:t>
      </w:r>
    </w:p>
    <w:p>
      <w:pPr>
        <w:pStyle w:val="ListBullet"/>
        <w:spacing w:after="40"/>
      </w:pPr>
      <w:r>
        <w:rPr>
          <w:b/>
        </w:rPr>
        <w:t>Required by sophisticated clients</w:t>
      </w:r>
      <w:r>
        <w:t xml:space="preserve"> (pharma companies, 503B compounders, institutional buyers)</w:t>
      </w:r>
    </w:p>
    <w:p>
      <w:pPr>
        <w:pStyle w:val="ListBullet"/>
        <w:spacing w:after="40"/>
      </w:pPr>
      <w:r>
        <w:rPr>
          <w:b/>
        </w:rPr>
        <w:t>The primary differentiator</w:t>
      </w:r>
      <w:r>
        <w:t xml:space="preserve"> from Janoshik (whose ISO 17025 status is disputed)</w:t>
      </w:r>
    </w:p>
    <w:p>
      <w:pPr>
        <w:pStyle w:val="ListBullet"/>
        <w:spacing w:after="40"/>
      </w:pPr>
      <w:r>
        <w:rPr>
          <w:b/>
        </w:rPr>
        <w:t>Required for regulatory submissions</w:t>
      </w:r>
      <w:r>
        <w:t xml:space="preserve"> (if testing is ever used in FDA-required documentation)</w:t>
      </w:r>
    </w:p>
    <w:p>
      <w:pPr>
        <w:pStyle w:val="ListBullet"/>
        <w:spacing w:after="40"/>
      </w:pPr>
      <w:r>
        <w:rPr>
          <w:b/>
        </w:rPr>
        <w:t>The brand foundation</w:t>
      </w:r>
      <w:r>
        <w:t xml:space="preserve"> for a certification program</w:t>
      </w:r>
    </w:p>
    <w:p>
      <w:pPr>
        <w:spacing w:after="120"/>
      </w:pPr>
      <w:r>
        <w:rPr>
          <w:b/>
        </w:rPr>
        <w:t>Process and costs: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before="40" w:after="40"/>
            </w:pPr>
            <w:r>
              <w:rPr>
                <w:b/>
              </w:rPr>
            </w:r>
            <w:r>
              <w:rPr>
                <w:b/>
              </w:rPr>
              <w:t>Item</w:t>
            </w:r>
          </w:p>
        </w:tc>
        <w:tc>
          <w:tcPr>
            <w:tcW w:type="dxa" w:w="3120"/>
          </w:tcPr>
          <w:p>
            <w:pPr>
              <w:spacing w:before="40" w:after="40"/>
            </w:pPr>
            <w:r>
              <w:rPr>
                <w:b/>
              </w:rPr>
            </w:r>
            <w:r>
              <w:rPr>
                <w:b/>
              </w:rPr>
              <w:t>Cost</w:t>
            </w:r>
          </w:p>
        </w:tc>
        <w:tc>
          <w:tcPr>
            <w:tcW w:type="dxa" w:w="3120"/>
          </w:tcPr>
          <w:p>
            <w:pPr>
              <w:spacing w:before="40" w:after="40"/>
            </w:pPr>
            <w:r>
              <w:rPr>
                <w:b/>
              </w:rPr>
            </w:r>
            <w:r>
              <w:rPr>
                <w:b/>
              </w:rPr>
              <w:t>Timeline</w:t>
            </w:r>
          </w:p>
        </w:tc>
      </w:tr>
      <w:tr>
        <w:tc>
          <w:tcPr>
            <w:tcW w:type="dxa" w:w="3120"/>
          </w:tcPr>
          <w:p>
            <w:pPr>
              <w:spacing w:before="40" w:after="40"/>
            </w:pPr>
            <w:r/>
            <w:r>
              <w:t>Gap analysis and documentation development</w:t>
            </w:r>
          </w:p>
        </w:tc>
        <w:tc>
          <w:tcPr>
            <w:tcW w:type="dxa" w:w="3120"/>
          </w:tcPr>
          <w:p>
            <w:pPr>
              <w:spacing w:before="40" w:after="40"/>
            </w:pPr>
            <w:r/>
            <w:r>
              <w:t>$5,000–$15,000</w:t>
            </w:r>
          </w:p>
        </w:tc>
        <w:tc>
          <w:tcPr>
            <w:tcW w:type="dxa" w:w="3120"/>
          </w:tcPr>
          <w:p>
            <w:pPr>
              <w:spacing w:before="40" w:after="40"/>
            </w:pPr>
            <w:r/>
            <w:r>
              <w:t>Months 1–4</w:t>
            </w:r>
          </w:p>
        </w:tc>
      </w:tr>
      <w:tr>
        <w:tc>
          <w:tcPr>
            <w:tcW w:type="dxa" w:w="3120"/>
          </w:tcPr>
          <w:p>
            <w:pPr>
              <w:spacing w:before="40" w:after="40"/>
            </w:pPr>
            <w:r/>
            <w:r>
              <w:t>Staff training</w:t>
            </w:r>
          </w:p>
        </w:tc>
        <w:tc>
          <w:tcPr>
            <w:tcW w:type="dxa" w:w="3120"/>
          </w:tcPr>
          <w:p>
            <w:pPr>
              <w:spacing w:before="40" w:after="40"/>
            </w:pPr>
            <w:r/>
            <w:r>
              <w:t>$2,000–$5,000</w:t>
            </w:r>
          </w:p>
        </w:tc>
        <w:tc>
          <w:tcPr>
            <w:tcW w:type="dxa" w:w="3120"/>
          </w:tcPr>
          <w:p>
            <w:pPr>
              <w:spacing w:before="40" w:after="40"/>
            </w:pPr>
            <w:r/>
            <w:r>
              <w:t>Months 2–4</w:t>
            </w:r>
          </w:p>
        </w:tc>
      </w:tr>
      <w:tr>
        <w:tc>
          <w:tcPr>
            <w:tcW w:type="dxa" w:w="3120"/>
          </w:tcPr>
          <w:p>
            <w:pPr>
              <w:spacing w:before="40" w:after="40"/>
            </w:pPr>
            <w:r/>
            <w:r>
              <w:t>Application fee (A2LA)</w:t>
            </w:r>
          </w:p>
        </w:tc>
        <w:tc>
          <w:tcPr>
            <w:tcW w:type="dxa" w:w="3120"/>
          </w:tcPr>
          <w:p>
            <w:pPr>
              <w:spacing w:before="40" w:after="40"/>
            </w:pPr>
            <w:r/>
            <w:r>
              <w:t>$500–$2,000</w:t>
            </w:r>
          </w:p>
        </w:tc>
        <w:tc>
          <w:tcPr>
            <w:tcW w:type="dxa" w:w="3120"/>
          </w:tcPr>
          <w:p>
            <w:pPr>
              <w:spacing w:before="40" w:after="40"/>
            </w:pPr>
            <w:r/>
            <w:r>
              <w:t>Month 4</w:t>
            </w:r>
          </w:p>
        </w:tc>
      </w:tr>
      <w:tr>
        <w:tc>
          <w:tcPr>
            <w:tcW w:type="dxa" w:w="3120"/>
          </w:tcPr>
          <w:p>
            <w:pPr>
              <w:spacing w:before="40" w:after="40"/>
            </w:pPr>
            <w:r/>
            <w:r>
              <w:t>Assessment fees (typically 4 days × 2 assessors)</w:t>
            </w:r>
          </w:p>
        </w:tc>
        <w:tc>
          <w:tcPr>
            <w:tcW w:type="dxa" w:w="3120"/>
          </w:tcPr>
          <w:p>
            <w:pPr>
              <w:spacing w:before="40" w:after="40"/>
            </w:pPr>
            <w:r/>
            <w:r>
              <w:t>$4,000–$8,000</w:t>
            </w:r>
          </w:p>
        </w:tc>
        <w:tc>
          <w:tcPr>
            <w:tcW w:type="dxa" w:w="3120"/>
          </w:tcPr>
          <w:p>
            <w:pPr>
              <w:spacing w:before="40" w:after="40"/>
            </w:pPr>
            <w:r/>
            <w:r>
              <w:t>Month 5–6</w:t>
            </w:r>
          </w:p>
        </w:tc>
      </w:tr>
      <w:tr>
        <w:tc>
          <w:tcPr>
            <w:tcW w:type="dxa" w:w="3120"/>
          </w:tcPr>
          <w:p>
            <w:pPr>
              <w:spacing w:before="40" w:after="40"/>
            </w:pPr>
            <w:r/>
            <w:r>
              <w:t>Annual maintenance fee</w:t>
            </w:r>
          </w:p>
        </w:tc>
        <w:tc>
          <w:tcPr>
            <w:tcW w:type="dxa" w:w="3120"/>
          </w:tcPr>
          <w:p>
            <w:pPr>
              <w:spacing w:before="40" w:after="40"/>
            </w:pPr>
            <w:r/>
            <w:r>
              <w:t>$2,000–$5,000/year</w:t>
            </w:r>
          </w:p>
        </w:tc>
        <w:tc>
          <w:tcPr>
            <w:tcW w:type="dxa" w:w="3120"/>
          </w:tcPr>
          <w:p>
            <w:pPr>
              <w:spacing w:before="40" w:after="40"/>
            </w:pPr>
            <w:r/>
            <w:r>
              <w:t>Ongoing</w:t>
            </w:r>
          </w:p>
        </w:tc>
      </w:tr>
      <w:tr>
        <w:tc>
          <w:tcPr>
            <w:tcW w:type="dxa" w:w="3120"/>
          </w:tcPr>
          <w:p>
            <w:pPr>
              <w:spacing w:before="40" w:after="40"/>
            </w:pPr>
            <w:r/>
            <w:r>
              <w:rPr>
                <w:b/>
              </w:rPr>
              <w:t>Total to achieve accreditation</w:t>
            </w:r>
          </w:p>
        </w:tc>
        <w:tc>
          <w:tcPr>
            <w:tcW w:type="dxa" w:w="3120"/>
          </w:tcPr>
          <w:p>
            <w:pPr>
              <w:spacing w:before="40" w:after="40"/>
            </w:pPr>
            <w:r/>
            <w:r>
              <w:rPr>
                <w:b/>
              </w:rPr>
              <w:t>$13,500–$35,000</w:t>
            </w:r>
          </w:p>
        </w:tc>
        <w:tc>
          <w:tcPr>
            <w:tcW w:type="dxa" w:w="3120"/>
          </w:tcPr>
          <w:p>
            <w:pPr>
              <w:spacing w:before="40" w:after="40"/>
            </w:pPr>
            <w:r/>
            <w:r>
              <w:rPr>
                <w:b/>
              </w:rPr>
              <w:t>6–12 months</w:t>
            </w:r>
          </w:p>
        </w:tc>
      </w:tr>
    </w:tbl>
    <w:p/>
    <w:p>
      <w:pPr>
        <w:spacing w:after="120"/>
      </w:pPr>
      <w:r>
        <w:t xml:space="preserve">Key US accreditation bodies: </w:t>
      </w:r>
      <w:r>
        <w:rPr>
          <w:b/>
        </w:rPr>
        <w:t>A2LA</w:t>
      </w:r>
      <w:r>
        <w:t xml:space="preserve"> (American Association for Laboratory Accreditation — the largest, most recognized), Perry Johnson Lab Accreditation (PJLA), FAPAS.</w:t>
      </w:r>
    </w:p>
    <w:p>
      <w:pPr>
        <w:pStyle w:val="Heading3"/>
        <w:spacing w:before="160" w:after="80"/>
      </w:pPr>
      <w:r>
        <w:t>4.7 COA Legal Framework and Liability</w:t>
      </w:r>
    </w:p>
    <w:p>
      <w:pPr>
        <w:spacing w:after="120"/>
      </w:pPr>
      <w:r>
        <w:t>A Certificate of Analysis is a legal document. The person who signs it is personally responsible for the accuracy of the results.</w:t>
      </w:r>
    </w:p>
    <w:p>
      <w:pPr>
        <w:spacing w:after="120"/>
      </w:pPr>
      <w:r>
        <w:rPr>
          <w:b/>
        </w:rPr>
        <w:t>What the FDA requires for supplement COAs</w:t>
      </w:r>
      <w:r>
        <w:t xml:space="preserve"> (21 CFR 111.75): Manufacturers must test every dietary ingredient for identity before use and may not rely solely on a supplier's COA — they must verify. This creates ongoing demand for independent lab verification.</w:t>
      </w:r>
    </w:p>
    <w:p>
      <w:pPr>
        <w:spacing w:after="120"/>
      </w:pPr>
      <w:r>
        <w:rPr>
          <w:b/>
        </w:rPr>
        <w:t>COA fraud precedent:</w:t>
      </w:r>
      <w:r>
        <w:t xml:space="preserve"> In 2017, the FDA issued warning letters to three API and ingredient distributors that created false COAs — with salespeople fraudulently signing as "QC directors." The FDA found no records supporting the analytical results. (Source: Pharmaceutical Technology, "Certificates of Analysis: Don't Trust, Verify")</w:t>
      </w:r>
    </w:p>
    <w:p>
      <w:pPr>
        <w:spacing w:after="120"/>
      </w:pPr>
      <w:r>
        <w:rPr>
          <w:b/>
        </w:rPr>
        <w:t>Liability implications for a testing lab:</w:t>
      </w:r>
    </w:p>
    <w:p>
      <w:pPr>
        <w:pStyle w:val="ListBullet"/>
        <w:spacing w:after="40"/>
      </w:pPr>
      <w:r>
        <w:t>A testing lab that issues an accurate COA based on genuine analysis has strong legal protection — it is providing professional services with documented methodology</w:t>
      </w:r>
    </w:p>
    <w:p>
      <w:pPr>
        <w:pStyle w:val="ListBullet"/>
        <w:spacing w:after="40"/>
      </w:pPr>
      <w:r>
        <w:t>A lab that issues a COA without actually testing (or with sloppy methodology) faces significant FDA and FTC exposure</w:t>
      </w:r>
    </w:p>
    <w:p>
      <w:pPr>
        <w:pStyle w:val="ListBullet"/>
        <w:spacing w:after="40"/>
      </w:pPr>
      <w:r>
        <w:t>The correct protection: documented standard operating procedures (SOPs), traceability of all results, ISO 17025 accreditation (which mandates these controls)</w:t>
      </w:r>
    </w:p>
    <w:p>
      <w:pPr>
        <w:spacing w:after="120"/>
      </w:pPr>
      <w:r>
        <w:rPr>
          <w:b/>
        </w:rPr>
        <w:t>The business case for rigor:</w:t>
      </w:r>
      <w:r>
        <w:t xml:space="preserve"> Liability management IS the business model. The value of your certification seal comes directly from the fact that your testing is rigorous, documented, and defensible. Cutting corners doesn't just create legal risk — it destroys the brand.</w:t>
      </w:r>
    </w:p>
    <w:p>
      <w:pPr>
        <w:spacing w:before="120" w:after="120"/>
        <w:pBdr>
          <w:bottom w:val="single" w:sz="6" w:space="1" w:color="AAAAAA"/>
        </w:pBdr>
      </w:pPr>
    </w:p>
    <w:p>
      <w:pPr>
        <w:pStyle w:val="Heading2"/>
        <w:spacing w:before="240" w:after="80"/>
      </w:pPr>
      <w:r>
        <w:t>Section 5: What Is a Certificate of Analysis (COA)?</w:t>
      </w:r>
    </w:p>
    <w:p>
      <w:pPr>
        <w:spacing w:after="120"/>
      </w:pPr>
      <w:r>
        <w:t>A COA is a document issued by an analytical laboratory certifying that a batch of material meets specified criteria. For peptides, a credible COA typically includes: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before="40" w:after="40"/>
            </w:pPr>
            <w:r>
              <w:rPr>
                <w:b/>
              </w:rPr>
            </w:r>
            <w:r>
              <w:rPr>
                <w:b/>
              </w:rPr>
              <w:t>Test</w:t>
            </w:r>
          </w:p>
        </w:tc>
        <w:tc>
          <w:tcPr>
            <w:tcW w:type="dxa" w:w="3120"/>
          </w:tcPr>
          <w:p>
            <w:pPr>
              <w:spacing w:before="40" w:after="40"/>
            </w:pPr>
            <w:r>
              <w:rPr>
                <w:b/>
              </w:rPr>
            </w:r>
            <w:r>
              <w:rPr>
                <w:b/>
              </w:rPr>
              <w:t>Method</w:t>
            </w:r>
          </w:p>
        </w:tc>
        <w:tc>
          <w:tcPr>
            <w:tcW w:type="dxa" w:w="3120"/>
          </w:tcPr>
          <w:p>
            <w:pPr>
              <w:spacing w:before="40" w:after="40"/>
            </w:pPr>
            <w:r>
              <w:rPr>
                <w:b/>
              </w:rPr>
            </w:r>
            <w:r>
              <w:rPr>
                <w:b/>
              </w:rPr>
              <w:t>What It Shows</w:t>
            </w:r>
          </w:p>
        </w:tc>
      </w:tr>
      <w:tr>
        <w:tc>
          <w:tcPr>
            <w:tcW w:type="dxa" w:w="3120"/>
          </w:tcPr>
          <w:p>
            <w:pPr>
              <w:spacing w:before="40" w:after="40"/>
            </w:pPr>
            <w:r/>
            <w:r>
              <w:rPr>
                <w:b/>
              </w:rPr>
              <w:t>HPLC purity</w:t>
            </w:r>
            <w:r>
              <w:t xml:space="preserve"> (RP-HPLC)</w:t>
            </w:r>
          </w:p>
        </w:tc>
        <w:tc>
          <w:tcPr>
            <w:tcW w:type="dxa" w:w="3120"/>
          </w:tcPr>
          <w:p>
            <w:pPr>
              <w:spacing w:before="40" w:after="40"/>
            </w:pPr>
            <w:r/>
            <w:r>
              <w:t>UV detection at 215–220nm</w:t>
            </w:r>
          </w:p>
        </w:tc>
        <w:tc>
          <w:tcPr>
            <w:tcW w:type="dxa" w:w="3120"/>
          </w:tcPr>
          <w:p>
            <w:pPr>
              <w:spacing w:before="40" w:after="40"/>
            </w:pPr>
            <w:r/>
            <w:r>
              <w:t>% purity of the desired peptide; detects truncated sequences, impurities</w:t>
            </w:r>
          </w:p>
        </w:tc>
      </w:tr>
      <w:tr>
        <w:tc>
          <w:tcPr>
            <w:tcW w:type="dxa" w:w="3120"/>
          </w:tcPr>
          <w:p>
            <w:pPr>
              <w:spacing w:before="40" w:after="40"/>
            </w:pPr>
            <w:r/>
            <w:r>
              <w:rPr>
                <w:b/>
              </w:rPr>
              <w:t>Identity confirmation</w:t>
            </w:r>
          </w:p>
        </w:tc>
        <w:tc>
          <w:tcPr>
            <w:tcW w:type="dxa" w:w="3120"/>
          </w:tcPr>
          <w:p>
            <w:pPr>
              <w:spacing w:before="40" w:after="40"/>
            </w:pPr>
            <w:r/>
            <w:r>
              <w:t>Mass spectrometry (LC-MS)</w:t>
            </w:r>
          </w:p>
        </w:tc>
        <w:tc>
          <w:tcPr>
            <w:tcW w:type="dxa" w:w="3120"/>
          </w:tcPr>
          <w:p>
            <w:pPr>
              <w:spacing w:before="40" w:after="40"/>
            </w:pPr>
            <w:r/>
            <w:r>
              <w:t>Molecular weight matches expected sequence; confirms you have the right molecule</w:t>
            </w:r>
          </w:p>
        </w:tc>
      </w:tr>
      <w:tr>
        <w:tc>
          <w:tcPr>
            <w:tcW w:type="dxa" w:w="3120"/>
          </w:tcPr>
          <w:p>
            <w:pPr>
              <w:spacing w:before="40" w:after="40"/>
            </w:pPr>
            <w:r/>
            <w:r>
              <w:rPr>
                <w:b/>
              </w:rPr>
              <w:t>Amino acid analysis</w:t>
            </w:r>
          </w:p>
        </w:tc>
        <w:tc>
          <w:tcPr>
            <w:tcW w:type="dxa" w:w="3120"/>
          </w:tcPr>
          <w:p>
            <w:pPr>
              <w:spacing w:before="40" w:after="40"/>
            </w:pPr>
            <w:r/>
            <w:r>
              <w:t>Acid hydrolysis + HPLC</w:t>
            </w:r>
          </w:p>
        </w:tc>
        <w:tc>
          <w:tcPr>
            <w:tcW w:type="dxa" w:w="3120"/>
          </w:tcPr>
          <w:p>
            <w:pPr>
              <w:spacing w:before="40" w:after="40"/>
            </w:pPr>
            <w:r/>
            <w:r>
              <w:t>Confirms amino acid composition (sequence fingerprint)</w:t>
            </w:r>
          </w:p>
        </w:tc>
      </w:tr>
      <w:tr>
        <w:tc>
          <w:tcPr>
            <w:tcW w:type="dxa" w:w="3120"/>
          </w:tcPr>
          <w:p>
            <w:pPr>
              <w:spacing w:before="40" w:after="40"/>
            </w:pPr>
            <w:r/>
            <w:r>
              <w:rPr>
                <w:b/>
              </w:rPr>
              <w:t>Endotoxin testing</w:t>
            </w:r>
          </w:p>
        </w:tc>
        <w:tc>
          <w:tcPr>
            <w:tcW w:type="dxa" w:w="3120"/>
          </w:tcPr>
          <w:p>
            <w:pPr>
              <w:spacing w:before="40" w:after="40"/>
            </w:pPr>
            <w:r/>
            <w:r>
              <w:t>LAL (Limulus Amebocyte Lysate) assay</w:t>
            </w:r>
          </w:p>
        </w:tc>
        <w:tc>
          <w:tcPr>
            <w:tcW w:type="dxa" w:w="3120"/>
          </w:tcPr>
          <w:p>
            <w:pPr>
              <w:spacing w:before="40" w:after="40"/>
            </w:pPr>
            <w:r/>
            <w:r>
              <w:t>Bacterial contamination from manufacturing (critical for injected peptides)</w:t>
            </w:r>
          </w:p>
        </w:tc>
      </w:tr>
      <w:tr>
        <w:tc>
          <w:tcPr>
            <w:tcW w:type="dxa" w:w="3120"/>
          </w:tcPr>
          <w:p>
            <w:pPr>
              <w:spacing w:before="40" w:after="40"/>
            </w:pPr>
            <w:r/>
            <w:r>
              <w:rPr>
                <w:b/>
              </w:rPr>
              <w:t>Sterility testing</w:t>
            </w:r>
          </w:p>
        </w:tc>
        <w:tc>
          <w:tcPr>
            <w:tcW w:type="dxa" w:w="3120"/>
          </w:tcPr>
          <w:p>
            <w:pPr>
              <w:spacing w:before="40" w:after="40"/>
            </w:pPr>
            <w:r/>
            <w:r>
              <w:t>USP &lt;71&gt; methods</w:t>
            </w:r>
          </w:p>
        </w:tc>
        <w:tc>
          <w:tcPr>
            <w:tcW w:type="dxa" w:w="3120"/>
          </w:tcPr>
          <w:p>
            <w:pPr>
              <w:spacing w:before="40" w:after="40"/>
            </w:pPr>
            <w:r/>
            <w:r>
              <w:t>Microbial contamination</w:t>
            </w:r>
          </w:p>
        </w:tc>
      </w:tr>
      <w:tr>
        <w:tc>
          <w:tcPr>
            <w:tcW w:type="dxa" w:w="3120"/>
          </w:tcPr>
          <w:p>
            <w:pPr>
              <w:spacing w:before="40" w:after="40"/>
            </w:pPr>
            <w:r/>
            <w:r>
              <w:rPr>
                <w:b/>
              </w:rPr>
              <w:t>Residual solvents</w:t>
            </w:r>
          </w:p>
        </w:tc>
        <w:tc>
          <w:tcPr>
            <w:tcW w:type="dxa" w:w="3120"/>
          </w:tcPr>
          <w:p>
            <w:pPr>
              <w:spacing w:before="40" w:after="40"/>
            </w:pPr>
            <w:r/>
            <w:r>
              <w:t>GC-MS</w:t>
            </w:r>
          </w:p>
        </w:tc>
        <w:tc>
          <w:tcPr>
            <w:tcW w:type="dxa" w:w="3120"/>
          </w:tcPr>
          <w:p>
            <w:pPr>
              <w:spacing w:before="40" w:after="40"/>
            </w:pPr>
            <w:r/>
            <w:r>
              <w:t>Manufacturing solvents (TFA, DMF, acetonitrile) — relevant for injectable use</w:t>
            </w:r>
          </w:p>
        </w:tc>
      </w:tr>
      <w:tr>
        <w:tc>
          <w:tcPr>
            <w:tcW w:type="dxa" w:w="3120"/>
          </w:tcPr>
          <w:p>
            <w:pPr>
              <w:spacing w:before="40" w:after="40"/>
            </w:pPr>
            <w:r/>
            <w:r>
              <w:rPr>
                <w:b/>
              </w:rPr>
              <w:t>Heavy metals</w:t>
            </w:r>
          </w:p>
        </w:tc>
        <w:tc>
          <w:tcPr>
            <w:tcW w:type="dxa" w:w="3120"/>
          </w:tcPr>
          <w:p>
            <w:pPr>
              <w:spacing w:before="40" w:after="40"/>
            </w:pPr>
            <w:r/>
            <w:r>
              <w:t>ICP-MS</w:t>
            </w:r>
          </w:p>
        </w:tc>
        <w:tc>
          <w:tcPr>
            <w:tcW w:type="dxa" w:w="3120"/>
          </w:tcPr>
          <w:p>
            <w:pPr>
              <w:spacing w:before="40" w:after="40"/>
            </w:pPr>
            <w:r/>
            <w:r>
              <w:t>Lead, arsenic, mercury, cadmium contamination</w:t>
            </w:r>
          </w:p>
        </w:tc>
      </w:tr>
      <w:tr>
        <w:tc>
          <w:tcPr>
            <w:tcW w:type="dxa" w:w="3120"/>
          </w:tcPr>
          <w:p>
            <w:pPr>
              <w:spacing w:before="40" w:after="40"/>
            </w:pPr>
            <w:r/>
            <w:r>
              <w:rPr>
                <w:b/>
              </w:rPr>
              <w:t>Water content</w:t>
            </w:r>
          </w:p>
        </w:tc>
        <w:tc>
          <w:tcPr>
            <w:tcW w:type="dxa" w:w="3120"/>
          </w:tcPr>
          <w:p>
            <w:pPr>
              <w:spacing w:before="40" w:after="40"/>
            </w:pPr>
            <w:r/>
            <w:r>
              <w:t>Karl Fischer titration</w:t>
            </w:r>
          </w:p>
        </w:tc>
        <w:tc>
          <w:tcPr>
            <w:tcW w:type="dxa" w:w="3120"/>
          </w:tcPr>
          <w:p>
            <w:pPr>
              <w:spacing w:before="40" w:after="40"/>
            </w:pPr>
            <w:r/>
            <w:r>
              <w:t>Affects calculated dose if comparing wet vs. dry weight</w:t>
            </w:r>
          </w:p>
        </w:tc>
      </w:tr>
    </w:tbl>
    <w:p/>
    <w:p>
      <w:pPr>
        <w:spacing w:after="120"/>
      </w:pPr>
      <w:r>
        <w:rPr>
          <w:b/>
        </w:rPr>
        <w:t>What current COAs are missing (the gap):</w:t>
      </w:r>
    </w:p>
    <w:p>
      <w:pPr>
        <w:pStyle w:val="ListBullet"/>
        <w:spacing w:after="40"/>
      </w:pPr>
      <w:r>
        <w:t>Most gray-market COAs include only HPLC purity + mass spec. Basic.</w:t>
      </w:r>
    </w:p>
    <w:p>
      <w:pPr>
        <w:pStyle w:val="ListBullet"/>
        <w:spacing w:after="40"/>
      </w:pPr>
      <w:r>
        <w:t>Almost none include endotoxin testing (critical for injectable products)</w:t>
      </w:r>
    </w:p>
    <w:p>
      <w:pPr>
        <w:pStyle w:val="ListBullet"/>
        <w:spacing w:after="40"/>
      </w:pPr>
      <w:r>
        <w:t>Very few include amino acid analysis (the most definitive sequence confirmation)</w:t>
      </w:r>
    </w:p>
    <w:p>
      <w:pPr>
        <w:pStyle w:val="ListBullet"/>
        <w:spacing w:after="40"/>
      </w:pPr>
      <w:r>
        <w:t>Zero include blockchain verification or immutable public records</w:t>
      </w:r>
    </w:p>
    <w:p>
      <w:pPr>
        <w:pStyle w:val="ListBullet"/>
        <w:spacing w:after="40"/>
      </w:pPr>
      <w:r>
        <w:t>Many cannot be independently verified — vendors can Photoshop COA documents</w:t>
      </w:r>
    </w:p>
    <w:p>
      <w:pPr>
        <w:spacing w:after="120"/>
      </w:pPr>
      <w:r>
        <w:rPr>
          <w:b/>
        </w:rPr>
        <w:t>The premium tier that doesn't exist yet:</w:t>
      </w:r>
      <w:r>
        <w:t xml:space="preserve"> A COA that includes the full suite (HPLC + MS + endotoxin + amino acid analysis + public QR-verified database record) would be the industry gold standard. No current provider offers this end-to-end.</w:t>
      </w:r>
    </w:p>
    <w:p>
      <w:pPr>
        <w:spacing w:before="120" w:after="120"/>
        <w:pBdr>
          <w:bottom w:val="single" w:sz="6" w:space="1" w:color="AAAAAA"/>
        </w:pBdr>
      </w:pPr>
    </w:p>
    <w:p>
      <w:pPr>
        <w:pStyle w:val="Heading2"/>
        <w:spacing w:before="240" w:after="80"/>
      </w:pPr>
      <w:r>
        <w:t>Section 6: Competitive Landscape</w:t>
      </w:r>
    </w:p>
    <w:p>
      <w:pPr>
        <w:pStyle w:val="Heading3"/>
        <w:spacing w:before="160" w:after="80"/>
      </w:pPr>
      <w:r>
        <w:t>6.1 Janoshik Analytical (Czech Republic)</w:t>
      </w:r>
    </w:p>
    <w:p>
      <w:pPr>
        <w:spacing w:after="120"/>
      </w:pPr>
      <w:r>
        <w:t>The current market leader in gray-market peptide COAs by community reputation.</w:t>
      </w:r>
    </w:p>
    <w:tbl>
      <w:tblPr>
        <w:tblStyle w:val="TableGrid"/>
        <w:tblW w:type="auto" w:w="0"/>
        <w:tblLook w:firstColumn="1" w:firstRow="1" w:lastColumn="0" w:lastRow="0" w:noHBand="0" w:noVBand="1" w:val="04A0"/>
      </w:tblPr>
      <w:tblGrid>
        <w:gridCol w:w="4680"/>
        <w:gridCol w:w="4680"/>
      </w:tblGrid>
      <w:tr>
        <w:tc>
          <w:tcPr>
            <w:tcW w:type="dxa" w:w="4680"/>
          </w:tcPr>
          <w:p>
            <w:pPr>
              <w:spacing w:before="40" w:after="40"/>
            </w:pPr>
            <w:r>
              <w:rPr>
                <w:b/>
              </w:rPr>
            </w:r>
            <w:r>
              <w:rPr>
                <w:b/>
              </w:rPr>
              <w:t>Attribute</w:t>
            </w:r>
          </w:p>
        </w:tc>
        <w:tc>
          <w:tcPr>
            <w:tcW w:type="dxa" w:w="4680"/>
          </w:tcPr>
          <w:p>
            <w:pPr>
              <w:spacing w:before="40" w:after="40"/>
            </w:pPr>
            <w:r>
              <w:rPr>
                <w:b/>
              </w:rPr>
            </w:r>
            <w:r>
              <w:rPr>
                <w:b/>
              </w:rPr>
              <w:t>Detail</w:t>
            </w:r>
          </w:p>
        </w:tc>
      </w:tr>
      <w:tr>
        <w:tc>
          <w:tcPr>
            <w:tcW w:type="dxa" w:w="4680"/>
          </w:tcPr>
          <w:p>
            <w:pPr>
              <w:spacing w:before="40" w:after="40"/>
            </w:pPr>
            <w:r/>
            <w:r>
              <w:t>Location</w:t>
            </w:r>
          </w:p>
        </w:tc>
        <w:tc>
          <w:tcPr>
            <w:tcW w:type="dxa" w:w="4680"/>
          </w:tcPr>
          <w:p>
            <w:pPr>
              <w:spacing w:before="40" w:after="40"/>
            </w:pPr>
            <w:r/>
            <w:r>
              <w:t>Czech Republic</w:t>
            </w:r>
          </w:p>
        </w:tc>
      </w:tr>
      <w:tr>
        <w:tc>
          <w:tcPr>
            <w:tcW w:type="dxa" w:w="4680"/>
          </w:tcPr>
          <w:p>
            <w:pPr>
              <w:spacing w:before="40" w:after="40"/>
            </w:pPr>
            <w:r/>
            <w:r>
              <w:t>Pricing</w:t>
            </w:r>
          </w:p>
        </w:tc>
        <w:tc>
          <w:tcPr>
            <w:tcW w:type="dxa" w:w="4680"/>
          </w:tcPr>
          <w:p>
            <w:pPr>
              <w:spacing w:before="40" w:after="40"/>
            </w:pPr>
            <w:r/>
            <w:r>
              <w:t>$828–$1,158 per sample (full panel: LCMS + endotoxin + heavy metals + sterility)</w:t>
            </w:r>
          </w:p>
        </w:tc>
      </w:tr>
      <w:tr>
        <w:tc>
          <w:tcPr>
            <w:tcW w:type="dxa" w:w="4680"/>
          </w:tcPr>
          <w:p>
            <w:pPr>
              <w:spacing w:before="40" w:after="40"/>
            </w:pPr>
            <w:r/>
            <w:r>
              <w:t>Tests offered</w:t>
            </w:r>
          </w:p>
        </w:tc>
        <w:tc>
          <w:tcPr>
            <w:tcW w:type="dxa" w:w="4680"/>
          </w:tcPr>
          <w:p>
            <w:pPr>
              <w:spacing w:before="40" w:after="40"/>
            </w:pPr>
            <w:r/>
            <w:r>
              <w:t>LCMS screening, endotoxin analysis, heavy metals, sterility</w:t>
            </w:r>
          </w:p>
        </w:tc>
      </w:tr>
      <w:tr>
        <w:tc>
          <w:tcPr>
            <w:tcW w:type="dxa" w:w="4680"/>
          </w:tcPr>
          <w:p>
            <w:pPr>
              <w:spacing w:before="40" w:after="40"/>
            </w:pPr>
            <w:r/>
            <w:r>
              <w:t>ISO 17025 status</w:t>
            </w:r>
          </w:p>
        </w:tc>
        <w:tc>
          <w:tcPr>
            <w:tcW w:type="dxa" w:w="4680"/>
          </w:tcPr>
          <w:p>
            <w:pPr>
              <w:spacing w:before="40" w:after="40"/>
            </w:pPr>
            <w:r/>
            <w:r>
              <w:rPr>
                <w:b/>
              </w:rPr>
              <w:t>Disputed</w:t>
            </w:r>
            <w:r>
              <w:t xml:space="preserve"> — marketed as accredited but community debates whether the accreditation covers peptide testing specifically; raw data kept behind paywall</w:t>
            </w:r>
          </w:p>
        </w:tc>
      </w:tr>
      <w:tr>
        <w:tc>
          <w:tcPr>
            <w:tcW w:type="dxa" w:w="4680"/>
          </w:tcPr>
          <w:p>
            <w:pPr>
              <w:spacing w:before="40" w:after="40"/>
            </w:pPr>
            <w:r/>
            <w:r>
              <w:t>Turnaround</w:t>
            </w:r>
          </w:p>
        </w:tc>
        <w:tc>
          <w:tcPr>
            <w:tcW w:type="dxa" w:w="4680"/>
          </w:tcPr>
          <w:p>
            <w:pPr>
              <w:spacing w:before="40" w:after="40"/>
            </w:pPr>
            <w:r/>
            <w:r>
              <w:t>Not publicly stated</w:t>
            </w:r>
          </w:p>
        </w:tc>
      </w:tr>
      <w:tr>
        <w:tc>
          <w:tcPr>
            <w:tcW w:type="dxa" w:w="4680"/>
          </w:tcPr>
          <w:p>
            <w:pPr>
              <w:spacing w:before="40" w:after="40"/>
            </w:pPr>
            <w:r/>
            <w:r>
              <w:t>COA database</w:t>
            </w:r>
          </w:p>
        </w:tc>
        <w:tc>
          <w:tcPr>
            <w:tcW w:type="dxa" w:w="4680"/>
          </w:tcPr>
          <w:p>
            <w:pPr>
              <w:spacing w:before="40" w:after="40"/>
            </w:pPr>
            <w:r/>
            <w:r>
              <w:t>Not publicly searchable</w:t>
            </w:r>
          </w:p>
        </w:tc>
      </w:tr>
      <w:tr>
        <w:tc>
          <w:tcPr>
            <w:tcW w:type="dxa" w:w="4680"/>
          </w:tcPr>
          <w:p>
            <w:pPr>
              <w:spacing w:before="40" w:after="40"/>
            </w:pPr>
            <w:r/>
            <w:r>
              <w:t>Key weakness</w:t>
            </w:r>
          </w:p>
        </w:tc>
        <w:tc>
          <w:tcPr>
            <w:tcW w:type="dxa" w:w="4680"/>
          </w:tcPr>
          <w:p>
            <w:pPr>
              <w:spacing w:before="40" w:after="40"/>
            </w:pPr>
            <w:r/>
            <w:r>
              <w:t>Foreign-based (EU jurisdiction), disputed accreditation, opaque methodology, raw data not freely accessible</w:t>
            </w:r>
          </w:p>
        </w:tc>
      </w:tr>
    </w:tbl>
    <w:p/>
    <w:p>
      <w:pPr>
        <w:spacing w:after="120"/>
      </w:pPr>
      <w:r>
        <w:rPr>
          <w:b/>
        </w:rPr>
        <w:t>The critical weakness:</w:t>
      </w:r>
      <w:r>
        <w:t xml:space="preserve"> Janoshik is the most trusted name </w:t>
      </w:r>
      <w:r>
        <w:rPr>
          <w:i/>
        </w:rPr>
        <w:t>by default</w:t>
      </w:r>
      <w:r>
        <w:t xml:space="preserve"> — not because they've built a genuinely superior credential, but because nobody else has. Their ISO 17025 status being disputed is a fatal vulnerability once a US competitor with verified accreditation enters the market.</w:t>
      </w:r>
    </w:p>
    <w:p>
      <w:pPr>
        <w:pStyle w:val="Heading3"/>
        <w:spacing w:before="160" w:after="80"/>
      </w:pPr>
      <w:r>
        <w:t>6.2 Colmaric Analyticals (US)</w:t>
      </w:r>
    </w:p>
    <w:p>
      <w:pPr>
        <w:spacing w:after="120"/>
      </w:pPr>
      <w:r>
        <w:t>The most trusted US-based lab in the peptide community, with decades of pharma and supplement experience.</w:t>
      </w:r>
    </w:p>
    <w:tbl>
      <w:tblPr>
        <w:tblStyle w:val="TableGrid"/>
        <w:tblW w:type="auto" w:w="0"/>
        <w:tblLook w:firstColumn="1" w:firstRow="1" w:lastColumn="0" w:lastRow="0" w:noHBand="0" w:noVBand="1" w:val="04A0"/>
      </w:tblPr>
      <w:tblGrid>
        <w:gridCol w:w="4680"/>
        <w:gridCol w:w="4680"/>
      </w:tblGrid>
      <w:tr>
        <w:tc>
          <w:tcPr>
            <w:tcW w:type="dxa" w:w="4680"/>
          </w:tcPr>
          <w:p>
            <w:pPr>
              <w:spacing w:before="40" w:after="40"/>
            </w:pPr>
            <w:r>
              <w:rPr>
                <w:b/>
              </w:rPr>
            </w:r>
            <w:r>
              <w:rPr>
                <w:b/>
              </w:rPr>
              <w:t>Attribute</w:t>
            </w:r>
          </w:p>
        </w:tc>
        <w:tc>
          <w:tcPr>
            <w:tcW w:type="dxa" w:w="4680"/>
          </w:tcPr>
          <w:p>
            <w:pPr>
              <w:spacing w:before="40" w:after="40"/>
            </w:pPr>
            <w:r>
              <w:rPr>
                <w:b/>
              </w:rPr>
            </w:r>
            <w:r>
              <w:rPr>
                <w:b/>
              </w:rPr>
              <w:t>Detail</w:t>
            </w:r>
          </w:p>
        </w:tc>
      </w:tr>
      <w:tr>
        <w:tc>
          <w:tcPr>
            <w:tcW w:type="dxa" w:w="4680"/>
          </w:tcPr>
          <w:p>
            <w:pPr>
              <w:spacing w:before="40" w:after="40"/>
            </w:pPr>
            <w:r/>
            <w:r>
              <w:t>Location</w:t>
            </w:r>
          </w:p>
        </w:tc>
        <w:tc>
          <w:tcPr>
            <w:tcW w:type="dxa" w:w="4680"/>
          </w:tcPr>
          <w:p>
            <w:pPr>
              <w:spacing w:before="40" w:after="40"/>
            </w:pPr>
            <w:r/>
            <w:r>
              <w:t>United States</w:t>
            </w:r>
          </w:p>
        </w:tc>
      </w:tr>
      <w:tr>
        <w:tc>
          <w:tcPr>
            <w:tcW w:type="dxa" w:w="4680"/>
          </w:tcPr>
          <w:p>
            <w:pPr>
              <w:spacing w:before="40" w:after="40"/>
            </w:pPr>
            <w:r/>
            <w:r>
              <w:t>Pricing</w:t>
            </w:r>
          </w:p>
        </w:tc>
        <w:tc>
          <w:tcPr>
            <w:tcW w:type="dxa" w:w="4680"/>
          </w:tcPr>
          <w:p>
            <w:pPr>
              <w:spacing w:before="40" w:after="40"/>
            </w:pPr>
            <w:r/>
            <w:r>
              <w:rPr>
                <w:b/>
              </w:rPr>
              <w:t>Opaque</w:t>
            </w:r>
            <w:r>
              <w:t xml:space="preserve"> — quote-only, no public pricing</w:t>
            </w:r>
          </w:p>
        </w:tc>
      </w:tr>
      <w:tr>
        <w:tc>
          <w:tcPr>
            <w:tcW w:type="dxa" w:w="4680"/>
          </w:tcPr>
          <w:p>
            <w:pPr>
              <w:spacing w:before="40" w:after="40"/>
            </w:pPr>
            <w:r/>
            <w:r>
              <w:t>Tests offered</w:t>
            </w:r>
          </w:p>
        </w:tc>
        <w:tc>
          <w:tcPr>
            <w:tcW w:type="dxa" w:w="4680"/>
          </w:tcPr>
          <w:p>
            <w:pPr>
              <w:spacing w:before="40" w:after="40"/>
            </w:pPr>
            <w:r/>
            <w:r>
              <w:t>HPLC purity quantification, MS molecular weight confirmation, LAL endotoxin testing</w:t>
            </w:r>
          </w:p>
        </w:tc>
      </w:tr>
      <w:tr>
        <w:tc>
          <w:tcPr>
            <w:tcW w:type="dxa" w:w="4680"/>
          </w:tcPr>
          <w:p>
            <w:pPr>
              <w:spacing w:before="40" w:after="40"/>
            </w:pPr>
            <w:r/>
            <w:r>
              <w:t>ISO 17025 status</w:t>
            </w:r>
          </w:p>
        </w:tc>
        <w:tc>
          <w:tcPr>
            <w:tcW w:type="dxa" w:w="4680"/>
          </w:tcPr>
          <w:p>
            <w:pPr>
              <w:spacing w:before="40" w:after="40"/>
            </w:pPr>
            <w:r/>
            <w:r>
              <w:t>Pharma-grade lab with accreditation, but specific peptide panel accreditation unclear</w:t>
            </w:r>
          </w:p>
        </w:tc>
      </w:tr>
      <w:tr>
        <w:tc>
          <w:tcPr>
            <w:tcW w:type="dxa" w:w="4680"/>
          </w:tcPr>
          <w:p>
            <w:pPr>
              <w:spacing w:before="40" w:after="40"/>
            </w:pPr>
            <w:r/>
            <w:r>
              <w:t>Turnaround</w:t>
            </w:r>
          </w:p>
        </w:tc>
        <w:tc>
          <w:tcPr>
            <w:tcW w:type="dxa" w:w="4680"/>
          </w:tcPr>
          <w:p>
            <w:pPr>
              <w:spacing w:before="40" w:after="40"/>
            </w:pPr>
            <w:r/>
            <w:r>
              <w:t>Not publicly stated</w:t>
            </w:r>
          </w:p>
        </w:tc>
      </w:tr>
      <w:tr>
        <w:tc>
          <w:tcPr>
            <w:tcW w:type="dxa" w:w="4680"/>
          </w:tcPr>
          <w:p>
            <w:pPr>
              <w:spacing w:before="40" w:after="40"/>
            </w:pPr>
            <w:r/>
            <w:r>
              <w:t>COA database</w:t>
            </w:r>
          </w:p>
        </w:tc>
        <w:tc>
          <w:tcPr>
            <w:tcW w:type="dxa" w:w="4680"/>
          </w:tcPr>
          <w:p>
            <w:pPr>
              <w:spacing w:before="40" w:after="40"/>
            </w:pPr>
            <w:r/>
            <w:r>
              <w:t>No public database</w:t>
            </w:r>
          </w:p>
        </w:tc>
      </w:tr>
      <w:tr>
        <w:tc>
          <w:tcPr>
            <w:tcW w:type="dxa" w:w="4680"/>
          </w:tcPr>
          <w:p>
            <w:pPr>
              <w:spacing w:before="40" w:after="40"/>
            </w:pPr>
            <w:r/>
            <w:r>
              <w:t>Key weakness</w:t>
            </w:r>
          </w:p>
        </w:tc>
        <w:tc>
          <w:tcPr>
            <w:tcW w:type="dxa" w:w="4680"/>
          </w:tcPr>
          <w:p>
            <w:pPr>
              <w:spacing w:before="40" w:after="40"/>
            </w:pPr>
            <w:r/>
            <w:r>
              <w:t>Quote-only pricing, no standardized peptide panel, no certification seal, no public COA registry</w:t>
            </w:r>
          </w:p>
        </w:tc>
      </w:tr>
    </w:tbl>
    <w:p/>
    <w:p>
      <w:pPr>
        <w:pStyle w:val="Heading3"/>
        <w:spacing w:before="160" w:after="80"/>
      </w:pPr>
      <w:r>
        <w:t>6.3 MZ Biolabs (US)</w:t>
      </w:r>
    </w:p>
    <w:p>
      <w:pPr>
        <w:spacing w:after="120"/>
      </w:pPr>
      <w:r>
        <w:t>An emerging player recently expanding scope.</w:t>
      </w:r>
    </w:p>
    <w:tbl>
      <w:tblPr>
        <w:tblStyle w:val="TableGrid"/>
        <w:tblW w:type="auto" w:w="0"/>
        <w:tblLook w:firstColumn="1" w:firstRow="1" w:lastColumn="0" w:lastRow="0" w:noHBand="0" w:noVBand="1" w:val="04A0"/>
      </w:tblPr>
      <w:tblGrid>
        <w:gridCol w:w="4680"/>
        <w:gridCol w:w="4680"/>
      </w:tblGrid>
      <w:tr>
        <w:tc>
          <w:tcPr>
            <w:tcW w:type="dxa" w:w="4680"/>
          </w:tcPr>
          <w:p>
            <w:pPr>
              <w:spacing w:before="40" w:after="40"/>
            </w:pPr>
            <w:r>
              <w:rPr>
                <w:b/>
              </w:rPr>
            </w:r>
            <w:r>
              <w:rPr>
                <w:b/>
              </w:rPr>
              <w:t>Attribute</w:t>
            </w:r>
          </w:p>
        </w:tc>
        <w:tc>
          <w:tcPr>
            <w:tcW w:type="dxa" w:w="4680"/>
          </w:tcPr>
          <w:p>
            <w:pPr>
              <w:spacing w:before="40" w:after="40"/>
            </w:pPr>
            <w:r>
              <w:rPr>
                <w:b/>
              </w:rPr>
            </w:r>
            <w:r>
              <w:rPr>
                <w:b/>
              </w:rPr>
              <w:t>Detail</w:t>
            </w:r>
          </w:p>
        </w:tc>
      </w:tr>
      <w:tr>
        <w:tc>
          <w:tcPr>
            <w:tcW w:type="dxa" w:w="4680"/>
          </w:tcPr>
          <w:p>
            <w:pPr>
              <w:spacing w:before="40" w:after="40"/>
            </w:pPr>
            <w:r/>
            <w:r>
              <w:t>Location</w:t>
            </w:r>
          </w:p>
        </w:tc>
        <w:tc>
          <w:tcPr>
            <w:tcW w:type="dxa" w:w="4680"/>
          </w:tcPr>
          <w:p>
            <w:pPr>
              <w:spacing w:before="40" w:after="40"/>
            </w:pPr>
            <w:r/>
            <w:r>
              <w:t>United States</w:t>
            </w:r>
          </w:p>
        </w:tc>
      </w:tr>
      <w:tr>
        <w:tc>
          <w:tcPr>
            <w:tcW w:type="dxa" w:w="4680"/>
          </w:tcPr>
          <w:p>
            <w:pPr>
              <w:spacing w:before="40" w:after="40"/>
            </w:pPr>
            <w:r/>
            <w:r>
              <w:t>Pricing</w:t>
            </w:r>
          </w:p>
        </w:tc>
        <w:tc>
          <w:tcPr>
            <w:tcW w:type="dxa" w:w="4680"/>
          </w:tcPr>
          <w:p>
            <w:pPr>
              <w:spacing w:before="40" w:after="40"/>
            </w:pPr>
            <w:r/>
            <w:r>
              <w:t>$200–$300 per sample</w:t>
            </w:r>
          </w:p>
        </w:tc>
      </w:tr>
      <w:tr>
        <w:tc>
          <w:tcPr>
            <w:tcW w:type="dxa" w:w="4680"/>
          </w:tcPr>
          <w:p>
            <w:pPr>
              <w:spacing w:before="40" w:after="40"/>
            </w:pPr>
            <w:r/>
            <w:r>
              <w:t>Tests offered</w:t>
            </w:r>
          </w:p>
        </w:tc>
        <w:tc>
          <w:tcPr>
            <w:tcW w:type="dxa" w:w="4680"/>
          </w:tcPr>
          <w:p>
            <w:pPr>
              <w:spacing w:before="40" w:after="40"/>
            </w:pPr>
            <w:r/>
            <w:r>
              <w:t>HPLC + UV detection, mass spectrometry, recently added bacterial endotoxin (December 2024) and sterility testing (early 2025)</w:t>
            </w:r>
          </w:p>
        </w:tc>
      </w:tr>
      <w:tr>
        <w:tc>
          <w:tcPr>
            <w:tcW w:type="dxa" w:w="4680"/>
          </w:tcPr>
          <w:p>
            <w:pPr>
              <w:spacing w:before="40" w:after="40"/>
            </w:pPr>
            <w:r/>
            <w:r>
              <w:t>ISO 17025 status</w:t>
            </w:r>
          </w:p>
        </w:tc>
        <w:tc>
          <w:tcPr>
            <w:tcW w:type="dxa" w:w="4680"/>
          </w:tcPr>
          <w:p>
            <w:pPr>
              <w:spacing w:before="40" w:after="40"/>
            </w:pPr>
            <w:r/>
            <w:r>
              <w:t>Not prominently advertised</w:t>
            </w:r>
          </w:p>
        </w:tc>
      </w:tr>
      <w:tr>
        <w:tc>
          <w:tcPr>
            <w:tcW w:type="dxa" w:w="4680"/>
          </w:tcPr>
          <w:p>
            <w:pPr>
              <w:spacing w:before="40" w:after="40"/>
            </w:pPr>
            <w:r/>
            <w:r>
              <w:t>Turnaround</w:t>
            </w:r>
          </w:p>
        </w:tc>
        <w:tc>
          <w:tcPr>
            <w:tcW w:type="dxa" w:w="4680"/>
          </w:tcPr>
          <w:p>
            <w:pPr>
              <w:spacing w:before="40" w:after="40"/>
            </w:pPr>
            <w:r/>
            <w:r>
              <w:t>1–2 weeks standard</w:t>
            </w:r>
          </w:p>
        </w:tc>
      </w:tr>
      <w:tr>
        <w:tc>
          <w:tcPr>
            <w:tcW w:type="dxa" w:w="4680"/>
          </w:tcPr>
          <w:p>
            <w:pPr>
              <w:spacing w:before="40" w:after="40"/>
            </w:pPr>
            <w:r/>
            <w:r>
              <w:t>Key strength</w:t>
            </w:r>
          </w:p>
        </w:tc>
        <w:tc>
          <w:tcPr>
            <w:tcW w:type="dxa" w:w="4680"/>
          </w:tcPr>
          <w:p>
            <w:pPr>
              <w:spacing w:before="40" w:after="40"/>
            </w:pPr>
            <w:r/>
            <w:r>
              <w:t>Transparent pricing, expanding test menu, US-based</w:t>
            </w:r>
          </w:p>
        </w:tc>
      </w:tr>
      <w:tr>
        <w:tc>
          <w:tcPr>
            <w:tcW w:type="dxa" w:w="4680"/>
          </w:tcPr>
          <w:p>
            <w:pPr>
              <w:spacing w:before="40" w:after="40"/>
            </w:pPr>
            <w:r/>
            <w:r>
              <w:t>Key weakness</w:t>
            </w:r>
          </w:p>
        </w:tc>
        <w:tc>
          <w:tcPr>
            <w:tcW w:type="dxa" w:w="4680"/>
          </w:tcPr>
          <w:p>
            <w:pPr>
              <w:spacing w:before="40" w:after="40"/>
            </w:pPr>
            <w:r/>
            <w:r>
              <w:t>No certification seal, limited history, no public database</w:t>
            </w:r>
          </w:p>
        </w:tc>
      </w:tr>
    </w:tbl>
    <w:p/>
    <w:p>
      <w:pPr>
        <w:pStyle w:val="Heading3"/>
        <w:spacing w:before="160" w:after="80"/>
      </w:pPr>
      <w:r>
        <w:t>6.4 ACS Lab (US)</w:t>
      </w:r>
    </w:p>
    <w:p>
      <w:pPr>
        <w:spacing w:after="120"/>
      </w:pPr>
      <w:r>
        <w:t>The closest to a transparent pricing model of any current competitor.</w:t>
      </w:r>
    </w:p>
    <w:tbl>
      <w:tblPr>
        <w:tblStyle w:val="TableGrid"/>
        <w:tblW w:type="auto" w:w="0"/>
        <w:tblLook w:firstColumn="1" w:firstRow="1" w:lastColumn="0" w:lastRow="0" w:noHBand="0" w:noVBand="1" w:val="04A0"/>
      </w:tblPr>
      <w:tblGrid>
        <w:gridCol w:w="4680"/>
        <w:gridCol w:w="4680"/>
      </w:tblGrid>
      <w:tr>
        <w:tc>
          <w:tcPr>
            <w:tcW w:type="dxa" w:w="4680"/>
          </w:tcPr>
          <w:p>
            <w:pPr>
              <w:spacing w:before="40" w:after="40"/>
            </w:pPr>
            <w:r>
              <w:rPr>
                <w:b/>
              </w:rPr>
            </w:r>
            <w:r>
              <w:rPr>
                <w:b/>
              </w:rPr>
              <w:t>Attribute</w:t>
            </w:r>
          </w:p>
        </w:tc>
        <w:tc>
          <w:tcPr>
            <w:tcW w:type="dxa" w:w="4680"/>
          </w:tcPr>
          <w:p>
            <w:pPr>
              <w:spacing w:before="40" w:after="40"/>
            </w:pPr>
            <w:r>
              <w:rPr>
                <w:b/>
              </w:rPr>
            </w:r>
            <w:r>
              <w:rPr>
                <w:b/>
              </w:rPr>
              <w:t>Detail</w:t>
            </w:r>
          </w:p>
        </w:tc>
      </w:tr>
      <w:tr>
        <w:tc>
          <w:tcPr>
            <w:tcW w:type="dxa" w:w="4680"/>
          </w:tcPr>
          <w:p>
            <w:pPr>
              <w:spacing w:before="40" w:after="40"/>
            </w:pPr>
            <w:r/>
            <w:r>
              <w:t>Location</w:t>
            </w:r>
          </w:p>
        </w:tc>
        <w:tc>
          <w:tcPr>
            <w:tcW w:type="dxa" w:w="4680"/>
          </w:tcPr>
          <w:p>
            <w:pPr>
              <w:spacing w:before="40" w:after="40"/>
            </w:pPr>
            <w:r/>
            <w:r>
              <w:t>United States (multi-location)</w:t>
            </w:r>
          </w:p>
        </w:tc>
      </w:tr>
      <w:tr>
        <w:tc>
          <w:tcPr>
            <w:tcW w:type="dxa" w:w="4680"/>
          </w:tcPr>
          <w:p>
            <w:pPr>
              <w:spacing w:before="40" w:after="40"/>
            </w:pPr>
            <w:r/>
            <w:r>
              <w:t>Pricing</w:t>
            </w:r>
          </w:p>
        </w:tc>
        <w:tc>
          <w:tcPr>
            <w:tcW w:type="dxa" w:w="4680"/>
          </w:tcPr>
          <w:p>
            <w:pPr>
              <w:spacing w:before="40" w:after="40"/>
            </w:pPr>
            <w:r/>
            <w:r>
              <w:t>$150–$1,500 per sample (panel-dependent)</w:t>
            </w:r>
          </w:p>
        </w:tc>
      </w:tr>
      <w:tr>
        <w:tc>
          <w:tcPr>
            <w:tcW w:type="dxa" w:w="4680"/>
          </w:tcPr>
          <w:p>
            <w:pPr>
              <w:spacing w:before="40" w:after="40"/>
            </w:pPr>
            <w:r/>
            <w:r>
              <w:t>Tests offered</w:t>
            </w:r>
          </w:p>
        </w:tc>
        <w:tc>
          <w:tcPr>
            <w:tcW w:type="dxa" w:w="4680"/>
          </w:tcPr>
          <w:p>
            <w:pPr>
              <w:spacing w:before="40" w:after="40"/>
            </w:pPr>
            <w:r/>
            <w:r>
              <w:t>Variable panels; cannabis-industry background</w:t>
            </w:r>
          </w:p>
        </w:tc>
      </w:tr>
      <w:tr>
        <w:tc>
          <w:tcPr>
            <w:tcW w:type="dxa" w:w="4680"/>
          </w:tcPr>
          <w:p>
            <w:pPr>
              <w:spacing w:before="40" w:after="40"/>
            </w:pPr>
            <w:r/>
            <w:r>
              <w:t>ISO 17025 status</w:t>
            </w:r>
          </w:p>
        </w:tc>
        <w:tc>
          <w:tcPr>
            <w:tcW w:type="dxa" w:w="4680"/>
          </w:tcPr>
          <w:p>
            <w:pPr>
              <w:spacing w:before="40" w:after="40"/>
            </w:pPr>
            <w:r/>
            <w:r>
              <w:t>Accredited for some scope</w:t>
            </w:r>
          </w:p>
        </w:tc>
      </w:tr>
      <w:tr>
        <w:tc>
          <w:tcPr>
            <w:tcW w:type="dxa" w:w="4680"/>
          </w:tcPr>
          <w:p>
            <w:pPr>
              <w:spacing w:before="40" w:after="40"/>
            </w:pPr>
            <w:r/>
            <w:r>
              <w:t>Turnaround</w:t>
            </w:r>
          </w:p>
        </w:tc>
        <w:tc>
          <w:tcPr>
            <w:tcW w:type="dxa" w:w="4680"/>
          </w:tcPr>
          <w:p>
            <w:pPr>
              <w:spacing w:before="40" w:after="40"/>
            </w:pPr>
            <w:r/>
            <w:r>
              <w:t>5–7 days standard, 2–3 day rush</w:t>
            </w:r>
          </w:p>
        </w:tc>
      </w:tr>
      <w:tr>
        <w:tc>
          <w:tcPr>
            <w:tcW w:type="dxa" w:w="4680"/>
          </w:tcPr>
          <w:p>
            <w:pPr>
              <w:spacing w:before="40" w:after="40"/>
            </w:pPr>
            <w:r/>
            <w:r>
              <w:t>Key strength</w:t>
            </w:r>
          </w:p>
        </w:tc>
        <w:tc>
          <w:tcPr>
            <w:tcW w:type="dxa" w:w="4680"/>
          </w:tcPr>
          <w:p>
            <w:pPr>
              <w:spacing w:before="40" w:after="40"/>
            </w:pPr>
            <w:r/>
            <w:r>
              <w:t>Transparent pricing, fast turnaround</w:t>
            </w:r>
          </w:p>
        </w:tc>
      </w:tr>
      <w:tr>
        <w:tc>
          <w:tcPr>
            <w:tcW w:type="dxa" w:w="4680"/>
          </w:tcPr>
          <w:p>
            <w:pPr>
              <w:spacing w:before="40" w:after="40"/>
            </w:pPr>
            <w:r/>
            <w:r>
              <w:t>Key weakness</w:t>
            </w:r>
          </w:p>
        </w:tc>
        <w:tc>
          <w:tcPr>
            <w:tcW w:type="dxa" w:w="4680"/>
          </w:tcPr>
          <w:p>
            <w:pPr>
              <w:spacing w:before="40" w:after="40"/>
            </w:pPr>
            <w:r/>
            <w:r>
              <w:t>Cannabis-focused origin, no peptide-specific certification program</w:t>
            </w:r>
          </w:p>
        </w:tc>
      </w:tr>
    </w:tbl>
    <w:p/>
    <w:p>
      <w:pPr>
        <w:pStyle w:val="Heading3"/>
        <w:spacing w:before="160" w:after="80"/>
      </w:pPr>
      <w:r>
        <w:t>6.5 Finnrick (Independent Consumer Testing)</w:t>
      </w:r>
    </w:p>
    <w:p>
      <w:pPr>
        <w:spacing w:after="120"/>
      </w:pPr>
      <w:r>
        <w:t>The most interesting analog to ConsumerLab — an independent project that purchases peptide products at retail and tests them without vendor payment.</w:t>
      </w:r>
    </w:p>
    <w:tbl>
      <w:tblPr>
        <w:tblStyle w:val="TableGrid"/>
        <w:tblW w:type="auto" w:w="0"/>
        <w:tblLook w:firstColumn="1" w:firstRow="1" w:lastColumn="0" w:lastRow="0" w:noHBand="0" w:noVBand="1" w:val="04A0"/>
      </w:tblPr>
      <w:tblGrid>
        <w:gridCol w:w="4680"/>
        <w:gridCol w:w="4680"/>
      </w:tblGrid>
      <w:tr>
        <w:tc>
          <w:tcPr>
            <w:tcW w:type="dxa" w:w="4680"/>
          </w:tcPr>
          <w:p>
            <w:pPr>
              <w:spacing w:before="40" w:after="40"/>
            </w:pPr>
            <w:r>
              <w:rPr>
                <w:b/>
              </w:rPr>
            </w:r>
            <w:r>
              <w:rPr>
                <w:b/>
              </w:rPr>
              <w:t>Attribute</w:t>
            </w:r>
          </w:p>
        </w:tc>
        <w:tc>
          <w:tcPr>
            <w:tcW w:type="dxa" w:w="4680"/>
          </w:tcPr>
          <w:p>
            <w:pPr>
              <w:spacing w:before="40" w:after="40"/>
            </w:pPr>
            <w:r>
              <w:rPr>
                <w:b/>
              </w:rPr>
            </w:r>
            <w:r>
              <w:rPr>
                <w:b/>
              </w:rPr>
              <w:t>Detail</w:t>
            </w:r>
          </w:p>
        </w:tc>
      </w:tr>
      <w:tr>
        <w:tc>
          <w:tcPr>
            <w:tcW w:type="dxa" w:w="4680"/>
          </w:tcPr>
          <w:p>
            <w:pPr>
              <w:spacing w:before="40" w:after="40"/>
            </w:pPr>
            <w:r/>
            <w:r>
              <w:t>Model</w:t>
            </w:r>
          </w:p>
        </w:tc>
        <w:tc>
          <w:tcPr>
            <w:tcW w:type="dxa" w:w="4680"/>
          </w:tcPr>
          <w:p>
            <w:pPr>
              <w:spacing w:before="40" w:after="40"/>
            </w:pPr>
            <w:r/>
            <w:r>
              <w:t>Independent procurement + testing (no vendor payment)</w:t>
            </w:r>
          </w:p>
        </w:tc>
      </w:tr>
      <w:tr>
        <w:tc>
          <w:tcPr>
            <w:tcW w:type="dxa" w:w="4680"/>
          </w:tcPr>
          <w:p>
            <w:pPr>
              <w:spacing w:before="40" w:after="40"/>
            </w:pPr>
            <w:r/>
            <w:r>
              <w:t>Scale</w:t>
            </w:r>
          </w:p>
        </w:tc>
        <w:tc>
          <w:tcPr>
            <w:tcW w:type="dxa" w:w="4680"/>
          </w:tcPr>
          <w:p>
            <w:pPr>
              <w:spacing w:before="40" w:after="40"/>
            </w:pPr>
            <w:r/>
            <w:r>
              <w:t>6,937 samples from 205 vendors tested</w:t>
            </w:r>
          </w:p>
        </w:tc>
      </w:tr>
      <w:tr>
        <w:tc>
          <w:tcPr>
            <w:tcW w:type="dxa" w:w="4680"/>
          </w:tcPr>
          <w:p>
            <w:pPr>
              <w:spacing w:before="40" w:after="40"/>
            </w:pPr>
            <w:r/>
            <w:r>
              <w:t>Revenue</w:t>
            </w:r>
          </w:p>
        </w:tc>
        <w:tc>
          <w:tcPr>
            <w:tcW w:type="dxa" w:w="4680"/>
          </w:tcPr>
          <w:p>
            <w:pPr>
              <w:spacing w:before="40" w:after="40"/>
            </w:pPr>
            <w:r/>
            <w:r>
              <w:t>Unclear — possibly subscription or advocacy-funded</w:t>
            </w:r>
          </w:p>
        </w:tc>
      </w:tr>
      <w:tr>
        <w:tc>
          <w:tcPr>
            <w:tcW w:type="dxa" w:w="4680"/>
          </w:tcPr>
          <w:p>
            <w:pPr>
              <w:spacing w:before="40" w:after="40"/>
            </w:pPr>
            <w:r/>
            <w:r>
              <w:t>Key strength</w:t>
            </w:r>
          </w:p>
        </w:tc>
        <w:tc>
          <w:tcPr>
            <w:tcW w:type="dxa" w:w="4680"/>
          </w:tcPr>
          <w:p>
            <w:pPr>
              <w:spacing w:before="40" w:after="40"/>
            </w:pPr>
            <w:r/>
            <w:r>
              <w:t>No conflict of interest; community trust is maximum; genuine independent verification</w:t>
            </w:r>
          </w:p>
        </w:tc>
      </w:tr>
      <w:tr>
        <w:tc>
          <w:tcPr>
            <w:tcW w:type="dxa" w:w="4680"/>
          </w:tcPr>
          <w:p>
            <w:pPr>
              <w:spacing w:before="40" w:after="40"/>
            </w:pPr>
            <w:r/>
            <w:r>
              <w:t>Key weakness</w:t>
            </w:r>
          </w:p>
        </w:tc>
        <w:tc>
          <w:tcPr>
            <w:tcW w:type="dxa" w:w="4680"/>
          </w:tcPr>
          <w:p>
            <w:pPr>
              <w:spacing w:before="40" w:after="40"/>
            </w:pPr>
            <w:r/>
            <w:r>
              <w:t>Non-systematic, no certification seal, no business model built around vendor compliance</w:t>
            </w:r>
          </w:p>
        </w:tc>
      </w:tr>
    </w:tbl>
    <w:p/>
    <w:p>
      <w:pPr>
        <w:spacing w:after="120"/>
      </w:pPr>
      <w:r>
        <w:t xml:space="preserve">Finnrick proves the </w:t>
      </w:r>
      <w:r>
        <w:rPr>
          <w:i/>
        </w:rPr>
        <w:t>consumer subscription / independent testing</w:t>
      </w:r>
      <w:r>
        <w:t xml:space="preserve"> model works for peptides. It is the ConsumerLab analog.</w:t>
      </w:r>
    </w:p>
    <w:p>
      <w:pPr>
        <w:pStyle w:val="Heading3"/>
        <w:spacing w:before="160" w:after="80"/>
      </w:pPr>
      <w:r>
        <w:t>6.6 In-House Vendor Testing</w:t>
      </w:r>
    </w:p>
    <w:p>
      <w:pPr>
        <w:spacing w:after="120"/>
      </w:pPr>
      <w:r>
        <w:t>The most common type of COA in the market — the vendor tests their own product and issues their own document.</w:t>
      </w:r>
    </w:p>
    <w:p>
      <w:pPr>
        <w:spacing w:after="120"/>
      </w:pPr>
      <w:r>
        <w:rPr>
          <w:b/>
        </w:rPr>
        <w:t>The fundamental flaw:</w:t>
      </w:r>
      <w:r>
        <w:t xml:space="preserve"> Vendors have a direct financial incentive to report favorable results. No matter how genuine the testing, a manufacturer-issued COA cannot achieve the same trust as a third-party document. This is why drug manufacturers cannot approve their own drugs. The conflict of interest is structural.</w:t>
      </w:r>
    </w:p>
    <w:p>
      <w:pPr>
        <w:spacing w:after="120"/>
      </w:pPr>
      <w:r>
        <w:rPr>
          <w:b/>
        </w:rPr>
        <w:t>The opportunity:</w:t>
      </w:r>
      <w:r>
        <w:t xml:space="preserve"> Any vendor currently relying on in-house COAs would benefit from switching to third-party testing — it removes the conflict-of-interest stigma and signals quality commitment. A premium certification program creates a positive incentive to switch.</w:t>
      </w:r>
    </w:p>
    <w:p>
      <w:pPr>
        <w:pStyle w:val="Heading3"/>
        <w:spacing w:before="160" w:after="80"/>
      </w:pPr>
      <w:r>
        <w:t>6.7 Competitive Gap Matrix</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before="40" w:after="40"/>
            </w:pPr>
            <w:r>
              <w:rPr>
                <w:b/>
              </w:rPr>
            </w:r>
            <w:r>
              <w:rPr>
                <w:b/>
              </w:rPr>
              <w:t>Capability</w:t>
            </w:r>
          </w:p>
        </w:tc>
        <w:tc>
          <w:tcPr>
            <w:tcW w:type="dxa" w:w="1560"/>
          </w:tcPr>
          <w:p>
            <w:pPr>
              <w:spacing w:before="40" w:after="40"/>
            </w:pPr>
            <w:r>
              <w:rPr>
                <w:b/>
              </w:rPr>
            </w:r>
            <w:r>
              <w:rPr>
                <w:b/>
              </w:rPr>
              <w:t>Janoshik</w:t>
            </w:r>
          </w:p>
        </w:tc>
        <w:tc>
          <w:tcPr>
            <w:tcW w:type="dxa" w:w="1560"/>
          </w:tcPr>
          <w:p>
            <w:pPr>
              <w:spacing w:before="40" w:after="40"/>
            </w:pPr>
            <w:r>
              <w:rPr>
                <w:b/>
              </w:rPr>
            </w:r>
            <w:r>
              <w:rPr>
                <w:b/>
              </w:rPr>
              <w:t>Colmaric</w:t>
            </w:r>
          </w:p>
        </w:tc>
        <w:tc>
          <w:tcPr>
            <w:tcW w:type="dxa" w:w="1560"/>
          </w:tcPr>
          <w:p>
            <w:pPr>
              <w:spacing w:before="40" w:after="40"/>
            </w:pPr>
            <w:r>
              <w:rPr>
                <w:b/>
              </w:rPr>
            </w:r>
            <w:r>
              <w:rPr>
                <w:b/>
              </w:rPr>
              <w:t>MZ Biolabs</w:t>
            </w:r>
          </w:p>
        </w:tc>
        <w:tc>
          <w:tcPr>
            <w:tcW w:type="dxa" w:w="1560"/>
          </w:tcPr>
          <w:p>
            <w:pPr>
              <w:spacing w:before="40" w:after="40"/>
            </w:pPr>
            <w:r>
              <w:rPr>
                <w:b/>
              </w:rPr>
            </w:r>
            <w:r>
              <w:rPr>
                <w:b/>
              </w:rPr>
              <w:t>ACS Lab</w:t>
            </w:r>
          </w:p>
        </w:tc>
        <w:tc>
          <w:tcPr>
            <w:tcW w:type="dxa" w:w="1560"/>
          </w:tcPr>
          <w:p>
            <w:pPr>
              <w:spacing w:before="40" w:after="40"/>
            </w:pPr>
            <w:r>
              <w:rPr>
                <w:b/>
              </w:rPr>
            </w:r>
            <w:r>
              <w:rPr>
                <w:b/>
              </w:rPr>
              <w:t>New Entrant</w:t>
            </w:r>
          </w:p>
        </w:tc>
      </w:tr>
      <w:tr>
        <w:tc>
          <w:tcPr>
            <w:tcW w:type="dxa" w:w="1560"/>
          </w:tcPr>
          <w:p>
            <w:pPr>
              <w:spacing w:before="40" w:after="40"/>
            </w:pPr>
            <w:r/>
            <w:r>
              <w:t>US-based</w:t>
            </w:r>
          </w:p>
        </w:tc>
        <w:tc>
          <w:tcPr>
            <w:tcW w:type="dxa" w:w="1560"/>
          </w:tcPr>
          <w:p>
            <w:pPr>
              <w:spacing w:before="40" w:after="40"/>
            </w:pPr>
            <w:r/>
            <w:r>
              <w:t>✗</w:t>
            </w:r>
          </w:p>
        </w:tc>
        <w:tc>
          <w:tcPr>
            <w:tcW w:type="dxa" w:w="1560"/>
          </w:tcPr>
          <w:p>
            <w:pPr>
              <w:spacing w:before="40" w:after="40"/>
            </w:pPr>
            <w:r/>
            <w:r>
              <w:t>✓</w:t>
            </w:r>
          </w:p>
        </w:tc>
        <w:tc>
          <w:tcPr>
            <w:tcW w:type="dxa" w:w="1560"/>
          </w:tcPr>
          <w:p>
            <w:pPr>
              <w:spacing w:before="40" w:after="40"/>
            </w:pPr>
            <w:r/>
            <w:r>
              <w:t>✓</w:t>
            </w:r>
          </w:p>
        </w:tc>
        <w:tc>
          <w:tcPr>
            <w:tcW w:type="dxa" w:w="1560"/>
          </w:tcPr>
          <w:p>
            <w:pPr>
              <w:spacing w:before="40" w:after="40"/>
            </w:pPr>
            <w:r/>
            <w:r>
              <w:t>✓</w:t>
            </w:r>
          </w:p>
        </w:tc>
        <w:tc>
          <w:tcPr>
            <w:tcW w:type="dxa" w:w="1560"/>
          </w:tcPr>
          <w:p>
            <w:pPr>
              <w:spacing w:before="40" w:after="40"/>
            </w:pPr>
            <w:r/>
            <w:r>
              <w:t>✓</w:t>
            </w:r>
          </w:p>
        </w:tc>
      </w:tr>
      <w:tr>
        <w:tc>
          <w:tcPr>
            <w:tcW w:type="dxa" w:w="1560"/>
          </w:tcPr>
          <w:p>
            <w:pPr>
              <w:spacing w:before="40" w:after="40"/>
            </w:pPr>
            <w:r/>
            <w:r>
              <w:t>Transparent pricing</w:t>
            </w:r>
          </w:p>
        </w:tc>
        <w:tc>
          <w:tcPr>
            <w:tcW w:type="dxa" w:w="1560"/>
          </w:tcPr>
          <w:p>
            <w:pPr>
              <w:spacing w:before="40" w:after="40"/>
            </w:pPr>
            <w:r/>
            <w:r>
              <w:t>✗</w:t>
            </w:r>
          </w:p>
        </w:tc>
        <w:tc>
          <w:tcPr>
            <w:tcW w:type="dxa" w:w="1560"/>
          </w:tcPr>
          <w:p>
            <w:pPr>
              <w:spacing w:before="40" w:after="40"/>
            </w:pPr>
            <w:r/>
            <w:r>
              <w:t>✗</w:t>
            </w:r>
          </w:p>
        </w:tc>
        <w:tc>
          <w:tcPr>
            <w:tcW w:type="dxa" w:w="1560"/>
          </w:tcPr>
          <w:p>
            <w:pPr>
              <w:spacing w:before="40" w:after="40"/>
            </w:pPr>
            <w:r/>
            <w:r>
              <w:t>✓</w:t>
            </w:r>
          </w:p>
        </w:tc>
        <w:tc>
          <w:tcPr>
            <w:tcW w:type="dxa" w:w="1560"/>
          </w:tcPr>
          <w:p>
            <w:pPr>
              <w:spacing w:before="40" w:after="40"/>
            </w:pPr>
            <w:r/>
            <w:r>
              <w:t>✓</w:t>
            </w:r>
          </w:p>
        </w:tc>
        <w:tc>
          <w:tcPr>
            <w:tcW w:type="dxa" w:w="1560"/>
          </w:tcPr>
          <w:p>
            <w:pPr>
              <w:spacing w:before="40" w:after="40"/>
            </w:pPr>
            <w:r/>
            <w:r>
              <w:rPr>
                <w:b/>
              </w:rPr>
              <w:t>✓</w:t>
            </w:r>
          </w:p>
        </w:tc>
      </w:tr>
      <w:tr>
        <w:tc>
          <w:tcPr>
            <w:tcW w:type="dxa" w:w="1560"/>
          </w:tcPr>
          <w:p>
            <w:pPr>
              <w:spacing w:before="40" w:after="40"/>
            </w:pPr>
            <w:r/>
            <w:r>
              <w:t>Verified ISO 17025</w:t>
            </w:r>
          </w:p>
        </w:tc>
        <w:tc>
          <w:tcPr>
            <w:tcW w:type="dxa" w:w="1560"/>
          </w:tcPr>
          <w:p>
            <w:pPr>
              <w:spacing w:before="40" w:after="40"/>
            </w:pPr>
            <w:r/>
            <w:r>
              <w:t>Disputed</w:t>
            </w:r>
          </w:p>
        </w:tc>
        <w:tc>
          <w:tcPr>
            <w:tcW w:type="dxa" w:w="1560"/>
          </w:tcPr>
          <w:p>
            <w:pPr>
              <w:spacing w:before="40" w:after="40"/>
            </w:pPr>
            <w:r/>
            <w:r>
              <w:t>Partial</w:t>
            </w:r>
          </w:p>
        </w:tc>
        <w:tc>
          <w:tcPr>
            <w:tcW w:type="dxa" w:w="1560"/>
          </w:tcPr>
          <w:p>
            <w:pPr>
              <w:spacing w:before="40" w:after="40"/>
            </w:pPr>
            <w:r/>
            <w:r>
              <w:t>✗</w:t>
            </w:r>
          </w:p>
        </w:tc>
        <w:tc>
          <w:tcPr>
            <w:tcW w:type="dxa" w:w="1560"/>
          </w:tcPr>
          <w:p>
            <w:pPr>
              <w:spacing w:before="40" w:after="40"/>
            </w:pPr>
            <w:r/>
            <w:r>
              <w:t>Partial</w:t>
            </w:r>
          </w:p>
        </w:tc>
        <w:tc>
          <w:tcPr>
            <w:tcW w:type="dxa" w:w="1560"/>
          </w:tcPr>
          <w:p>
            <w:pPr>
              <w:spacing w:before="40" w:after="40"/>
            </w:pPr>
            <w:r/>
            <w:r>
              <w:rPr>
                <w:b/>
              </w:rPr>
              <w:t>✓ (target)</w:t>
            </w:r>
          </w:p>
        </w:tc>
      </w:tr>
      <w:tr>
        <w:tc>
          <w:tcPr>
            <w:tcW w:type="dxa" w:w="1560"/>
          </w:tcPr>
          <w:p>
            <w:pPr>
              <w:spacing w:before="40" w:after="40"/>
            </w:pPr>
            <w:r/>
            <w:r>
              <w:t>Full test panel (HPLC + MS + endotoxin + sterility)</w:t>
            </w:r>
          </w:p>
        </w:tc>
        <w:tc>
          <w:tcPr>
            <w:tcW w:type="dxa" w:w="1560"/>
          </w:tcPr>
          <w:p>
            <w:pPr>
              <w:spacing w:before="40" w:after="40"/>
            </w:pPr>
            <w:r/>
            <w:r>
              <w:t>✓ (expensive)</w:t>
            </w:r>
          </w:p>
        </w:tc>
        <w:tc>
          <w:tcPr>
            <w:tcW w:type="dxa" w:w="1560"/>
          </w:tcPr>
          <w:p>
            <w:pPr>
              <w:spacing w:before="40" w:after="40"/>
            </w:pPr>
            <w:r/>
            <w:r>
              <w:t>Partial</w:t>
            </w:r>
          </w:p>
        </w:tc>
        <w:tc>
          <w:tcPr>
            <w:tcW w:type="dxa" w:w="1560"/>
          </w:tcPr>
          <w:p>
            <w:pPr>
              <w:spacing w:before="40" w:after="40"/>
            </w:pPr>
            <w:r/>
            <w:r>
              <w:t>Growing</w:t>
            </w:r>
          </w:p>
        </w:tc>
        <w:tc>
          <w:tcPr>
            <w:tcW w:type="dxa" w:w="1560"/>
          </w:tcPr>
          <w:p>
            <w:pPr>
              <w:spacing w:before="40" w:after="40"/>
            </w:pPr>
            <w:r/>
            <w:r>
              <w:t>Partial</w:t>
            </w:r>
          </w:p>
        </w:tc>
        <w:tc>
          <w:tcPr>
            <w:tcW w:type="dxa" w:w="1560"/>
          </w:tcPr>
          <w:p>
            <w:pPr>
              <w:spacing w:before="40" w:after="40"/>
            </w:pPr>
            <w:r/>
            <w:r>
              <w:rPr>
                <w:b/>
              </w:rPr>
              <w:t>✓</w:t>
            </w:r>
          </w:p>
        </w:tc>
      </w:tr>
      <w:tr>
        <w:tc>
          <w:tcPr>
            <w:tcW w:type="dxa" w:w="1560"/>
          </w:tcPr>
          <w:p>
            <w:pPr>
              <w:spacing w:before="40" w:after="40"/>
            </w:pPr>
            <w:r/>
            <w:r>
              <w:t>Certification seal program</w:t>
            </w:r>
          </w:p>
        </w:tc>
        <w:tc>
          <w:tcPr>
            <w:tcW w:type="dxa" w:w="1560"/>
          </w:tcPr>
          <w:p>
            <w:pPr>
              <w:spacing w:before="40" w:after="40"/>
            </w:pPr>
            <w:r/>
            <w:r>
              <w:t>✗</w:t>
            </w:r>
          </w:p>
        </w:tc>
        <w:tc>
          <w:tcPr>
            <w:tcW w:type="dxa" w:w="1560"/>
          </w:tcPr>
          <w:p>
            <w:pPr>
              <w:spacing w:before="40" w:after="40"/>
            </w:pPr>
            <w:r/>
            <w:r>
              <w:t>✗</w:t>
            </w:r>
          </w:p>
        </w:tc>
        <w:tc>
          <w:tcPr>
            <w:tcW w:type="dxa" w:w="1560"/>
          </w:tcPr>
          <w:p>
            <w:pPr>
              <w:spacing w:before="40" w:after="40"/>
            </w:pPr>
            <w:r/>
            <w:r>
              <w:t>✗</w:t>
            </w:r>
          </w:p>
        </w:tc>
        <w:tc>
          <w:tcPr>
            <w:tcW w:type="dxa" w:w="1560"/>
          </w:tcPr>
          <w:p>
            <w:pPr>
              <w:spacing w:before="40" w:after="40"/>
            </w:pPr>
            <w:r/>
            <w:r>
              <w:t>✗</w:t>
            </w:r>
          </w:p>
        </w:tc>
        <w:tc>
          <w:tcPr>
            <w:tcW w:type="dxa" w:w="1560"/>
          </w:tcPr>
          <w:p>
            <w:pPr>
              <w:spacing w:before="40" w:after="40"/>
            </w:pPr>
            <w:r/>
            <w:r>
              <w:rPr>
                <w:b/>
              </w:rPr>
              <w:t>✓</w:t>
            </w:r>
          </w:p>
        </w:tc>
      </w:tr>
      <w:tr>
        <w:tc>
          <w:tcPr>
            <w:tcW w:type="dxa" w:w="1560"/>
          </w:tcPr>
          <w:p>
            <w:pPr>
              <w:spacing w:before="40" w:after="40"/>
            </w:pPr>
            <w:r/>
            <w:r>
              <w:t>Public COA database</w:t>
            </w:r>
          </w:p>
        </w:tc>
        <w:tc>
          <w:tcPr>
            <w:tcW w:type="dxa" w:w="1560"/>
          </w:tcPr>
          <w:p>
            <w:pPr>
              <w:spacing w:before="40" w:after="40"/>
            </w:pPr>
            <w:r/>
            <w:r>
              <w:t>✗</w:t>
            </w:r>
          </w:p>
        </w:tc>
        <w:tc>
          <w:tcPr>
            <w:tcW w:type="dxa" w:w="1560"/>
          </w:tcPr>
          <w:p>
            <w:pPr>
              <w:spacing w:before="40" w:after="40"/>
            </w:pPr>
            <w:r/>
            <w:r>
              <w:t>✗</w:t>
            </w:r>
          </w:p>
        </w:tc>
        <w:tc>
          <w:tcPr>
            <w:tcW w:type="dxa" w:w="1560"/>
          </w:tcPr>
          <w:p>
            <w:pPr>
              <w:spacing w:before="40" w:after="40"/>
            </w:pPr>
            <w:r/>
            <w:r>
              <w:t>✗</w:t>
            </w:r>
          </w:p>
        </w:tc>
        <w:tc>
          <w:tcPr>
            <w:tcW w:type="dxa" w:w="1560"/>
          </w:tcPr>
          <w:p>
            <w:pPr>
              <w:spacing w:before="40" w:after="40"/>
            </w:pPr>
            <w:r/>
            <w:r>
              <w:t>✗</w:t>
            </w:r>
          </w:p>
        </w:tc>
        <w:tc>
          <w:tcPr>
            <w:tcW w:type="dxa" w:w="1560"/>
          </w:tcPr>
          <w:p>
            <w:pPr>
              <w:spacing w:before="40" w:after="40"/>
            </w:pPr>
            <w:r/>
            <w:r>
              <w:rPr>
                <w:b/>
              </w:rPr>
              <w:t>✓</w:t>
            </w:r>
          </w:p>
        </w:tc>
      </w:tr>
      <w:tr>
        <w:tc>
          <w:tcPr>
            <w:tcW w:type="dxa" w:w="1560"/>
          </w:tcPr>
          <w:p>
            <w:pPr>
              <w:spacing w:before="40" w:after="40"/>
            </w:pPr>
            <w:r/>
            <w:r>
              <w:t>QR / blockchain verification</w:t>
            </w:r>
          </w:p>
        </w:tc>
        <w:tc>
          <w:tcPr>
            <w:tcW w:type="dxa" w:w="1560"/>
          </w:tcPr>
          <w:p>
            <w:pPr>
              <w:spacing w:before="40" w:after="40"/>
            </w:pPr>
            <w:r/>
            <w:r>
              <w:t>✗</w:t>
            </w:r>
          </w:p>
        </w:tc>
        <w:tc>
          <w:tcPr>
            <w:tcW w:type="dxa" w:w="1560"/>
          </w:tcPr>
          <w:p>
            <w:pPr>
              <w:spacing w:before="40" w:after="40"/>
            </w:pPr>
            <w:r/>
            <w:r>
              <w:t>✗</w:t>
            </w:r>
          </w:p>
        </w:tc>
        <w:tc>
          <w:tcPr>
            <w:tcW w:type="dxa" w:w="1560"/>
          </w:tcPr>
          <w:p>
            <w:pPr>
              <w:spacing w:before="40" w:after="40"/>
            </w:pPr>
            <w:r/>
            <w:r>
              <w:t>✗</w:t>
            </w:r>
          </w:p>
        </w:tc>
        <w:tc>
          <w:tcPr>
            <w:tcW w:type="dxa" w:w="1560"/>
          </w:tcPr>
          <w:p>
            <w:pPr>
              <w:spacing w:before="40" w:after="40"/>
            </w:pPr>
            <w:r/>
            <w:r>
              <w:t>✗</w:t>
            </w:r>
          </w:p>
        </w:tc>
        <w:tc>
          <w:tcPr>
            <w:tcW w:type="dxa" w:w="1560"/>
          </w:tcPr>
          <w:p>
            <w:pPr>
              <w:spacing w:before="40" w:after="40"/>
            </w:pPr>
            <w:r/>
            <w:r>
              <w:rPr>
                <w:b/>
              </w:rPr>
              <w:t>✓</w:t>
            </w:r>
          </w:p>
        </w:tc>
      </w:tr>
      <w:tr>
        <w:tc>
          <w:tcPr>
            <w:tcW w:type="dxa" w:w="1560"/>
          </w:tcPr>
          <w:p>
            <w:pPr>
              <w:spacing w:before="40" w:after="40"/>
            </w:pPr>
            <w:r/>
            <w:r>
              <w:t>Community-recognized brand</w:t>
            </w:r>
          </w:p>
        </w:tc>
        <w:tc>
          <w:tcPr>
            <w:tcW w:type="dxa" w:w="1560"/>
          </w:tcPr>
          <w:p>
            <w:pPr>
              <w:spacing w:before="40" w:after="40"/>
            </w:pPr>
            <w:r/>
            <w:r>
              <w:t>✓ (by default)</w:t>
            </w:r>
          </w:p>
        </w:tc>
        <w:tc>
          <w:tcPr>
            <w:tcW w:type="dxa" w:w="1560"/>
          </w:tcPr>
          <w:p>
            <w:pPr>
              <w:spacing w:before="40" w:after="40"/>
            </w:pPr>
            <w:r/>
            <w:r>
              <w:t>✓ (by default)</w:t>
            </w:r>
          </w:p>
        </w:tc>
        <w:tc>
          <w:tcPr>
            <w:tcW w:type="dxa" w:w="1560"/>
          </w:tcPr>
          <w:p>
            <w:pPr>
              <w:spacing w:before="40" w:after="40"/>
            </w:pPr>
            <w:r/>
            <w:r>
              <w:t>Limited</w:t>
            </w:r>
          </w:p>
        </w:tc>
        <w:tc>
          <w:tcPr>
            <w:tcW w:type="dxa" w:w="1560"/>
          </w:tcPr>
          <w:p>
            <w:pPr>
              <w:spacing w:before="40" w:after="40"/>
            </w:pPr>
            <w:r/>
            <w:r>
              <w:t>Limited</w:t>
            </w:r>
          </w:p>
        </w:tc>
        <w:tc>
          <w:tcPr>
            <w:tcW w:type="dxa" w:w="1560"/>
          </w:tcPr>
          <w:p>
            <w:pPr>
              <w:spacing w:before="40" w:after="40"/>
            </w:pPr>
            <w:r/>
            <w:r>
              <w:rPr>
                <w:b/>
              </w:rPr>
              <w:t>Build to own</w:t>
            </w:r>
          </w:p>
        </w:tc>
      </w:tr>
      <w:tr>
        <w:tc>
          <w:tcPr>
            <w:tcW w:type="dxa" w:w="1560"/>
          </w:tcPr>
          <w:p>
            <w:pPr>
              <w:spacing w:before="40" w:after="40"/>
            </w:pPr>
            <w:r/>
            <w:r>
              <w:t>Standardized pricing</w:t>
            </w:r>
          </w:p>
        </w:tc>
        <w:tc>
          <w:tcPr>
            <w:tcW w:type="dxa" w:w="1560"/>
          </w:tcPr>
          <w:p>
            <w:pPr>
              <w:spacing w:before="40" w:after="40"/>
            </w:pPr>
            <w:r/>
            <w:r>
              <w:t>✗</w:t>
            </w:r>
          </w:p>
        </w:tc>
        <w:tc>
          <w:tcPr>
            <w:tcW w:type="dxa" w:w="1560"/>
          </w:tcPr>
          <w:p>
            <w:pPr>
              <w:spacing w:before="40" w:after="40"/>
            </w:pPr>
            <w:r/>
            <w:r>
              <w:t>✗</w:t>
            </w:r>
          </w:p>
        </w:tc>
        <w:tc>
          <w:tcPr>
            <w:tcW w:type="dxa" w:w="1560"/>
          </w:tcPr>
          <w:p>
            <w:pPr>
              <w:spacing w:before="40" w:after="40"/>
            </w:pPr>
            <w:r/>
            <w:r>
              <w:t>✓</w:t>
            </w:r>
          </w:p>
        </w:tc>
        <w:tc>
          <w:tcPr>
            <w:tcW w:type="dxa" w:w="1560"/>
          </w:tcPr>
          <w:p>
            <w:pPr>
              <w:spacing w:before="40" w:after="40"/>
            </w:pPr>
            <w:r/>
            <w:r>
              <w:t>✓</w:t>
            </w:r>
          </w:p>
        </w:tc>
        <w:tc>
          <w:tcPr>
            <w:tcW w:type="dxa" w:w="1560"/>
          </w:tcPr>
          <w:p>
            <w:pPr>
              <w:spacing w:before="40" w:after="40"/>
            </w:pPr>
            <w:r/>
            <w:r>
              <w:rPr>
                <w:b/>
              </w:rPr>
              <w:t>✓</w:t>
            </w:r>
          </w:p>
        </w:tc>
      </w:tr>
    </w:tbl>
    <w:p/>
    <w:p>
      <w:pPr>
        <w:spacing w:after="120"/>
      </w:pPr>
      <w:r>
        <w:t>The gap is clear: no current competitor offers the full package of US-based + verified ISO 17025 + full test panel + certification seal + public database + QR verification. Every one of those features is achievable. Together they represent an unclaimed competitive position.</w:t>
      </w:r>
    </w:p>
    <w:p>
      <w:pPr>
        <w:spacing w:before="120" w:after="120"/>
        <w:pBdr>
          <w:bottom w:val="single" w:sz="6" w:space="1" w:color="AAAAAA"/>
        </w:pBdr>
      </w:pPr>
    </w:p>
    <w:p>
      <w:pPr>
        <w:pStyle w:val="Heading2"/>
        <w:spacing w:before="240" w:after="80"/>
      </w:pPr>
      <w:r>
        <w:t>Section 7: Three Business Models</w:t>
      </w:r>
    </w:p>
    <w:p>
      <w:pPr>
        <w:pStyle w:val="Heading3"/>
        <w:spacing w:before="160" w:after="80"/>
      </w:pPr>
      <w:r>
        <w:t>Model A: Full In-House Laboratory</w:t>
      </w:r>
    </w:p>
    <w:p>
      <w:pPr>
        <w:spacing w:after="120"/>
      </w:pPr>
      <w:r>
        <w:rPr>
          <w:b/>
        </w:rPr>
        <w:t>Description:</w:t>
      </w:r>
      <w:r>
        <w:t xml:space="preserve"> Own and operate all testing equipment. Hire PhD and MS-level chemists. Build and certify the lab from the ground up.</w:t>
      </w:r>
    </w:p>
    <w:p>
      <w:pPr>
        <w:spacing w:after="120"/>
      </w:pPr>
      <w:r>
        <w:rPr>
          <w:b/>
        </w:rPr>
        <w:t>Equipment needed:</w:t>
      </w:r>
    </w:p>
    <w:p>
      <w:pPr>
        <w:pStyle w:val="ListBullet"/>
        <w:spacing w:after="40"/>
      </w:pPr>
      <w:r>
        <w:t>HPLC system (purity testing): $20,000–$100,000 new; $2,600–$50,000 refurbished</w:t>
      </w:r>
    </w:p>
    <w:p>
      <w:pPr>
        <w:pStyle w:val="ListBullet"/>
        <w:spacing w:after="40"/>
      </w:pPr>
      <w:r>
        <w:t>LC-MS/MS system (identity confirmation): $300,000–$500,000 new; $150,000–$250,000 refurbished</w:t>
      </w:r>
    </w:p>
    <w:p>
      <w:pPr>
        <w:pStyle w:val="ListBullet"/>
        <w:spacing w:after="40"/>
      </w:pPr>
      <w:r>
        <w:t>MALDI-TOF (peptide fingerprinting, optional): $150,000–$1,000,000</w:t>
      </w:r>
    </w:p>
    <w:p>
      <w:pPr>
        <w:pStyle w:val="ListBullet"/>
        <w:spacing w:after="40"/>
      </w:pPr>
      <w:r>
        <w:t>UV-Vis spectrophotometer: $3,000–$60,000</w:t>
      </w:r>
    </w:p>
    <w:p>
      <w:pPr>
        <w:pStyle w:val="ListBullet"/>
        <w:spacing w:after="40"/>
      </w:pPr>
      <w:r>
        <w:t>Endotoxin testing equipment (LAL readers + reagents): ongoing operating cost</w:t>
      </w:r>
    </w:p>
    <w:p>
      <w:pPr>
        <w:pStyle w:val="ListBullet"/>
        <w:spacing w:after="40"/>
      </w:pPr>
      <w:r>
        <w:t>Ancillary (balances, centrifuges, pH meters, cold storage): $10,000–$30,000</w:t>
      </w:r>
    </w:p>
    <w:p>
      <w:pPr>
        <w:spacing w:after="120"/>
      </w:pPr>
      <w:r>
        <w:rPr>
          <w:b/>
        </w:rPr>
        <w:t>Total equipment:</w:t>
      </w:r>
      <w:r>
        <w:t xml:space="preserve"> $500,000–$1,000,000+ new; $200,000–$500,000 refurbished/used</w:t>
      </w:r>
    </w:p>
    <w:p>
      <w:pPr>
        <w:spacing w:after="120"/>
      </w:pPr>
      <w:r>
        <w:rPr>
          <w:b/>
        </w:rPr>
        <w:t>Facility:</w:t>
      </w:r>
    </w:p>
    <w:p>
      <w:pPr>
        <w:pStyle w:val="ListBullet"/>
        <w:spacing w:after="40"/>
      </w:pPr>
      <w:r>
        <w:t>2,000 sq ft analytical lab space: $30,000–$100,000/year rent</w:t>
      </w:r>
    </w:p>
    <w:p>
      <w:pPr>
        <w:pStyle w:val="ListBullet"/>
        <w:spacing w:after="40"/>
      </w:pPr>
      <w:r>
        <w:t>Buildout (HVAC, electrical, cleanroom area): $50,000–$375,000</w:t>
      </w:r>
    </w:p>
    <w:p>
      <w:pPr>
        <w:spacing w:after="120"/>
      </w:pPr>
      <w:r>
        <w:rPr>
          <w:b/>
        </w:rPr>
        <w:t>Staffing (minimum viable team):</w:t>
      </w:r>
    </w:p>
    <w:p>
      <w:pPr>
        <w:pStyle w:val="ListBullet"/>
        <w:spacing w:after="40"/>
      </w:pPr>
      <w:r>
        <w:t>Lab Director (PhD chemistry): $141,953–$194,123/year</w:t>
      </w:r>
    </w:p>
    <w:p>
      <w:pPr>
        <w:pStyle w:val="ListBullet"/>
        <w:spacing w:after="40"/>
      </w:pPr>
      <w:r>
        <w:t>Analytical Chemist (MS): $69,670–$86,620/year</w:t>
      </w:r>
    </w:p>
    <w:p>
      <w:pPr>
        <w:pStyle w:val="ListBullet"/>
        <w:spacing w:after="40"/>
      </w:pPr>
      <w:r>
        <w:t>2 Lab Technicians: $40,000–$57,790/year each</w:t>
      </w:r>
    </w:p>
    <w:p>
      <w:pPr>
        <w:pStyle w:val="ListBullet"/>
        <w:spacing w:after="40"/>
      </w:pPr>
      <w:r>
        <w:rPr>
          <w:b/>
        </w:rPr>
        <w:t>Annual payroll: $300,000–$400,000</w:t>
      </w:r>
    </w:p>
    <w:p>
      <w:pPr>
        <w:spacing w:after="120"/>
      </w:pPr>
      <w:r>
        <w:rPr>
          <w:b/>
        </w:rPr>
        <w:t>Annual operating costs:</w:t>
      </w:r>
    </w:p>
    <w:tbl>
      <w:tblPr>
        <w:tblStyle w:val="TableGrid"/>
        <w:tblW w:type="auto" w:w="0"/>
        <w:tblLook w:firstColumn="1" w:firstRow="1" w:lastColumn="0" w:lastRow="0" w:noHBand="0" w:noVBand="1" w:val="04A0"/>
      </w:tblPr>
      <w:tblGrid>
        <w:gridCol w:w="4680"/>
        <w:gridCol w:w="4680"/>
      </w:tblGrid>
      <w:tr>
        <w:tc>
          <w:tcPr>
            <w:tcW w:type="dxa" w:w="4680"/>
          </w:tcPr>
          <w:p>
            <w:pPr>
              <w:spacing w:before="40" w:after="40"/>
            </w:pPr>
            <w:r>
              <w:rPr>
                <w:b/>
              </w:rPr>
            </w:r>
            <w:r>
              <w:rPr>
                <w:b/>
              </w:rPr>
              <w:t>Item</w:t>
            </w:r>
          </w:p>
        </w:tc>
        <w:tc>
          <w:tcPr>
            <w:tcW w:type="dxa" w:w="4680"/>
          </w:tcPr>
          <w:p>
            <w:pPr>
              <w:spacing w:before="40" w:after="40"/>
            </w:pPr>
            <w:r>
              <w:rPr>
                <w:b/>
              </w:rPr>
            </w:r>
            <w:r>
              <w:rPr>
                <w:b/>
              </w:rPr>
              <w:t>Annual Cost</w:t>
            </w:r>
          </w:p>
        </w:tc>
      </w:tr>
      <w:tr>
        <w:tc>
          <w:tcPr>
            <w:tcW w:type="dxa" w:w="4680"/>
          </w:tcPr>
          <w:p>
            <w:pPr>
              <w:spacing w:before="40" w:after="40"/>
            </w:pPr>
            <w:r/>
            <w:r>
              <w:t>Payroll (3–4 staff)</w:t>
            </w:r>
          </w:p>
        </w:tc>
        <w:tc>
          <w:tcPr>
            <w:tcW w:type="dxa" w:w="4680"/>
          </w:tcPr>
          <w:p>
            <w:pPr>
              <w:spacing w:before="40" w:after="40"/>
            </w:pPr>
            <w:r/>
            <w:r>
              <w:t>$300,000–$400,000</w:t>
            </w:r>
          </w:p>
        </w:tc>
      </w:tr>
      <w:tr>
        <w:tc>
          <w:tcPr>
            <w:tcW w:type="dxa" w:w="4680"/>
          </w:tcPr>
          <w:p>
            <w:pPr>
              <w:spacing w:before="40" w:after="40"/>
            </w:pPr>
            <w:r/>
            <w:r>
              <w:t>Consumables (columns, solvents, reagents)</w:t>
            </w:r>
          </w:p>
        </w:tc>
        <w:tc>
          <w:tcPr>
            <w:tcW w:type="dxa" w:w="4680"/>
          </w:tcPr>
          <w:p>
            <w:pPr>
              <w:spacing w:before="40" w:after="40"/>
            </w:pPr>
            <w:r/>
            <w:r>
              <w:t>$66,000–$162,000</w:t>
            </w:r>
          </w:p>
        </w:tc>
      </w:tr>
      <w:tr>
        <w:tc>
          <w:tcPr>
            <w:tcW w:type="dxa" w:w="4680"/>
          </w:tcPr>
          <w:p>
            <w:pPr>
              <w:spacing w:before="40" w:after="40"/>
            </w:pPr>
            <w:r/>
            <w:r>
              <w:t>Rent</w:t>
            </w:r>
          </w:p>
        </w:tc>
        <w:tc>
          <w:tcPr>
            <w:tcW w:type="dxa" w:w="4680"/>
          </w:tcPr>
          <w:p>
            <w:pPr>
              <w:spacing w:before="40" w:after="40"/>
            </w:pPr>
            <w:r/>
            <w:r>
              <w:t>$30,000–$100,000</w:t>
            </w:r>
          </w:p>
        </w:tc>
      </w:tr>
      <w:tr>
        <w:tc>
          <w:tcPr>
            <w:tcW w:type="dxa" w:w="4680"/>
          </w:tcPr>
          <w:p>
            <w:pPr>
              <w:spacing w:before="40" w:after="40"/>
            </w:pPr>
            <w:r/>
            <w:r>
              <w:t>LIMS/QMS software</w:t>
            </w:r>
          </w:p>
        </w:tc>
        <w:tc>
          <w:tcPr>
            <w:tcW w:type="dxa" w:w="4680"/>
          </w:tcPr>
          <w:p>
            <w:pPr>
              <w:spacing w:before="40" w:after="40"/>
            </w:pPr>
            <w:r/>
            <w:r>
              <w:t>$8,000–$25,000</w:t>
            </w:r>
          </w:p>
        </w:tc>
      </w:tr>
      <w:tr>
        <w:tc>
          <w:tcPr>
            <w:tcW w:type="dxa" w:w="4680"/>
          </w:tcPr>
          <w:p>
            <w:pPr>
              <w:spacing w:before="40" w:after="40"/>
            </w:pPr>
            <w:r/>
            <w:r>
              <w:t>ISO 17025 maintenance</w:t>
            </w:r>
          </w:p>
        </w:tc>
        <w:tc>
          <w:tcPr>
            <w:tcW w:type="dxa" w:w="4680"/>
          </w:tcPr>
          <w:p>
            <w:pPr>
              <w:spacing w:before="40" w:after="40"/>
            </w:pPr>
            <w:r/>
            <w:r>
              <w:t>$2,000–$5,000</w:t>
            </w:r>
          </w:p>
        </w:tc>
      </w:tr>
      <w:tr>
        <w:tc>
          <w:tcPr>
            <w:tcW w:type="dxa" w:w="4680"/>
          </w:tcPr>
          <w:p>
            <w:pPr>
              <w:spacing w:before="40" w:after="40"/>
            </w:pPr>
            <w:r/>
            <w:r>
              <w:t>Equipment maintenance contracts</w:t>
            </w:r>
          </w:p>
        </w:tc>
        <w:tc>
          <w:tcPr>
            <w:tcW w:type="dxa" w:w="4680"/>
          </w:tcPr>
          <w:p>
            <w:pPr>
              <w:spacing w:before="40" w:after="40"/>
            </w:pPr>
            <w:r/>
            <w:r>
              <w:t>$30,000–$50,000</w:t>
            </w:r>
          </w:p>
        </w:tc>
      </w:tr>
      <w:tr>
        <w:tc>
          <w:tcPr>
            <w:tcW w:type="dxa" w:w="4680"/>
          </w:tcPr>
          <w:p>
            <w:pPr>
              <w:spacing w:before="40" w:after="40"/>
            </w:pPr>
            <w:r/>
            <w:r>
              <w:rPr>
                <w:b/>
              </w:rPr>
              <w:t>Total</w:t>
            </w:r>
          </w:p>
        </w:tc>
        <w:tc>
          <w:tcPr>
            <w:tcW w:type="dxa" w:w="4680"/>
          </w:tcPr>
          <w:p>
            <w:pPr>
              <w:spacing w:before="40" w:after="40"/>
            </w:pPr>
            <w:r/>
            <w:r>
              <w:rPr>
                <w:b/>
              </w:rPr>
              <w:t>$436,000–$742,000</w:t>
            </w:r>
          </w:p>
        </w:tc>
      </w:tr>
    </w:tbl>
    <w:p/>
    <w:p>
      <w:pPr>
        <w:spacing w:after="120"/>
      </w:pPr>
      <w:r>
        <w:rPr>
          <w:b/>
        </w:rPr>
        <w:t>Pros:</w:t>
      </w:r>
      <w:r>
        <w:t xml:space="preserve"> Highest margins (85–90% gross), full control over methodology and turnaround, most credible certification claim, defensible competitive moat</w:t>
      </w:r>
    </w:p>
    <w:p>
      <w:pPr>
        <w:spacing w:after="120"/>
      </w:pPr>
      <w:r>
        <w:rPr>
          <w:b/>
        </w:rPr>
        <w:t>Cons:</w:t>
      </w:r>
      <w:r>
        <w:t xml:space="preserve"> $750K–$2M+ upfront capital, 18–24 months to become operational and accredited, requires specialized PhD-level talent (hard to hire), significant operational risk if equipment fails</w:t>
      </w:r>
    </w:p>
    <w:p>
      <w:pPr>
        <w:pStyle w:val="Heading3"/>
        <w:spacing w:before="160" w:after="80"/>
      </w:pPr>
      <w:r>
        <w:t>Model B: White-Label Brand (Outsourced Testing)</w:t>
      </w:r>
    </w:p>
    <w:p>
      <w:pPr>
        <w:spacing w:after="120"/>
      </w:pPr>
      <w:r>
        <w:rPr>
          <w:b/>
        </w:rPr>
        <w:t>Description:</w:t>
      </w:r>
      <w:r>
        <w:t xml:space="preserve"> Contract with existing ISO 17025-accredited labs (Eurofins, Intertek, SGS, or specialty pharma labs) for testing services. Own the brand, the standards, the COA format, the customer relationships, and the certification seal. Do not own the lab.</w:t>
      </w:r>
    </w:p>
    <w:p>
      <w:pPr>
        <w:spacing w:after="120"/>
      </w:pPr>
      <w:r>
        <w:rPr>
          <w:b/>
        </w:rPr>
        <w:t>How it works:</w:t>
      </w:r>
    </w:p>
    <w:p>
      <w:pPr>
        <w:pStyle w:val="ListNumber"/>
        <w:spacing w:after="40"/>
      </w:pPr>
      <w:r>
        <w:t>Establish relationships with 1–3 ISO 17025 contract testing labs</w:t>
      </w:r>
    </w:p>
    <w:p>
      <w:pPr>
        <w:pStyle w:val="ListNumber"/>
        <w:spacing w:after="40"/>
      </w:pPr>
      <w:r>
        <w:t>Define standardized peptide testing panels (HPLC + MS + endotoxin minimum)</w:t>
      </w:r>
    </w:p>
    <w:p>
      <w:pPr>
        <w:pStyle w:val="ListNumber"/>
        <w:spacing w:after="40"/>
      </w:pPr>
      <w:r>
        <w:t>Create branded COA template, public database, and QR verification system</w:t>
      </w:r>
    </w:p>
    <w:p>
      <w:pPr>
        <w:pStyle w:val="ListNumber"/>
        <w:spacing w:after="40"/>
      </w:pPr>
      <w:r>
        <w:t>Vendors submit samples to your company; you coordinate testing and issue COAs under your brand</w:t>
      </w:r>
    </w:p>
    <w:p>
      <w:pPr>
        <w:pStyle w:val="ListNumber"/>
        <w:spacing w:after="40"/>
      </w:pPr>
      <w:r>
        <w:t>Charge $300–$800/COA; pay contract lab $150–$400/sample; keep the margin</w:t>
      </w:r>
    </w:p>
    <w:p>
      <w:pPr>
        <w:spacing w:after="120"/>
      </w:pPr>
      <w:r>
        <w:rPr>
          <w:b/>
        </w:rPr>
        <w:t>Contract lab per-sample pricing (current market rates):</w:t>
      </w:r>
    </w:p>
    <w:p>
      <w:pPr>
        <w:pStyle w:val="ListBullet"/>
        <w:spacing w:after="40"/>
      </w:pPr>
      <w:r>
        <w:t>HPLC analysis: $175/sample (academic) to $400/sample (commercial labs)</w:t>
      </w:r>
    </w:p>
    <w:p>
      <w:pPr>
        <w:pStyle w:val="ListBullet"/>
        <w:spacing w:after="40"/>
      </w:pPr>
      <w:r>
        <w:t>LC-MS/MS: $600–$1,500/sample for peptide identification</w:t>
      </w:r>
    </w:p>
    <w:p>
      <w:pPr>
        <w:pStyle w:val="ListBullet"/>
        <w:spacing w:after="40"/>
      </w:pPr>
      <w:r>
        <w:t>Full panels outsourced: $300–$600/sample depending on partner terms</w:t>
      </w:r>
    </w:p>
    <w:p>
      <w:pPr>
        <w:spacing w:after="120"/>
      </w:pPr>
      <w:r>
        <w:rPr>
          <w:b/>
        </w:rPr>
        <w:t>Margin structure:</w:t>
      </w:r>
    </w:p>
    <w:p>
      <w:pPr>
        <w:pStyle w:val="ListBullet"/>
        <w:spacing w:after="40"/>
      </w:pPr>
      <w:r>
        <w:t>Charge customer: $500/COA (full panel: HPLC + MS + endotoxin)</w:t>
      </w:r>
    </w:p>
    <w:p>
      <w:pPr>
        <w:pStyle w:val="ListBullet"/>
        <w:spacing w:after="40"/>
      </w:pPr>
      <w:r>
        <w:t>Pay contract lab: $275/panel</w:t>
      </w:r>
    </w:p>
    <w:p>
      <w:pPr>
        <w:pStyle w:val="ListBullet"/>
        <w:spacing w:after="40"/>
      </w:pPr>
      <w:r>
        <w:t xml:space="preserve">Gross margin: $225 per COA = </w:t>
      </w:r>
      <w:r>
        <w:rPr>
          <w:b/>
        </w:rPr>
        <w:t>45% gross margin</w:t>
      </w:r>
    </w:p>
    <w:p>
      <w:pPr>
        <w:pStyle w:val="ListBullet"/>
        <w:spacing w:after="40"/>
      </w:pPr>
      <w:r>
        <w:t>At 100 COAs/month: $22,500 gross profit/month = $270,000/year</w:t>
      </w:r>
    </w:p>
    <w:p>
      <w:pPr>
        <w:pStyle w:val="ListBullet"/>
        <w:spacing w:after="40"/>
      </w:pPr>
      <w:r>
        <w:t>At 300 COAs/month: $67,500 gross profit/month = $810,000/year</w:t>
      </w:r>
    </w:p>
    <w:p>
      <w:pPr>
        <w:spacing w:after="120"/>
      </w:pPr>
      <w:r>
        <w:rPr>
          <w:b/>
        </w:rPr>
        <w:t>Startup costs (white-label model):</w:t>
      </w:r>
    </w:p>
    <w:tbl>
      <w:tblPr>
        <w:tblStyle w:val="TableGrid"/>
        <w:tblW w:type="auto" w:w="0"/>
        <w:tblLook w:firstColumn="1" w:firstRow="1" w:lastColumn="0" w:lastRow="0" w:noHBand="0" w:noVBand="1" w:val="04A0"/>
      </w:tblPr>
      <w:tblGrid>
        <w:gridCol w:w="4680"/>
        <w:gridCol w:w="4680"/>
      </w:tblGrid>
      <w:tr>
        <w:tc>
          <w:tcPr>
            <w:tcW w:type="dxa" w:w="4680"/>
          </w:tcPr>
          <w:p>
            <w:pPr>
              <w:spacing w:before="40" w:after="40"/>
            </w:pPr>
            <w:r>
              <w:rPr>
                <w:b/>
              </w:rPr>
            </w:r>
            <w:r>
              <w:rPr>
                <w:b/>
              </w:rPr>
              <w:t>Item</w:t>
            </w:r>
          </w:p>
        </w:tc>
        <w:tc>
          <w:tcPr>
            <w:tcW w:type="dxa" w:w="4680"/>
          </w:tcPr>
          <w:p>
            <w:pPr>
              <w:spacing w:before="40" w:after="40"/>
            </w:pPr>
            <w:r>
              <w:rPr>
                <w:b/>
              </w:rPr>
            </w:r>
            <w:r>
              <w:rPr>
                <w:b/>
              </w:rPr>
              <w:t>Cost</w:t>
            </w:r>
          </w:p>
        </w:tc>
      </w:tr>
      <w:tr>
        <w:tc>
          <w:tcPr>
            <w:tcW w:type="dxa" w:w="4680"/>
          </w:tcPr>
          <w:p>
            <w:pPr>
              <w:spacing w:before="40" w:after="40"/>
            </w:pPr>
            <w:r/>
            <w:r>
              <w:t>Brand development (name, logo, website, COA template design)</w:t>
            </w:r>
          </w:p>
        </w:tc>
        <w:tc>
          <w:tcPr>
            <w:tcW w:type="dxa" w:w="4680"/>
          </w:tcPr>
          <w:p>
            <w:pPr>
              <w:spacing w:before="40" w:after="40"/>
            </w:pPr>
            <w:r/>
            <w:r>
              <w:t>$15,000–$30,000</w:t>
            </w:r>
          </w:p>
        </w:tc>
      </w:tr>
      <w:tr>
        <w:tc>
          <w:tcPr>
            <w:tcW w:type="dxa" w:w="4680"/>
          </w:tcPr>
          <w:p>
            <w:pPr>
              <w:spacing w:before="40" w:after="40"/>
            </w:pPr>
            <w:r/>
            <w:r>
              <w:t>QR verification system / COA database development</w:t>
            </w:r>
          </w:p>
        </w:tc>
        <w:tc>
          <w:tcPr>
            <w:tcW w:type="dxa" w:w="4680"/>
          </w:tcPr>
          <w:p>
            <w:pPr>
              <w:spacing w:before="40" w:after="40"/>
            </w:pPr>
            <w:r/>
            <w:r>
              <w:t>$20,000–$50,000</w:t>
            </w:r>
          </w:p>
        </w:tc>
      </w:tr>
      <w:tr>
        <w:tc>
          <w:tcPr>
            <w:tcW w:type="dxa" w:w="4680"/>
          </w:tcPr>
          <w:p>
            <w:pPr>
              <w:spacing w:before="40" w:after="40"/>
            </w:pPr>
            <w:r/>
            <w:r>
              <w:t>Contract lab partnership agreements (legal)</w:t>
            </w:r>
          </w:p>
        </w:tc>
        <w:tc>
          <w:tcPr>
            <w:tcW w:type="dxa" w:w="4680"/>
          </w:tcPr>
          <w:p>
            <w:pPr>
              <w:spacing w:before="40" w:after="40"/>
            </w:pPr>
            <w:r/>
            <w:r>
              <w:t>$5,000–$15,000</w:t>
            </w:r>
          </w:p>
        </w:tc>
      </w:tr>
      <w:tr>
        <w:tc>
          <w:tcPr>
            <w:tcW w:type="dxa" w:w="4680"/>
          </w:tcPr>
          <w:p>
            <w:pPr>
              <w:spacing w:before="40" w:after="40"/>
            </w:pPr>
            <w:r/>
            <w:r>
              <w:t>ISO 17025 oversight framework (even if outsourced, you need documented QMS)</w:t>
            </w:r>
          </w:p>
        </w:tc>
        <w:tc>
          <w:tcPr>
            <w:tcW w:type="dxa" w:w="4680"/>
          </w:tcPr>
          <w:p>
            <w:pPr>
              <w:spacing w:before="40" w:after="40"/>
            </w:pPr>
            <w:r/>
            <w:r>
              <w:t>$10,000–$20,000</w:t>
            </w:r>
          </w:p>
        </w:tc>
      </w:tr>
      <w:tr>
        <w:tc>
          <w:tcPr>
            <w:tcW w:type="dxa" w:w="4680"/>
          </w:tcPr>
          <w:p>
            <w:pPr>
              <w:spacing w:before="40" w:after="40"/>
            </w:pPr>
            <w:r/>
            <w:r>
              <w:t>Marketing and community outreach (Year 1)</w:t>
            </w:r>
          </w:p>
        </w:tc>
        <w:tc>
          <w:tcPr>
            <w:tcW w:type="dxa" w:w="4680"/>
          </w:tcPr>
          <w:p>
            <w:pPr>
              <w:spacing w:before="40" w:after="40"/>
            </w:pPr>
            <w:r/>
            <w:r>
              <w:t>$25,000–$50,000</w:t>
            </w:r>
          </w:p>
        </w:tc>
      </w:tr>
      <w:tr>
        <w:tc>
          <w:tcPr>
            <w:tcW w:type="dxa" w:w="4680"/>
          </w:tcPr>
          <w:p>
            <w:pPr>
              <w:spacing w:before="40" w:after="40"/>
            </w:pPr>
            <w:r/>
            <w:r>
              <w:t>Working capital (3 months operating)</w:t>
            </w:r>
          </w:p>
        </w:tc>
        <w:tc>
          <w:tcPr>
            <w:tcW w:type="dxa" w:w="4680"/>
          </w:tcPr>
          <w:p>
            <w:pPr>
              <w:spacing w:before="40" w:after="40"/>
            </w:pPr>
            <w:r/>
            <w:r>
              <w:t>$30,000–$60,000</w:t>
            </w:r>
          </w:p>
        </w:tc>
      </w:tr>
      <w:tr>
        <w:tc>
          <w:tcPr>
            <w:tcW w:type="dxa" w:w="4680"/>
          </w:tcPr>
          <w:p>
            <w:pPr>
              <w:spacing w:before="40" w:after="40"/>
            </w:pPr>
            <w:r/>
            <w:r>
              <w:rPr>
                <w:b/>
              </w:rPr>
              <w:t>Total Phase 1 capital</w:t>
            </w:r>
          </w:p>
        </w:tc>
        <w:tc>
          <w:tcPr>
            <w:tcW w:type="dxa" w:w="4680"/>
          </w:tcPr>
          <w:p>
            <w:pPr>
              <w:spacing w:before="40" w:after="40"/>
            </w:pPr>
            <w:r/>
            <w:r>
              <w:rPr>
                <w:b/>
              </w:rPr>
              <w:t>$105,000–$225,000</w:t>
            </w:r>
          </w:p>
        </w:tc>
      </w:tr>
    </w:tbl>
    <w:p/>
    <w:p>
      <w:pPr>
        <w:spacing w:after="120"/>
      </w:pPr>
      <w:r>
        <w:rPr>
          <w:b/>
        </w:rPr>
        <w:t>Pros:</w:t>
      </w:r>
      <w:r>
        <w:t xml:space="preserve"> Fast time to market (3–6 months vs. 18–24 months for lab build), low capital risk, focus on brand and relationships, variable cost structure</w:t>
      </w:r>
    </w:p>
    <w:p>
      <w:pPr>
        <w:spacing w:after="120"/>
      </w:pPr>
      <w:r>
        <w:rPr>
          <w:b/>
        </w:rPr>
        <w:t>Cons:</w:t>
      </w:r>
      <w:r>
        <w:t xml:space="preserve"> Lower margins than in-house, dependency on contract lab partners, harder to differentiate on testing methodology, can't credibly claim "our lab" until you build one</w:t>
      </w:r>
    </w:p>
    <w:p>
      <w:pPr>
        <w:pStyle w:val="Heading3"/>
        <w:spacing w:before="160" w:after="80"/>
      </w:pPr>
      <w:r>
        <w:t>Model C: Certification Body</w:t>
      </w:r>
    </w:p>
    <w:p>
      <w:pPr>
        <w:spacing w:after="120"/>
      </w:pPr>
      <w:r>
        <w:rPr>
          <w:b/>
        </w:rPr>
        <w:t>Description:</w:t>
      </w:r>
      <w:r>
        <w:t xml:space="preserve"> Define the standard, accredit other labs to test to that standard, and license the certification seal. Similar to how NSF doesn't test every supplement itself — it audits facilities and certifies that their processes meet NSF standards.</w:t>
      </w:r>
    </w:p>
    <w:p>
      <w:pPr>
        <w:spacing w:after="120"/>
      </w:pPr>
      <w:r>
        <w:rPr>
          <w:b/>
        </w:rPr>
        <w:t>How NSF/Informed Sport actually work:</w:t>
      </w:r>
    </w:p>
    <w:p>
      <w:pPr>
        <w:pStyle w:val="ListBullet"/>
        <w:spacing w:after="40"/>
      </w:pPr>
      <w:r>
        <w:t>Define testing protocols and quality standards</w:t>
      </w:r>
    </w:p>
    <w:p>
      <w:pPr>
        <w:pStyle w:val="ListBullet"/>
        <w:spacing w:after="40"/>
      </w:pPr>
      <w:r>
        <w:t>Audit and accredit testing labs that can test to those standards</w:t>
      </w:r>
    </w:p>
    <w:p>
      <w:pPr>
        <w:pStyle w:val="ListBullet"/>
        <w:spacing w:after="40"/>
      </w:pPr>
      <w:r>
        <w:t>Charge brands a per-product testing fee + annual seal licensing fee</w:t>
      </w:r>
    </w:p>
    <w:p>
      <w:pPr>
        <w:pStyle w:val="ListBullet"/>
        <w:spacing w:after="40"/>
      </w:pPr>
      <w:r>
        <w:t>Conduct random compliance testing to maintain standard integrity</w:t>
      </w:r>
    </w:p>
    <w:p>
      <w:pPr>
        <w:spacing w:after="120"/>
      </w:pPr>
      <w:r>
        <w:rPr>
          <w:b/>
        </w:rPr>
        <w:t>The challenge for a new entrant:</w:t>
      </w:r>
      <w:r>
        <w:t xml:space="preserve"> This model requires significant brand authority before anyone will pay for your seal. You can't start here. NSF spent years building credibility before brands paid for certification. This is where you want to be in Year 4–5, not Year 1.</w:t>
      </w:r>
    </w:p>
    <w:p>
      <w:pPr>
        <w:spacing w:after="120"/>
      </w:pPr>
      <w:r>
        <w:rPr>
          <w:b/>
        </w:rPr>
        <w:t>Pros:</w:t>
      </w:r>
      <w:r>
        <w:t xml:space="preserve"> Highest-margin model long-term (seal licensing = near-100% margin), most defensible competitive moat, network effects (the seal becomes valuable the more companies use it)</w:t>
      </w:r>
    </w:p>
    <w:p>
      <w:pPr>
        <w:spacing w:after="120"/>
      </w:pPr>
      <w:r>
        <w:rPr>
          <w:b/>
        </w:rPr>
        <w:t>Cons:</w:t>
      </w:r>
      <w:r>
        <w:t xml:space="preserve"> Requires established brand trust first, takes 3–5 years to achieve critical mass, no revenue until brand is established</w:t>
      </w:r>
    </w:p>
    <w:p>
      <w:pPr>
        <w:pStyle w:val="Heading3"/>
        <w:spacing w:before="160" w:after="80"/>
      </w:pPr>
      <w:r>
        <w:t>Recommended: Phased Hybrid</w:t>
      </w:r>
    </w:p>
    <w:p>
      <w:pPr>
        <w:spacing w:after="120"/>
      </w:pPr>
      <w:r>
        <w:t>The optimal strategy combines all three models in sequence:</w:t>
      </w:r>
    </w:p>
    <w:p>
      <w:pPr>
        <w:spacing w:after="120"/>
      </w:pPr>
      <w:r>
        <w:rPr>
          <w:b/>
        </w:rPr>
        <w:t>Phase 1 (Months 1–12): White-Label Brand</w:t>
      </w:r>
    </w:p>
    <w:p>
      <w:pPr>
        <w:spacing w:after="120"/>
      </w:pPr>
      <w:r>
        <w:t>Launch fast with outsourced testing, build brand and vendor relationships, prove unit economics. Target: 100+ COAs/month by Month 12.</w:t>
      </w:r>
    </w:p>
    <w:p>
      <w:pPr>
        <w:spacing w:after="120"/>
      </w:pPr>
      <w:r>
        <w:rPr>
          <w:b/>
        </w:rPr>
        <w:t>Phase 2 (Months 6–18): ISO 17025 Accreditation</w:t>
      </w:r>
    </w:p>
    <w:p>
      <w:pPr>
        <w:spacing w:after="120"/>
      </w:pPr>
      <w:r>
        <w:t>While outsourcing, begin ISO 17025 accreditation process. By Month 18, hold your own accreditation — not just relying on the contract lab's.</w:t>
      </w:r>
    </w:p>
    <w:p>
      <w:pPr>
        <w:spacing w:after="120"/>
      </w:pPr>
      <w:r>
        <w:rPr>
          <w:b/>
        </w:rPr>
        <w:t>Phase 3 (Year 2–3): In-House Lab</w:t>
      </w:r>
    </w:p>
    <w:p>
      <w:pPr>
        <w:spacing w:after="120"/>
      </w:pPr>
      <w:r>
        <w:t>Once revenue validates the model, raise capital or self-fund the in-house lab. Convert to in-house testing for most volume; use contract labs for overflow or specialized tests.</w:t>
      </w:r>
    </w:p>
    <w:p>
      <w:pPr>
        <w:spacing w:after="120"/>
      </w:pPr>
      <w:r>
        <w:rPr>
          <w:b/>
        </w:rPr>
        <w:t>Phase 4 (Year 3+): Certification Body</w:t>
      </w:r>
    </w:p>
    <w:p>
      <w:pPr>
        <w:spacing w:after="120"/>
      </w:pPr>
      <w:r>
        <w:t>With established brand, launch the "Certified Peptide" seal licensing program. Define the standard, require annual re-testing, charge licensing fees for seal use on vendor websites.</w:t>
      </w:r>
    </w:p>
    <w:p>
      <w:pPr>
        <w:spacing w:before="120" w:after="120"/>
        <w:pBdr>
          <w:bottom w:val="single" w:sz="6" w:space="1" w:color="AAAAAA"/>
        </w:pBdr>
      </w:pPr>
    </w:p>
    <w:p>
      <w:pPr>
        <w:pStyle w:val="Heading2"/>
        <w:spacing w:before="240" w:after="80"/>
      </w:pPr>
      <w:r>
        <w:t>Section 8: Startup Cost Analysis</w:t>
      </w:r>
    </w:p>
    <w:p>
      <w:pPr>
        <w:pStyle w:val="Heading3"/>
        <w:spacing w:before="160" w:after="80"/>
      </w:pPr>
      <w:r>
        <w:t>8.1 Phase 1: White-Label Launch (Months 1–12)</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before="40" w:after="40"/>
            </w:pPr>
            <w:r>
              <w:rPr>
                <w:b/>
              </w:rPr>
            </w:r>
            <w:r>
              <w:rPr>
                <w:b/>
              </w:rPr>
              <w:t>Item</w:t>
            </w:r>
          </w:p>
        </w:tc>
        <w:tc>
          <w:tcPr>
            <w:tcW w:type="dxa" w:w="3120"/>
          </w:tcPr>
          <w:p>
            <w:pPr>
              <w:spacing w:before="40" w:after="40"/>
            </w:pPr>
            <w:r>
              <w:rPr>
                <w:b/>
              </w:rPr>
            </w:r>
            <w:r>
              <w:rPr>
                <w:b/>
              </w:rPr>
              <w:t>Low</w:t>
            </w:r>
          </w:p>
        </w:tc>
        <w:tc>
          <w:tcPr>
            <w:tcW w:type="dxa" w:w="3120"/>
          </w:tcPr>
          <w:p>
            <w:pPr>
              <w:spacing w:before="40" w:after="40"/>
            </w:pPr>
            <w:r>
              <w:rPr>
                <w:b/>
              </w:rPr>
            </w:r>
            <w:r>
              <w:rPr>
                <w:b/>
              </w:rPr>
              <w:t>High</w:t>
            </w:r>
          </w:p>
        </w:tc>
      </w:tr>
      <w:tr>
        <w:tc>
          <w:tcPr>
            <w:tcW w:type="dxa" w:w="3120"/>
          </w:tcPr>
          <w:p>
            <w:pPr>
              <w:spacing w:before="40" w:after="40"/>
            </w:pPr>
            <w:r/>
            <w:r>
              <w:t>Brand (name, legal registration, logo, website)</w:t>
            </w:r>
          </w:p>
        </w:tc>
        <w:tc>
          <w:tcPr>
            <w:tcW w:type="dxa" w:w="3120"/>
          </w:tcPr>
          <w:p>
            <w:pPr>
              <w:spacing w:before="40" w:after="40"/>
            </w:pPr>
            <w:r/>
            <w:r>
              <w:t>$10,000</w:t>
            </w:r>
          </w:p>
        </w:tc>
        <w:tc>
          <w:tcPr>
            <w:tcW w:type="dxa" w:w="3120"/>
          </w:tcPr>
          <w:p>
            <w:pPr>
              <w:spacing w:before="40" w:after="40"/>
            </w:pPr>
            <w:r/>
            <w:r>
              <w:t>$25,000</w:t>
            </w:r>
          </w:p>
        </w:tc>
      </w:tr>
      <w:tr>
        <w:tc>
          <w:tcPr>
            <w:tcW w:type="dxa" w:w="3120"/>
          </w:tcPr>
          <w:p>
            <w:pPr>
              <w:spacing w:before="40" w:after="40"/>
            </w:pPr>
            <w:r/>
            <w:r>
              <w:t>COA database platform (QR codes, public search)</w:t>
            </w:r>
          </w:p>
        </w:tc>
        <w:tc>
          <w:tcPr>
            <w:tcW w:type="dxa" w:w="3120"/>
          </w:tcPr>
          <w:p>
            <w:pPr>
              <w:spacing w:before="40" w:after="40"/>
            </w:pPr>
            <w:r/>
            <w:r>
              <w:t>$15,000</w:t>
            </w:r>
          </w:p>
        </w:tc>
        <w:tc>
          <w:tcPr>
            <w:tcW w:type="dxa" w:w="3120"/>
          </w:tcPr>
          <w:p>
            <w:pPr>
              <w:spacing w:before="40" w:after="40"/>
            </w:pPr>
            <w:r/>
            <w:r>
              <w:t>$40,000</w:t>
            </w:r>
          </w:p>
        </w:tc>
      </w:tr>
      <w:tr>
        <w:tc>
          <w:tcPr>
            <w:tcW w:type="dxa" w:w="3120"/>
          </w:tcPr>
          <w:p>
            <w:pPr>
              <w:spacing w:before="40" w:after="40"/>
            </w:pPr>
            <w:r/>
            <w:r>
              <w:t>Contract lab agreements (legal, NDA, SLA)</w:t>
            </w:r>
          </w:p>
        </w:tc>
        <w:tc>
          <w:tcPr>
            <w:tcW w:type="dxa" w:w="3120"/>
          </w:tcPr>
          <w:p>
            <w:pPr>
              <w:spacing w:before="40" w:after="40"/>
            </w:pPr>
            <w:r/>
            <w:r>
              <w:t>$5,000</w:t>
            </w:r>
          </w:p>
        </w:tc>
        <w:tc>
          <w:tcPr>
            <w:tcW w:type="dxa" w:w="3120"/>
          </w:tcPr>
          <w:p>
            <w:pPr>
              <w:spacing w:before="40" w:after="40"/>
            </w:pPr>
            <w:r/>
            <w:r>
              <w:t>$12,000</w:t>
            </w:r>
          </w:p>
        </w:tc>
      </w:tr>
      <w:tr>
        <w:tc>
          <w:tcPr>
            <w:tcW w:type="dxa" w:w="3120"/>
          </w:tcPr>
          <w:p>
            <w:pPr>
              <w:spacing w:before="40" w:after="40"/>
            </w:pPr>
            <w:r/>
            <w:r>
              <w:t>Quality management documentation (for ISO 17025 prep)</w:t>
            </w:r>
          </w:p>
        </w:tc>
        <w:tc>
          <w:tcPr>
            <w:tcW w:type="dxa" w:w="3120"/>
          </w:tcPr>
          <w:p>
            <w:pPr>
              <w:spacing w:before="40" w:after="40"/>
            </w:pPr>
            <w:r/>
            <w:r>
              <w:t>$5,000</w:t>
            </w:r>
          </w:p>
        </w:tc>
        <w:tc>
          <w:tcPr>
            <w:tcW w:type="dxa" w:w="3120"/>
          </w:tcPr>
          <w:p>
            <w:pPr>
              <w:spacing w:before="40" w:after="40"/>
            </w:pPr>
            <w:r/>
            <w:r>
              <w:t>$15,000</w:t>
            </w:r>
          </w:p>
        </w:tc>
      </w:tr>
      <w:tr>
        <w:tc>
          <w:tcPr>
            <w:tcW w:type="dxa" w:w="3120"/>
          </w:tcPr>
          <w:p>
            <w:pPr>
              <w:spacing w:before="40" w:after="40"/>
            </w:pPr>
            <w:r/>
            <w:r>
              <w:t>Marketing: community outreach, content, Reddit presence</w:t>
            </w:r>
          </w:p>
        </w:tc>
        <w:tc>
          <w:tcPr>
            <w:tcW w:type="dxa" w:w="3120"/>
          </w:tcPr>
          <w:p>
            <w:pPr>
              <w:spacing w:before="40" w:after="40"/>
            </w:pPr>
            <w:r/>
            <w:r>
              <w:t>$15,000</w:t>
            </w:r>
          </w:p>
        </w:tc>
        <w:tc>
          <w:tcPr>
            <w:tcW w:type="dxa" w:w="3120"/>
          </w:tcPr>
          <w:p>
            <w:pPr>
              <w:spacing w:before="40" w:after="40"/>
            </w:pPr>
            <w:r/>
            <w:r>
              <w:t>$40,000</w:t>
            </w:r>
          </w:p>
        </w:tc>
      </w:tr>
      <w:tr>
        <w:tc>
          <w:tcPr>
            <w:tcW w:type="dxa" w:w="3120"/>
          </w:tcPr>
          <w:p>
            <w:pPr>
              <w:spacing w:before="40" w:after="40"/>
            </w:pPr>
            <w:r/>
            <w:r>
              <w:t>Working capital (3 months)</w:t>
            </w:r>
          </w:p>
        </w:tc>
        <w:tc>
          <w:tcPr>
            <w:tcW w:type="dxa" w:w="3120"/>
          </w:tcPr>
          <w:p>
            <w:pPr>
              <w:spacing w:before="40" w:after="40"/>
            </w:pPr>
            <w:r/>
            <w:r>
              <w:t>$25,000</w:t>
            </w:r>
          </w:p>
        </w:tc>
        <w:tc>
          <w:tcPr>
            <w:tcW w:type="dxa" w:w="3120"/>
          </w:tcPr>
          <w:p>
            <w:pPr>
              <w:spacing w:before="40" w:after="40"/>
            </w:pPr>
            <w:r/>
            <w:r>
              <w:t>$50,000</w:t>
            </w:r>
          </w:p>
        </w:tc>
      </w:tr>
      <w:tr>
        <w:tc>
          <w:tcPr>
            <w:tcW w:type="dxa" w:w="3120"/>
          </w:tcPr>
          <w:p>
            <w:pPr>
              <w:spacing w:before="40" w:after="40"/>
            </w:pPr>
            <w:r/>
            <w:r>
              <w:t>Miscellaneous/contingency</w:t>
            </w:r>
          </w:p>
        </w:tc>
        <w:tc>
          <w:tcPr>
            <w:tcW w:type="dxa" w:w="3120"/>
          </w:tcPr>
          <w:p>
            <w:pPr>
              <w:spacing w:before="40" w:after="40"/>
            </w:pPr>
            <w:r/>
            <w:r>
              <w:t>$10,000</w:t>
            </w:r>
          </w:p>
        </w:tc>
        <w:tc>
          <w:tcPr>
            <w:tcW w:type="dxa" w:w="3120"/>
          </w:tcPr>
          <w:p>
            <w:pPr>
              <w:spacing w:before="40" w:after="40"/>
            </w:pPr>
            <w:r/>
            <w:r>
              <w:t>$20,000</w:t>
            </w:r>
          </w:p>
        </w:tc>
      </w:tr>
      <w:tr>
        <w:tc>
          <w:tcPr>
            <w:tcW w:type="dxa" w:w="3120"/>
          </w:tcPr>
          <w:p>
            <w:pPr>
              <w:spacing w:before="40" w:after="40"/>
            </w:pPr>
            <w:r/>
            <w:r>
              <w:rPr>
                <w:b/>
              </w:rPr>
              <w:t>TOTAL PHASE 1</w:t>
            </w:r>
          </w:p>
        </w:tc>
        <w:tc>
          <w:tcPr>
            <w:tcW w:type="dxa" w:w="3120"/>
          </w:tcPr>
          <w:p>
            <w:pPr>
              <w:spacing w:before="40" w:after="40"/>
            </w:pPr>
            <w:r/>
            <w:r>
              <w:rPr>
                <w:b/>
              </w:rPr>
              <w:t>$85,000</w:t>
            </w:r>
          </w:p>
        </w:tc>
        <w:tc>
          <w:tcPr>
            <w:tcW w:type="dxa" w:w="3120"/>
          </w:tcPr>
          <w:p>
            <w:pPr>
              <w:spacing w:before="40" w:after="40"/>
            </w:pPr>
            <w:r/>
            <w:r>
              <w:rPr>
                <w:b/>
              </w:rPr>
              <w:t>$202,000</w:t>
            </w:r>
          </w:p>
        </w:tc>
      </w:tr>
    </w:tbl>
    <w:p/>
    <w:p>
      <w:pPr>
        <w:spacing w:after="120"/>
      </w:pPr>
      <w:r>
        <w:rPr>
          <w:b/>
        </w:rPr>
        <w:t>Minimum viable launch: ~$150,000</w:t>
      </w:r>
    </w:p>
    <w:p>
      <w:pPr>
        <w:pStyle w:val="Heading3"/>
        <w:spacing w:before="160" w:after="80"/>
      </w:pPr>
      <w:r>
        <w:t>8.2 Phase 2: ISO 17025 Accreditation (Months 6–18)</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before="40" w:after="40"/>
            </w:pPr>
            <w:r>
              <w:rPr>
                <w:b/>
              </w:rPr>
            </w:r>
            <w:r>
              <w:rPr>
                <w:b/>
              </w:rPr>
              <w:t>Item</w:t>
            </w:r>
          </w:p>
        </w:tc>
        <w:tc>
          <w:tcPr>
            <w:tcW w:type="dxa" w:w="3120"/>
          </w:tcPr>
          <w:p>
            <w:pPr>
              <w:spacing w:before="40" w:after="40"/>
            </w:pPr>
            <w:r>
              <w:rPr>
                <w:b/>
              </w:rPr>
            </w:r>
            <w:r>
              <w:rPr>
                <w:b/>
              </w:rPr>
              <w:t>Low</w:t>
            </w:r>
          </w:p>
        </w:tc>
        <w:tc>
          <w:tcPr>
            <w:tcW w:type="dxa" w:w="3120"/>
          </w:tcPr>
          <w:p>
            <w:pPr>
              <w:spacing w:before="40" w:after="40"/>
            </w:pPr>
            <w:r>
              <w:rPr>
                <w:b/>
              </w:rPr>
            </w:r>
            <w:r>
              <w:rPr>
                <w:b/>
              </w:rPr>
              <w:t>High</w:t>
            </w:r>
          </w:p>
        </w:tc>
      </w:tr>
      <w:tr>
        <w:tc>
          <w:tcPr>
            <w:tcW w:type="dxa" w:w="3120"/>
          </w:tcPr>
          <w:p>
            <w:pPr>
              <w:spacing w:before="40" w:after="40"/>
            </w:pPr>
            <w:r/>
            <w:r>
              <w:t>Gap analysis and QMS documentation</w:t>
            </w:r>
          </w:p>
        </w:tc>
        <w:tc>
          <w:tcPr>
            <w:tcW w:type="dxa" w:w="3120"/>
          </w:tcPr>
          <w:p>
            <w:pPr>
              <w:spacing w:before="40" w:after="40"/>
            </w:pPr>
            <w:r/>
            <w:r>
              <w:t>$5,000</w:t>
            </w:r>
          </w:p>
        </w:tc>
        <w:tc>
          <w:tcPr>
            <w:tcW w:type="dxa" w:w="3120"/>
          </w:tcPr>
          <w:p>
            <w:pPr>
              <w:spacing w:before="40" w:after="40"/>
            </w:pPr>
            <w:r/>
            <w:r>
              <w:t>$15,000</w:t>
            </w:r>
          </w:p>
        </w:tc>
      </w:tr>
      <w:tr>
        <w:tc>
          <w:tcPr>
            <w:tcW w:type="dxa" w:w="3120"/>
          </w:tcPr>
          <w:p>
            <w:pPr>
              <w:spacing w:before="40" w:after="40"/>
            </w:pPr>
            <w:r/>
            <w:r>
              <w:t>Staff training and certification prep</w:t>
            </w:r>
          </w:p>
        </w:tc>
        <w:tc>
          <w:tcPr>
            <w:tcW w:type="dxa" w:w="3120"/>
          </w:tcPr>
          <w:p>
            <w:pPr>
              <w:spacing w:before="40" w:after="40"/>
            </w:pPr>
            <w:r/>
            <w:r>
              <w:t>$3,000</w:t>
            </w:r>
          </w:p>
        </w:tc>
        <w:tc>
          <w:tcPr>
            <w:tcW w:type="dxa" w:w="3120"/>
          </w:tcPr>
          <w:p>
            <w:pPr>
              <w:spacing w:before="40" w:after="40"/>
            </w:pPr>
            <w:r/>
            <w:r>
              <w:t>$8,000</w:t>
            </w:r>
          </w:p>
        </w:tc>
      </w:tr>
      <w:tr>
        <w:tc>
          <w:tcPr>
            <w:tcW w:type="dxa" w:w="3120"/>
          </w:tcPr>
          <w:p>
            <w:pPr>
              <w:spacing w:before="40" w:after="40"/>
            </w:pPr>
            <w:r/>
            <w:r>
              <w:t>A2LA application and assessment fees</w:t>
            </w:r>
          </w:p>
        </w:tc>
        <w:tc>
          <w:tcPr>
            <w:tcW w:type="dxa" w:w="3120"/>
          </w:tcPr>
          <w:p>
            <w:pPr>
              <w:spacing w:before="40" w:after="40"/>
            </w:pPr>
            <w:r/>
            <w:r>
              <w:t>$4,500</w:t>
            </w:r>
          </w:p>
        </w:tc>
        <w:tc>
          <w:tcPr>
            <w:tcW w:type="dxa" w:w="3120"/>
          </w:tcPr>
          <w:p>
            <w:pPr>
              <w:spacing w:before="40" w:after="40"/>
            </w:pPr>
            <w:r/>
            <w:r>
              <w:t>$10,000</w:t>
            </w:r>
          </w:p>
        </w:tc>
      </w:tr>
      <w:tr>
        <w:tc>
          <w:tcPr>
            <w:tcW w:type="dxa" w:w="3120"/>
          </w:tcPr>
          <w:p>
            <w:pPr>
              <w:spacing w:before="40" w:after="40"/>
            </w:pPr>
            <w:r/>
            <w:r>
              <w:t>Consultant/accreditation specialist</w:t>
            </w:r>
          </w:p>
        </w:tc>
        <w:tc>
          <w:tcPr>
            <w:tcW w:type="dxa" w:w="3120"/>
          </w:tcPr>
          <w:p>
            <w:pPr>
              <w:spacing w:before="40" w:after="40"/>
            </w:pPr>
            <w:r/>
            <w:r>
              <w:t>$5,000</w:t>
            </w:r>
          </w:p>
        </w:tc>
        <w:tc>
          <w:tcPr>
            <w:tcW w:type="dxa" w:w="3120"/>
          </w:tcPr>
          <w:p>
            <w:pPr>
              <w:spacing w:before="40" w:after="40"/>
            </w:pPr>
            <w:r/>
            <w:r>
              <w:t>$15,000</w:t>
            </w:r>
          </w:p>
        </w:tc>
      </w:tr>
      <w:tr>
        <w:tc>
          <w:tcPr>
            <w:tcW w:type="dxa" w:w="3120"/>
          </w:tcPr>
          <w:p>
            <w:pPr>
              <w:spacing w:before="40" w:after="40"/>
            </w:pPr>
            <w:r/>
            <w:r>
              <w:rPr>
                <w:b/>
              </w:rPr>
              <w:t>TOTAL PHASE 2</w:t>
            </w:r>
          </w:p>
        </w:tc>
        <w:tc>
          <w:tcPr>
            <w:tcW w:type="dxa" w:w="3120"/>
          </w:tcPr>
          <w:p>
            <w:pPr>
              <w:spacing w:before="40" w:after="40"/>
            </w:pPr>
            <w:r/>
            <w:r>
              <w:rPr>
                <w:b/>
              </w:rPr>
              <w:t>$17,500</w:t>
            </w:r>
          </w:p>
        </w:tc>
        <w:tc>
          <w:tcPr>
            <w:tcW w:type="dxa" w:w="3120"/>
          </w:tcPr>
          <w:p>
            <w:pPr>
              <w:spacing w:before="40" w:after="40"/>
            </w:pPr>
            <w:r/>
            <w:r>
              <w:rPr>
                <w:b/>
              </w:rPr>
              <w:t>$48,000</w:t>
            </w:r>
          </w:p>
        </w:tc>
      </w:tr>
    </w:tbl>
    <w:p/>
    <w:p>
      <w:pPr>
        <w:spacing w:after="120"/>
      </w:pPr>
      <w:r>
        <w:rPr>
          <w:i/>
        </w:rPr>
        <w:t>Note: If outsourcing testing, you can pursue a narrower scope of accreditation (management systems, not full analytical scope) which reduces cost and timeline.</w:t>
      </w:r>
    </w:p>
    <w:p>
      <w:pPr>
        <w:pStyle w:val="Heading3"/>
        <w:spacing w:before="160" w:after="80"/>
      </w:pPr>
      <w:r>
        <w:t>8.3 Phase 3: In-House Lab Build-Out (Year 2–3)</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before="40" w:after="40"/>
            </w:pPr>
            <w:r>
              <w:rPr>
                <w:b/>
              </w:rPr>
            </w:r>
            <w:r>
              <w:rPr>
                <w:b/>
              </w:rPr>
              <w:t>Item</w:t>
            </w:r>
          </w:p>
        </w:tc>
        <w:tc>
          <w:tcPr>
            <w:tcW w:type="dxa" w:w="3120"/>
          </w:tcPr>
          <w:p>
            <w:pPr>
              <w:spacing w:before="40" w:after="40"/>
            </w:pPr>
            <w:r>
              <w:rPr>
                <w:b/>
              </w:rPr>
            </w:r>
            <w:r>
              <w:rPr>
                <w:b/>
              </w:rPr>
              <w:t>Low (used equipment)</w:t>
            </w:r>
          </w:p>
        </w:tc>
        <w:tc>
          <w:tcPr>
            <w:tcW w:type="dxa" w:w="3120"/>
          </w:tcPr>
          <w:p>
            <w:pPr>
              <w:spacing w:before="40" w:after="40"/>
            </w:pPr>
            <w:r>
              <w:rPr>
                <w:b/>
              </w:rPr>
            </w:r>
            <w:r>
              <w:rPr>
                <w:b/>
              </w:rPr>
              <w:t>High (new equipment)</w:t>
            </w:r>
          </w:p>
        </w:tc>
      </w:tr>
      <w:tr>
        <w:tc>
          <w:tcPr>
            <w:tcW w:type="dxa" w:w="3120"/>
          </w:tcPr>
          <w:p>
            <w:pPr>
              <w:spacing w:before="40" w:after="40"/>
            </w:pPr>
            <w:r/>
            <w:r>
              <w:t>HPLC system</w:t>
            </w:r>
          </w:p>
        </w:tc>
        <w:tc>
          <w:tcPr>
            <w:tcW w:type="dxa" w:w="3120"/>
          </w:tcPr>
          <w:p>
            <w:pPr>
              <w:spacing w:before="40" w:after="40"/>
            </w:pPr>
            <w:r/>
            <w:r>
              <w:t>$15,000</w:t>
            </w:r>
          </w:p>
        </w:tc>
        <w:tc>
          <w:tcPr>
            <w:tcW w:type="dxa" w:w="3120"/>
          </w:tcPr>
          <w:p>
            <w:pPr>
              <w:spacing w:before="40" w:after="40"/>
            </w:pPr>
            <w:r/>
            <w:r>
              <w:t>$80,000</w:t>
            </w:r>
          </w:p>
        </w:tc>
      </w:tr>
      <w:tr>
        <w:tc>
          <w:tcPr>
            <w:tcW w:type="dxa" w:w="3120"/>
          </w:tcPr>
          <w:p>
            <w:pPr>
              <w:spacing w:before="40" w:after="40"/>
            </w:pPr>
            <w:r/>
            <w:r>
              <w:t>LC-MS/MS system</w:t>
            </w:r>
          </w:p>
        </w:tc>
        <w:tc>
          <w:tcPr>
            <w:tcW w:type="dxa" w:w="3120"/>
          </w:tcPr>
          <w:p>
            <w:pPr>
              <w:spacing w:before="40" w:after="40"/>
            </w:pPr>
            <w:r/>
            <w:r>
              <w:t>$150,000</w:t>
            </w:r>
          </w:p>
        </w:tc>
        <w:tc>
          <w:tcPr>
            <w:tcW w:type="dxa" w:w="3120"/>
          </w:tcPr>
          <w:p>
            <w:pPr>
              <w:spacing w:before="40" w:after="40"/>
            </w:pPr>
            <w:r/>
            <w:r>
              <w:t>$400,000</w:t>
            </w:r>
          </w:p>
        </w:tc>
      </w:tr>
      <w:tr>
        <w:tc>
          <w:tcPr>
            <w:tcW w:type="dxa" w:w="3120"/>
          </w:tcPr>
          <w:p>
            <w:pPr>
              <w:spacing w:before="40" w:after="40"/>
            </w:pPr>
            <w:r/>
            <w:r>
              <w:t>UV-Vis spectrophotometer</w:t>
            </w:r>
          </w:p>
        </w:tc>
        <w:tc>
          <w:tcPr>
            <w:tcW w:type="dxa" w:w="3120"/>
          </w:tcPr>
          <w:p>
            <w:pPr>
              <w:spacing w:before="40" w:after="40"/>
            </w:pPr>
            <w:r/>
            <w:r>
              <w:t>$5,000</w:t>
            </w:r>
          </w:p>
        </w:tc>
        <w:tc>
          <w:tcPr>
            <w:tcW w:type="dxa" w:w="3120"/>
          </w:tcPr>
          <w:p>
            <w:pPr>
              <w:spacing w:before="40" w:after="40"/>
            </w:pPr>
            <w:r/>
            <w:r>
              <w:t>$30,000</w:t>
            </w:r>
          </w:p>
        </w:tc>
      </w:tr>
      <w:tr>
        <w:tc>
          <w:tcPr>
            <w:tcW w:type="dxa" w:w="3120"/>
          </w:tcPr>
          <w:p>
            <w:pPr>
              <w:spacing w:before="40" w:after="40"/>
            </w:pPr>
            <w:r/>
            <w:r>
              <w:t>Endotoxin testing setup</w:t>
            </w:r>
          </w:p>
        </w:tc>
        <w:tc>
          <w:tcPr>
            <w:tcW w:type="dxa" w:w="3120"/>
          </w:tcPr>
          <w:p>
            <w:pPr>
              <w:spacing w:before="40" w:after="40"/>
            </w:pPr>
            <w:r/>
            <w:r>
              <w:t>$10,000</w:t>
            </w:r>
          </w:p>
        </w:tc>
        <w:tc>
          <w:tcPr>
            <w:tcW w:type="dxa" w:w="3120"/>
          </w:tcPr>
          <w:p>
            <w:pPr>
              <w:spacing w:before="40" w:after="40"/>
            </w:pPr>
            <w:r/>
            <w:r>
              <w:t>$25,000</w:t>
            </w:r>
          </w:p>
        </w:tc>
      </w:tr>
      <w:tr>
        <w:tc>
          <w:tcPr>
            <w:tcW w:type="dxa" w:w="3120"/>
          </w:tcPr>
          <w:p>
            <w:pPr>
              <w:spacing w:before="40" w:after="40"/>
            </w:pPr>
            <w:r/>
            <w:r>
              <w:t>Ancillary equipment</w:t>
            </w:r>
          </w:p>
        </w:tc>
        <w:tc>
          <w:tcPr>
            <w:tcW w:type="dxa" w:w="3120"/>
          </w:tcPr>
          <w:p>
            <w:pPr>
              <w:spacing w:before="40" w:after="40"/>
            </w:pPr>
            <w:r/>
            <w:r>
              <w:t>$15,000</w:t>
            </w:r>
          </w:p>
        </w:tc>
        <w:tc>
          <w:tcPr>
            <w:tcW w:type="dxa" w:w="3120"/>
          </w:tcPr>
          <w:p>
            <w:pPr>
              <w:spacing w:before="40" w:after="40"/>
            </w:pPr>
            <w:r/>
            <w:r>
              <w:t>$40,000</w:t>
            </w:r>
          </w:p>
        </w:tc>
      </w:tr>
      <w:tr>
        <w:tc>
          <w:tcPr>
            <w:tcW w:type="dxa" w:w="3120"/>
          </w:tcPr>
          <w:p>
            <w:pPr>
              <w:spacing w:before="40" w:after="40"/>
            </w:pPr>
            <w:r/>
            <w:r>
              <w:t>Facility buildout (2,000 sq ft)</w:t>
            </w:r>
          </w:p>
        </w:tc>
        <w:tc>
          <w:tcPr>
            <w:tcW w:type="dxa" w:w="3120"/>
          </w:tcPr>
          <w:p>
            <w:pPr>
              <w:spacing w:before="40" w:after="40"/>
            </w:pPr>
            <w:r/>
            <w:r>
              <w:t>$75,000</w:t>
            </w:r>
          </w:p>
        </w:tc>
        <w:tc>
          <w:tcPr>
            <w:tcW w:type="dxa" w:w="3120"/>
          </w:tcPr>
          <w:p>
            <w:pPr>
              <w:spacing w:before="40" w:after="40"/>
            </w:pPr>
            <w:r/>
            <w:r>
              <w:t>$250,000</w:t>
            </w:r>
          </w:p>
        </w:tc>
      </w:tr>
      <w:tr>
        <w:tc>
          <w:tcPr>
            <w:tcW w:type="dxa" w:w="3120"/>
          </w:tcPr>
          <w:p>
            <w:pPr>
              <w:spacing w:before="40" w:after="40"/>
            </w:pPr>
            <w:r/>
            <w:r>
              <w:t>LIMS software</w:t>
            </w:r>
          </w:p>
        </w:tc>
        <w:tc>
          <w:tcPr>
            <w:tcW w:type="dxa" w:w="3120"/>
          </w:tcPr>
          <w:p>
            <w:pPr>
              <w:spacing w:before="40" w:after="40"/>
            </w:pPr>
            <w:r/>
            <w:r>
              <w:t>$10,000</w:t>
            </w:r>
          </w:p>
        </w:tc>
        <w:tc>
          <w:tcPr>
            <w:tcW w:type="dxa" w:w="3120"/>
          </w:tcPr>
          <w:p>
            <w:pPr>
              <w:spacing w:before="40" w:after="40"/>
            </w:pPr>
            <w:r/>
            <w:r>
              <w:t>$50,000</w:t>
            </w:r>
          </w:p>
        </w:tc>
      </w:tr>
      <w:tr>
        <w:tc>
          <w:tcPr>
            <w:tcW w:type="dxa" w:w="3120"/>
          </w:tcPr>
          <w:p>
            <w:pPr>
              <w:spacing w:before="40" w:after="40"/>
            </w:pPr>
            <w:r/>
            <w:r>
              <w:rPr>
                <w:b/>
              </w:rPr>
              <w:t>TOTAL PHASE 3 (equipment + facility)</w:t>
            </w:r>
          </w:p>
        </w:tc>
        <w:tc>
          <w:tcPr>
            <w:tcW w:type="dxa" w:w="3120"/>
          </w:tcPr>
          <w:p>
            <w:pPr>
              <w:spacing w:before="40" w:after="40"/>
            </w:pPr>
            <w:r/>
            <w:r>
              <w:rPr>
                <w:b/>
              </w:rPr>
              <w:t>$280,000</w:t>
            </w:r>
          </w:p>
        </w:tc>
        <w:tc>
          <w:tcPr>
            <w:tcW w:type="dxa" w:w="3120"/>
          </w:tcPr>
          <w:p>
            <w:pPr>
              <w:spacing w:before="40" w:after="40"/>
            </w:pPr>
            <w:r/>
            <w:r>
              <w:rPr>
                <w:b/>
              </w:rPr>
              <w:t>$875,000</w:t>
            </w:r>
          </w:p>
        </w:tc>
      </w:tr>
    </w:tbl>
    <w:p/>
    <w:p>
      <w:pPr>
        <w:spacing w:after="120"/>
      </w:pPr>
      <w:r>
        <w:rPr>
          <w:i/>
        </w:rPr>
        <w:t>First-year in-house operating costs add $436,000–$742,000 in payroll + consumables.</w:t>
      </w:r>
    </w:p>
    <w:p>
      <w:pPr>
        <w:pStyle w:val="Heading3"/>
        <w:spacing w:before="160" w:after="80"/>
      </w:pPr>
      <w:r>
        <w:t>8.4 Total Capital Requirements by Model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before="40" w:after="40"/>
            </w:pPr>
            <w:r>
              <w:rPr>
                <w:b/>
              </w:rPr>
            </w:r>
            <w:r>
              <w:rPr>
                <w:b/>
              </w:rPr>
              <w:t>Model</w:t>
            </w:r>
          </w:p>
        </w:tc>
        <w:tc>
          <w:tcPr>
            <w:tcW w:type="dxa" w:w="2340"/>
          </w:tcPr>
          <w:p>
            <w:pPr>
              <w:spacing w:before="40" w:after="40"/>
            </w:pPr>
            <w:r>
              <w:rPr>
                <w:b/>
              </w:rPr>
            </w:r>
            <w:r>
              <w:rPr>
                <w:b/>
              </w:rPr>
              <w:t>Year 1 Capital</w:t>
            </w:r>
          </w:p>
        </w:tc>
        <w:tc>
          <w:tcPr>
            <w:tcW w:type="dxa" w:w="2340"/>
          </w:tcPr>
          <w:p>
            <w:pPr>
              <w:spacing w:before="40" w:after="40"/>
            </w:pPr>
            <w:r>
              <w:rPr>
                <w:b/>
              </w:rPr>
            </w:r>
            <w:r>
              <w:rPr>
                <w:b/>
              </w:rPr>
              <w:t>Year 1–3 Total</w:t>
            </w:r>
          </w:p>
        </w:tc>
        <w:tc>
          <w:tcPr>
            <w:tcW w:type="dxa" w:w="2340"/>
          </w:tcPr>
          <w:p>
            <w:pPr>
              <w:spacing w:before="40" w:after="40"/>
            </w:pPr>
            <w:r>
              <w:rPr>
                <w:b/>
              </w:rPr>
            </w:r>
            <w:r>
              <w:rPr>
                <w:b/>
              </w:rPr>
              <w:t>Time to Revenue</w:t>
            </w:r>
          </w:p>
        </w:tc>
      </w:tr>
      <w:tr>
        <w:tc>
          <w:tcPr>
            <w:tcW w:type="dxa" w:w="2340"/>
          </w:tcPr>
          <w:p>
            <w:pPr>
              <w:spacing w:before="40" w:after="40"/>
            </w:pPr>
            <w:r/>
            <w:r>
              <w:t>White-Label Only (no lab)</w:t>
            </w:r>
          </w:p>
        </w:tc>
        <w:tc>
          <w:tcPr>
            <w:tcW w:type="dxa" w:w="2340"/>
          </w:tcPr>
          <w:p>
            <w:pPr>
              <w:spacing w:before="40" w:after="40"/>
            </w:pPr>
            <w:r/>
            <w:r>
              <w:t>$150,000–$225,000</w:t>
            </w:r>
          </w:p>
        </w:tc>
        <w:tc>
          <w:tcPr>
            <w:tcW w:type="dxa" w:w="2340"/>
          </w:tcPr>
          <w:p>
            <w:pPr>
              <w:spacing w:before="40" w:after="40"/>
            </w:pPr>
            <w:r/>
            <w:r>
              <w:t>$400,000–$700,000</w:t>
            </w:r>
          </w:p>
        </w:tc>
        <w:tc>
          <w:tcPr>
            <w:tcW w:type="dxa" w:w="2340"/>
          </w:tcPr>
          <w:p>
            <w:pPr>
              <w:spacing w:before="40" w:after="40"/>
            </w:pPr>
            <w:r/>
            <w:r>
              <w:t>3–6 months</w:t>
            </w:r>
          </w:p>
        </w:tc>
      </w:tr>
      <w:tr>
        <w:tc>
          <w:tcPr>
            <w:tcW w:type="dxa" w:w="2340"/>
          </w:tcPr>
          <w:p>
            <w:pPr>
              <w:spacing w:before="40" w:after="40"/>
            </w:pPr>
            <w:r/>
            <w:r>
              <w:t>Full Lab (Day 1)</w:t>
            </w:r>
          </w:p>
        </w:tc>
        <w:tc>
          <w:tcPr>
            <w:tcW w:type="dxa" w:w="2340"/>
          </w:tcPr>
          <w:p>
            <w:pPr>
              <w:spacing w:before="40" w:after="40"/>
            </w:pPr>
            <w:r/>
            <w:r>
              <w:t>$750,000–$2,000,000</w:t>
            </w:r>
          </w:p>
        </w:tc>
        <w:tc>
          <w:tcPr>
            <w:tcW w:type="dxa" w:w="2340"/>
          </w:tcPr>
          <w:p>
            <w:pPr>
              <w:spacing w:before="40" w:after="40"/>
            </w:pPr>
            <w:r/>
            <w:r>
              <w:t>$1.5M–$3.5M</w:t>
            </w:r>
          </w:p>
        </w:tc>
        <w:tc>
          <w:tcPr>
            <w:tcW w:type="dxa" w:w="2340"/>
          </w:tcPr>
          <w:p>
            <w:pPr>
              <w:spacing w:before="40" w:after="40"/>
            </w:pPr>
            <w:r/>
            <w:r>
              <w:t>18–24 months</w:t>
            </w:r>
          </w:p>
        </w:tc>
      </w:tr>
      <w:tr>
        <w:tc>
          <w:tcPr>
            <w:tcW w:type="dxa" w:w="2340"/>
          </w:tcPr>
          <w:p>
            <w:pPr>
              <w:spacing w:before="40" w:after="40"/>
            </w:pPr>
            <w:r/>
            <w:r>
              <w:rPr>
                <w:b/>
              </w:rPr>
              <w:t>Recommended Phased Hybrid</w:t>
            </w:r>
          </w:p>
        </w:tc>
        <w:tc>
          <w:tcPr>
            <w:tcW w:type="dxa" w:w="2340"/>
          </w:tcPr>
          <w:p>
            <w:pPr>
              <w:spacing w:before="40" w:after="40"/>
            </w:pPr>
            <w:r/>
            <w:r>
              <w:rPr>
                <w:b/>
              </w:rPr>
              <w:t>$150,000–$250,000</w:t>
            </w:r>
          </w:p>
        </w:tc>
        <w:tc>
          <w:tcPr>
            <w:tcW w:type="dxa" w:w="2340"/>
          </w:tcPr>
          <w:p>
            <w:pPr>
              <w:spacing w:before="40" w:after="40"/>
            </w:pPr>
            <w:r/>
            <w:r>
              <w:rPr>
                <w:b/>
              </w:rPr>
              <w:t>$700,000–$1,500,000</w:t>
            </w:r>
          </w:p>
        </w:tc>
        <w:tc>
          <w:tcPr>
            <w:tcW w:type="dxa" w:w="2340"/>
          </w:tcPr>
          <w:p>
            <w:pPr>
              <w:spacing w:before="40" w:after="40"/>
            </w:pPr>
            <w:r/>
            <w:r>
              <w:rPr>
                <w:b/>
              </w:rPr>
              <w:t>3–6 months</w:t>
            </w:r>
          </w:p>
        </w:tc>
      </w:tr>
    </w:tbl>
    <w:p/>
    <w:p>
      <w:pPr>
        <w:spacing w:before="120" w:after="120"/>
        <w:pBdr>
          <w:bottom w:val="single" w:sz="6" w:space="1" w:color="AAAAAA"/>
        </w:pBdr>
      </w:pPr>
    </w:p>
    <w:p>
      <w:pPr>
        <w:pStyle w:val="Heading2"/>
        <w:spacing w:before="240" w:after="80"/>
      </w:pPr>
      <w:r>
        <w:t>Section 9: Revenue Model and Financial Projections</w:t>
      </w:r>
    </w:p>
    <w:p>
      <w:pPr>
        <w:pStyle w:val="Heading3"/>
        <w:spacing w:before="160" w:after="80"/>
      </w:pPr>
      <w:r>
        <w:t>9.1 Unit Economics</w:t>
      </w:r>
    </w:p>
    <w:p>
      <w:pPr>
        <w:spacing w:after="120"/>
      </w:pPr>
      <w:r>
        <w:rPr>
          <w:b/>
        </w:rPr>
        <w:t>B2B Testing Revenue (Primary)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before="40" w:after="40"/>
            </w:pPr>
            <w:r>
              <w:rPr>
                <w:b/>
              </w:rPr>
            </w:r>
            <w:r>
              <w:rPr>
                <w:b/>
              </w:rPr>
              <w:t>Tier</w:t>
            </w:r>
          </w:p>
        </w:tc>
        <w:tc>
          <w:tcPr>
            <w:tcW w:type="dxa" w:w="1872"/>
          </w:tcPr>
          <w:p>
            <w:pPr>
              <w:spacing w:before="40" w:after="40"/>
            </w:pPr>
            <w:r>
              <w:rPr>
                <w:b/>
              </w:rPr>
            </w:r>
            <w:r>
              <w:rPr>
                <w:b/>
              </w:rPr>
              <w:t>Tests Included</w:t>
            </w:r>
          </w:p>
        </w:tc>
        <w:tc>
          <w:tcPr>
            <w:tcW w:type="dxa" w:w="1872"/>
          </w:tcPr>
          <w:p>
            <w:pPr>
              <w:spacing w:before="40" w:after="40"/>
            </w:pPr>
            <w:r>
              <w:rPr>
                <w:b/>
              </w:rPr>
            </w:r>
            <w:r>
              <w:rPr>
                <w:b/>
              </w:rPr>
              <w:t>Price</w:t>
            </w:r>
          </w:p>
        </w:tc>
        <w:tc>
          <w:tcPr>
            <w:tcW w:type="dxa" w:w="1872"/>
          </w:tcPr>
          <w:p>
            <w:pPr>
              <w:spacing w:before="40" w:after="40"/>
            </w:pPr>
            <w:r>
              <w:rPr>
                <w:b/>
              </w:rPr>
            </w:r>
            <w:r>
              <w:rPr>
                <w:b/>
              </w:rPr>
              <w:t>Contract Lab Cost</w:t>
            </w:r>
          </w:p>
        </w:tc>
        <w:tc>
          <w:tcPr>
            <w:tcW w:type="dxa" w:w="1872"/>
          </w:tcPr>
          <w:p>
            <w:pPr>
              <w:spacing w:before="40" w:after="40"/>
            </w:pPr>
            <w:r>
              <w:rPr>
                <w:b/>
              </w:rPr>
            </w:r>
            <w:r>
              <w:rPr>
                <w:b/>
              </w:rPr>
              <w:t>Gross Margin</w:t>
            </w:r>
          </w:p>
        </w:tc>
      </w:tr>
      <w:tr>
        <w:tc>
          <w:tcPr>
            <w:tcW w:type="dxa" w:w="1872"/>
          </w:tcPr>
          <w:p>
            <w:pPr>
              <w:spacing w:before="40" w:after="40"/>
            </w:pPr>
            <w:r/>
            <w:r>
              <w:t>Basic COA</w:t>
            </w:r>
          </w:p>
        </w:tc>
        <w:tc>
          <w:tcPr>
            <w:tcW w:type="dxa" w:w="1872"/>
          </w:tcPr>
          <w:p>
            <w:pPr>
              <w:spacing w:before="40" w:after="40"/>
            </w:pPr>
            <w:r/>
            <w:r>
              <w:t>HPLC purity + MS identity</w:t>
            </w:r>
          </w:p>
        </w:tc>
        <w:tc>
          <w:tcPr>
            <w:tcW w:type="dxa" w:w="1872"/>
          </w:tcPr>
          <w:p>
            <w:pPr>
              <w:spacing w:before="40" w:after="40"/>
            </w:pPr>
            <w:r/>
            <w:r>
              <w:t>$250</w:t>
            </w:r>
          </w:p>
        </w:tc>
        <w:tc>
          <w:tcPr>
            <w:tcW w:type="dxa" w:w="1872"/>
          </w:tcPr>
          <w:p>
            <w:pPr>
              <w:spacing w:before="40" w:after="40"/>
            </w:pPr>
            <w:r/>
            <w:r>
              <w:t>$175</w:t>
            </w:r>
          </w:p>
        </w:tc>
        <w:tc>
          <w:tcPr>
            <w:tcW w:type="dxa" w:w="1872"/>
          </w:tcPr>
          <w:p>
            <w:pPr>
              <w:spacing w:before="40" w:after="40"/>
            </w:pPr>
            <w:r/>
            <w:r>
              <w:t>30% ($75)</w:t>
            </w:r>
          </w:p>
        </w:tc>
      </w:tr>
      <w:tr>
        <w:tc>
          <w:tcPr>
            <w:tcW w:type="dxa" w:w="1872"/>
          </w:tcPr>
          <w:p>
            <w:pPr>
              <w:spacing w:before="40" w:after="40"/>
            </w:pPr>
            <w:r/>
            <w:r>
              <w:t>Standard COA</w:t>
            </w:r>
          </w:p>
        </w:tc>
        <w:tc>
          <w:tcPr>
            <w:tcW w:type="dxa" w:w="1872"/>
          </w:tcPr>
          <w:p>
            <w:pPr>
              <w:spacing w:before="40" w:after="40"/>
            </w:pPr>
            <w:r/>
            <w:r>
              <w:t>+ Endotoxin + Sterility</w:t>
            </w:r>
          </w:p>
        </w:tc>
        <w:tc>
          <w:tcPr>
            <w:tcW w:type="dxa" w:w="1872"/>
          </w:tcPr>
          <w:p>
            <w:pPr>
              <w:spacing w:before="40" w:after="40"/>
            </w:pPr>
            <w:r/>
            <w:r>
              <w:t>$500</w:t>
            </w:r>
          </w:p>
        </w:tc>
        <w:tc>
          <w:tcPr>
            <w:tcW w:type="dxa" w:w="1872"/>
          </w:tcPr>
          <w:p>
            <w:pPr>
              <w:spacing w:before="40" w:after="40"/>
            </w:pPr>
            <w:r/>
            <w:r>
              <w:t>$300</w:t>
            </w:r>
          </w:p>
        </w:tc>
        <w:tc>
          <w:tcPr>
            <w:tcW w:type="dxa" w:w="1872"/>
          </w:tcPr>
          <w:p>
            <w:pPr>
              <w:spacing w:before="40" w:after="40"/>
            </w:pPr>
            <w:r/>
            <w:r>
              <w:t>40% ($200)</w:t>
            </w:r>
          </w:p>
        </w:tc>
      </w:tr>
      <w:tr>
        <w:tc>
          <w:tcPr>
            <w:tcW w:type="dxa" w:w="1872"/>
          </w:tcPr>
          <w:p>
            <w:pPr>
              <w:spacing w:before="40" w:after="40"/>
            </w:pPr>
            <w:r/>
            <w:r>
              <w:t>Premium COA</w:t>
            </w:r>
          </w:p>
        </w:tc>
        <w:tc>
          <w:tcPr>
            <w:tcW w:type="dxa" w:w="1872"/>
          </w:tcPr>
          <w:p>
            <w:pPr>
              <w:spacing w:before="40" w:after="40"/>
            </w:pPr>
            <w:r/>
            <w:r>
              <w:t>Full panel + Amino acid analysis</w:t>
            </w:r>
          </w:p>
        </w:tc>
        <w:tc>
          <w:tcPr>
            <w:tcW w:type="dxa" w:w="1872"/>
          </w:tcPr>
          <w:p>
            <w:pPr>
              <w:spacing w:before="40" w:after="40"/>
            </w:pPr>
            <w:r/>
            <w:r>
              <w:t>$800</w:t>
            </w:r>
          </w:p>
        </w:tc>
        <w:tc>
          <w:tcPr>
            <w:tcW w:type="dxa" w:w="1872"/>
          </w:tcPr>
          <w:p>
            <w:pPr>
              <w:spacing w:before="40" w:after="40"/>
            </w:pPr>
            <w:r/>
            <w:r>
              <w:t>$450</w:t>
            </w:r>
          </w:p>
        </w:tc>
        <w:tc>
          <w:tcPr>
            <w:tcW w:type="dxa" w:w="1872"/>
          </w:tcPr>
          <w:p>
            <w:pPr>
              <w:spacing w:before="40" w:after="40"/>
            </w:pPr>
            <w:r/>
            <w:r>
              <w:t>44% ($350)</w:t>
            </w:r>
          </w:p>
        </w:tc>
      </w:tr>
      <w:tr>
        <w:tc>
          <w:tcPr>
            <w:tcW w:type="dxa" w:w="1872"/>
          </w:tcPr>
          <w:p>
            <w:pPr>
              <w:spacing w:before="40" w:after="40"/>
            </w:pPr>
            <w:r/>
            <w:r>
              <w:t>Rush premium</w:t>
            </w:r>
          </w:p>
        </w:tc>
        <w:tc>
          <w:tcPr>
            <w:tcW w:type="dxa" w:w="1872"/>
          </w:tcPr>
          <w:p>
            <w:pPr>
              <w:spacing w:before="40" w:after="40"/>
            </w:pPr>
            <w:r/>
            <w:r>
              <w:t>+$150</w:t>
            </w:r>
          </w:p>
        </w:tc>
        <w:tc>
          <w:tcPr>
            <w:tcW w:type="dxa" w:w="1872"/>
          </w:tcPr>
          <w:p>
            <w:pPr>
              <w:spacing w:before="40" w:after="40"/>
            </w:pPr>
            <w:r/>
            <w:r>
              <w:t>—</w:t>
            </w:r>
          </w:p>
        </w:tc>
        <w:tc>
          <w:tcPr>
            <w:tcW w:type="dxa" w:w="1872"/>
          </w:tcPr>
          <w:p>
            <w:pPr>
              <w:spacing w:before="40" w:after="40"/>
            </w:pPr>
            <w:r/>
            <w:r>
              <w:t>+$50</w:t>
            </w:r>
          </w:p>
        </w:tc>
        <w:tc>
          <w:tcPr>
            <w:tcW w:type="dxa" w:w="1872"/>
          </w:tcPr>
          <w:p>
            <w:pPr>
              <w:spacing w:before="40" w:after="40"/>
            </w:pPr>
            <w:r/>
            <w:r>
              <w:t>—</w:t>
            </w:r>
          </w:p>
        </w:tc>
      </w:tr>
    </w:tbl>
    <w:p/>
    <w:p>
      <w:pPr>
        <w:spacing w:after="120"/>
      </w:pPr>
      <w:r>
        <w:rPr>
          <w:i/>
        </w:rPr>
        <w:t>In-house lab Unit Economics (Year 3+, after equipment amortized):</w:t>
      </w:r>
    </w:p>
    <w:p>
      <w:pPr>
        <w:pStyle w:val="ListBullet"/>
        <w:spacing w:after="40"/>
      </w:pPr>
      <w:r>
        <w:t xml:space="preserve">Standard COA (HPLC + MS + endotoxin): $500 charge, $80 variable cost = </w:t>
      </w:r>
      <w:r>
        <w:rPr>
          <w:b/>
        </w:rPr>
        <w:t>84% gross margin</w:t>
      </w:r>
    </w:p>
    <w:p>
      <w:pPr>
        <w:spacing w:after="120"/>
      </w:pPr>
      <w:r>
        <w:rPr>
          <w:b/>
        </w:rPr>
        <w:t>B2B Certification Seal Licensing (Phase 4)</w:t>
      </w:r>
    </w:p>
    <w:p>
      <w:pPr>
        <w:pStyle w:val="ListBullet"/>
        <w:spacing w:after="40"/>
      </w:pPr>
      <w:r>
        <w:t>Annual licensing fee to display "Certified Peptide" seal: $1,200–$3,000/vendor/year</w:t>
      </w:r>
    </w:p>
    <w:p>
      <w:pPr>
        <w:pStyle w:val="ListBullet"/>
        <w:spacing w:after="40"/>
      </w:pPr>
      <w:r>
        <w:t>Requires annual re-testing (generates testing revenue too)</w:t>
      </w:r>
    </w:p>
    <w:p>
      <w:pPr>
        <w:pStyle w:val="ListBullet"/>
        <w:spacing w:after="40"/>
      </w:pPr>
      <w:r>
        <w:t xml:space="preserve">200 certified vendors × $2,000/year = </w:t>
      </w:r>
      <w:r>
        <w:rPr>
          <w:b/>
        </w:rPr>
        <w:t>$400,000/year in pure licensing revenue</w:t>
      </w:r>
    </w:p>
    <w:p>
      <w:pPr>
        <w:spacing w:after="120"/>
      </w:pPr>
      <w:r>
        <w:rPr>
          <w:b/>
        </w:rPr>
        <w:t>B2C Database Subscription (Secondary)</w:t>
      </w:r>
    </w:p>
    <w:p>
      <w:pPr>
        <w:pStyle w:val="ListBullet"/>
        <w:spacing w:after="40"/>
      </w:pPr>
      <w:r>
        <w:t>Consumer access to COA database, testing reports, vendor ratings</w:t>
      </w:r>
    </w:p>
    <w:p>
      <w:pPr>
        <w:pStyle w:val="ListBullet"/>
        <w:spacing w:after="40"/>
      </w:pPr>
      <w:r>
        <w:t>Pricing: $49–$99/year (ConsumerLab charges $69/year for supplement equivalent)</w:t>
      </w:r>
    </w:p>
    <w:p>
      <w:pPr>
        <w:pStyle w:val="ListBullet"/>
        <w:spacing w:after="40"/>
      </w:pPr>
      <w:r>
        <w:t>10,000 subscribers × $69/year = $690,000/year</w:t>
      </w:r>
    </w:p>
    <w:p>
      <w:pPr>
        <w:pStyle w:val="ListBullet"/>
        <w:spacing w:after="40"/>
      </w:pPr>
      <w:r>
        <w:t>50,000 subscribers × $69/year = $3.45M/year (3–5 year target)</w:t>
      </w:r>
    </w:p>
    <w:p>
      <w:pPr>
        <w:pStyle w:val="Heading3"/>
        <w:spacing w:before="160" w:after="80"/>
      </w:pPr>
      <w:r>
        <w:t>9.2 Total Addressable Market</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before="40" w:after="40"/>
            </w:pPr>
            <w:r>
              <w:rPr>
                <w:b/>
              </w:rPr>
            </w:r>
            <w:r>
              <w:rPr>
                <w:b/>
              </w:rPr>
              <w:t>Segment</w:t>
            </w:r>
          </w:p>
        </w:tc>
        <w:tc>
          <w:tcPr>
            <w:tcW w:type="dxa" w:w="3120"/>
          </w:tcPr>
          <w:p>
            <w:pPr>
              <w:spacing w:before="40" w:after="40"/>
            </w:pPr>
            <w:r>
              <w:rPr>
                <w:b/>
              </w:rPr>
            </w:r>
            <w:r>
              <w:rPr>
                <w:b/>
              </w:rPr>
              <w:t>Estimate</w:t>
            </w:r>
          </w:p>
        </w:tc>
        <w:tc>
          <w:tcPr>
            <w:tcW w:type="dxa" w:w="3120"/>
          </w:tcPr>
          <w:p>
            <w:pPr>
              <w:spacing w:before="40" w:after="40"/>
            </w:pPr>
            <w:r>
              <w:rPr>
                <w:b/>
              </w:rPr>
            </w:r>
            <w:r>
              <w:rPr>
                <w:b/>
              </w:rPr>
              <w:t>Calculation</w:t>
            </w:r>
          </w:p>
        </w:tc>
      </w:tr>
      <w:tr>
        <w:tc>
          <w:tcPr>
            <w:tcW w:type="dxa" w:w="3120"/>
          </w:tcPr>
          <w:p>
            <w:pPr>
              <w:spacing w:before="40" w:after="40"/>
            </w:pPr>
            <w:r/>
            <w:r>
              <w:t>B2B testing (conservative)</w:t>
            </w:r>
          </w:p>
        </w:tc>
        <w:tc>
          <w:tcPr>
            <w:tcW w:type="dxa" w:w="3120"/>
          </w:tcPr>
          <w:p>
            <w:pPr>
              <w:spacing w:before="40" w:after="40"/>
            </w:pPr>
            <w:r/>
            <w:r>
              <w:t>$12.5M/year</w:t>
            </w:r>
          </w:p>
        </w:tc>
        <w:tc>
          <w:tcPr>
            <w:tcW w:type="dxa" w:w="3120"/>
          </w:tcPr>
          <w:p>
            <w:pPr>
              <w:spacing w:before="40" w:after="40"/>
            </w:pPr>
            <w:r/>
            <w:r>
              <w:t>1,000 vendors × 25 SKUs × $500/COA annual recert</w:t>
            </w:r>
          </w:p>
        </w:tc>
      </w:tr>
      <w:tr>
        <w:tc>
          <w:tcPr>
            <w:tcW w:type="dxa" w:w="3120"/>
          </w:tcPr>
          <w:p>
            <w:pPr>
              <w:spacing w:before="40" w:after="40"/>
            </w:pPr>
            <w:r/>
            <w:r>
              <w:t>B2B testing (optimistic)</w:t>
            </w:r>
          </w:p>
        </w:tc>
        <w:tc>
          <w:tcPr>
            <w:tcW w:type="dxa" w:w="3120"/>
          </w:tcPr>
          <w:p>
            <w:pPr>
              <w:spacing w:before="40" w:after="40"/>
            </w:pPr>
            <w:r/>
            <w:r>
              <w:t>$50M/year</w:t>
            </w:r>
          </w:p>
        </w:tc>
        <w:tc>
          <w:tcPr>
            <w:tcW w:type="dxa" w:w="3120"/>
          </w:tcPr>
          <w:p>
            <w:pPr>
              <w:spacing w:before="40" w:after="40"/>
            </w:pPr>
            <w:r/>
            <w:r>
              <w:t>2,000 vendors × 50 SKUs × $500/COA</w:t>
            </w:r>
          </w:p>
        </w:tc>
      </w:tr>
      <w:tr>
        <w:tc>
          <w:tcPr>
            <w:tcW w:type="dxa" w:w="3120"/>
          </w:tcPr>
          <w:p>
            <w:pPr>
              <w:spacing w:before="40" w:after="40"/>
            </w:pPr>
            <w:r/>
            <w:r>
              <w:t>Seal licensing</w:t>
            </w:r>
          </w:p>
        </w:tc>
        <w:tc>
          <w:tcPr>
            <w:tcW w:type="dxa" w:w="3120"/>
          </w:tcPr>
          <w:p>
            <w:pPr>
              <w:spacing w:before="40" w:after="40"/>
            </w:pPr>
            <w:r/>
            <w:r>
              <w:t>$1.5M–$6M/year</w:t>
            </w:r>
          </w:p>
        </w:tc>
        <w:tc>
          <w:tcPr>
            <w:tcW w:type="dxa" w:w="3120"/>
          </w:tcPr>
          <w:p>
            <w:pPr>
              <w:spacing w:before="40" w:after="40"/>
            </w:pPr>
            <w:r/>
            <w:r>
              <w:t>500–2,000 certified vendors × $1,500–$3,000/year</w:t>
            </w:r>
          </w:p>
        </w:tc>
      </w:tr>
      <w:tr>
        <w:tc>
          <w:tcPr>
            <w:tcW w:type="dxa" w:w="3120"/>
          </w:tcPr>
          <w:p>
            <w:pPr>
              <w:spacing w:before="40" w:after="40"/>
            </w:pPr>
            <w:r/>
            <w:r>
              <w:t>B2C subscriptions</w:t>
            </w:r>
          </w:p>
        </w:tc>
        <w:tc>
          <w:tcPr>
            <w:tcW w:type="dxa" w:w="3120"/>
          </w:tcPr>
          <w:p>
            <w:pPr>
              <w:spacing w:before="40" w:after="40"/>
            </w:pPr>
            <w:r/>
            <w:r>
              <w:t>$3M–$15M/year</w:t>
            </w:r>
          </w:p>
        </w:tc>
        <w:tc>
          <w:tcPr>
            <w:tcW w:type="dxa" w:w="3120"/>
          </w:tcPr>
          <w:p>
            <w:pPr>
              <w:spacing w:before="40" w:after="40"/>
            </w:pPr>
            <w:r/>
            <w:r>
              <w:t>50,000–200,000 subscribers × $69/year</w:t>
            </w:r>
          </w:p>
        </w:tc>
      </w:tr>
      <w:tr>
        <w:tc>
          <w:tcPr>
            <w:tcW w:type="dxa" w:w="3120"/>
          </w:tcPr>
          <w:p>
            <w:pPr>
              <w:spacing w:before="40" w:after="40"/>
            </w:pPr>
            <w:r/>
            <w:r>
              <w:rPr>
                <w:b/>
              </w:rPr>
              <w:t>Combined TAM</w:t>
            </w:r>
          </w:p>
        </w:tc>
        <w:tc>
          <w:tcPr>
            <w:tcW w:type="dxa" w:w="3120"/>
          </w:tcPr>
          <w:p>
            <w:pPr>
              <w:spacing w:before="40" w:after="40"/>
            </w:pPr>
            <w:r/>
            <w:r>
              <w:rPr>
                <w:b/>
              </w:rPr>
              <w:t>$17M–$71M/year</w:t>
            </w:r>
          </w:p>
        </w:tc>
        <w:tc>
          <w:tcPr>
            <w:tcW w:type="dxa" w:w="3120"/>
          </w:tcPr>
          <w:p>
            <w:pPr>
              <w:spacing w:before="40" w:after="40"/>
            </w:pPr>
            <w:r/>
            <w:r>
              <w:t>—</w:t>
            </w:r>
          </w:p>
        </w:tc>
      </w:tr>
    </w:tbl>
    <w:p/>
    <w:p>
      <w:pPr>
        <w:spacing w:after="120"/>
      </w:pPr>
      <w:r>
        <w:t xml:space="preserve">Even capturing 10% of the conservative TAM = </w:t>
      </w:r>
      <w:r>
        <w:rPr>
          <w:b/>
        </w:rPr>
        <w:t>$1.7M/year</w:t>
      </w:r>
      <w:r>
        <w:t>. This is achievable within Year 2.</w:t>
      </w:r>
    </w:p>
    <w:p>
      <w:pPr>
        <w:pStyle w:val="Heading3"/>
        <w:spacing w:before="160" w:after="80"/>
      </w:pPr>
      <w:r>
        <w:t>9.3 5-Year Revenue Projections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before="40" w:after="40"/>
            </w:pPr>
            <w:r>
              <w:rPr>
                <w:b/>
              </w:rPr>
            </w:r>
            <w:r>
              <w:rPr>
                <w:b/>
              </w:rPr>
              <w:t>Year</w:t>
            </w:r>
          </w:p>
        </w:tc>
        <w:tc>
          <w:tcPr>
            <w:tcW w:type="dxa" w:w="1337"/>
          </w:tcPr>
          <w:p>
            <w:pPr>
              <w:spacing w:before="40" w:after="40"/>
            </w:pPr>
            <w:r>
              <w:rPr>
                <w:b/>
              </w:rPr>
            </w:r>
            <w:r>
              <w:rPr>
                <w:b/>
              </w:rPr>
              <w:t>Model</w:t>
            </w:r>
          </w:p>
        </w:tc>
        <w:tc>
          <w:tcPr>
            <w:tcW w:type="dxa" w:w="1337"/>
          </w:tcPr>
          <w:p>
            <w:pPr>
              <w:spacing w:before="40" w:after="40"/>
            </w:pPr>
            <w:r>
              <w:rPr>
                <w:b/>
              </w:rPr>
            </w:r>
            <w:r>
              <w:rPr>
                <w:b/>
              </w:rPr>
              <w:t>Monthly COAs</w:t>
            </w:r>
          </w:p>
        </w:tc>
        <w:tc>
          <w:tcPr>
            <w:tcW w:type="dxa" w:w="1337"/>
          </w:tcPr>
          <w:p>
            <w:pPr>
              <w:spacing w:before="40" w:after="40"/>
            </w:pPr>
            <w:r>
              <w:rPr>
                <w:b/>
              </w:rPr>
            </w:r>
            <w:r>
              <w:rPr>
                <w:b/>
              </w:rPr>
              <w:t>Annual Testing Revenue</w:t>
            </w:r>
          </w:p>
        </w:tc>
        <w:tc>
          <w:tcPr>
            <w:tcW w:type="dxa" w:w="1337"/>
          </w:tcPr>
          <w:p>
            <w:pPr>
              <w:spacing w:before="40" w:after="40"/>
            </w:pPr>
            <w:r>
              <w:rPr>
                <w:b/>
              </w:rPr>
            </w:r>
            <w:r>
              <w:rPr>
                <w:b/>
              </w:rPr>
              <w:t>Seal Licensing</w:t>
            </w:r>
          </w:p>
        </w:tc>
        <w:tc>
          <w:tcPr>
            <w:tcW w:type="dxa" w:w="1337"/>
          </w:tcPr>
          <w:p>
            <w:pPr>
              <w:spacing w:before="40" w:after="40"/>
            </w:pPr>
            <w:r>
              <w:rPr>
                <w:b/>
              </w:rPr>
            </w:r>
            <w:r>
              <w:rPr>
                <w:b/>
              </w:rPr>
              <w:t>B2C Subscriptions</w:t>
            </w:r>
          </w:p>
        </w:tc>
        <w:tc>
          <w:tcPr>
            <w:tcW w:type="dxa" w:w="1337"/>
          </w:tcPr>
          <w:p>
            <w:pPr>
              <w:spacing w:before="40" w:after="40"/>
            </w:pPr>
            <w:r>
              <w:rPr>
                <w:b/>
              </w:rPr>
            </w:r>
            <w:r>
              <w:rPr>
                <w:b/>
              </w:rPr>
              <w:t>Total Revenue</w:t>
            </w:r>
          </w:p>
        </w:tc>
      </w:tr>
      <w:tr>
        <w:tc>
          <w:tcPr>
            <w:tcW w:type="dxa" w:w="1337"/>
          </w:tcPr>
          <w:p>
            <w:pPr>
              <w:spacing w:before="40" w:after="40"/>
            </w:pPr>
            <w:r/>
            <w:r>
              <w:t>Y1</w:t>
            </w:r>
          </w:p>
        </w:tc>
        <w:tc>
          <w:tcPr>
            <w:tcW w:type="dxa" w:w="1337"/>
          </w:tcPr>
          <w:p>
            <w:pPr>
              <w:spacing w:before="40" w:after="40"/>
            </w:pPr>
            <w:r/>
            <w:r>
              <w:t>White-label</w:t>
            </w:r>
          </w:p>
        </w:tc>
        <w:tc>
          <w:tcPr>
            <w:tcW w:type="dxa" w:w="1337"/>
          </w:tcPr>
          <w:p>
            <w:pPr>
              <w:spacing w:before="40" w:after="40"/>
            </w:pPr>
            <w:r/>
            <w:r>
              <w:t>50→150/mo</w:t>
            </w:r>
          </w:p>
        </w:tc>
        <w:tc>
          <w:tcPr>
            <w:tcW w:type="dxa" w:w="1337"/>
          </w:tcPr>
          <w:p>
            <w:pPr>
              <w:spacing w:before="40" w:after="40"/>
            </w:pPr>
            <w:r/>
            <w:r>
              <w:t>$150,000–$540,000</w:t>
            </w:r>
          </w:p>
        </w:tc>
        <w:tc>
          <w:tcPr>
            <w:tcW w:type="dxa" w:w="1337"/>
          </w:tcPr>
          <w:p>
            <w:pPr>
              <w:spacing w:before="40" w:after="40"/>
            </w:pPr>
            <w:r/>
            <w:r>
              <w:t>$0</w:t>
            </w:r>
          </w:p>
        </w:tc>
        <w:tc>
          <w:tcPr>
            <w:tcW w:type="dxa" w:w="1337"/>
          </w:tcPr>
          <w:p>
            <w:pPr>
              <w:spacing w:before="40" w:after="40"/>
            </w:pPr>
            <w:r/>
            <w:r>
              <w:t>$0</w:t>
            </w:r>
          </w:p>
        </w:tc>
        <w:tc>
          <w:tcPr>
            <w:tcW w:type="dxa" w:w="1337"/>
          </w:tcPr>
          <w:p>
            <w:pPr>
              <w:spacing w:before="40" w:after="40"/>
            </w:pPr>
            <w:r/>
            <w:r>
              <w:rPr>
                <w:b/>
              </w:rPr>
              <w:t>$150K–$540K</w:t>
            </w:r>
          </w:p>
        </w:tc>
      </w:tr>
      <w:tr>
        <w:tc>
          <w:tcPr>
            <w:tcW w:type="dxa" w:w="1337"/>
          </w:tcPr>
          <w:p>
            <w:pPr>
              <w:spacing w:before="40" w:after="40"/>
            </w:pPr>
            <w:r/>
            <w:r>
              <w:t>Y2</w:t>
            </w:r>
          </w:p>
        </w:tc>
        <w:tc>
          <w:tcPr>
            <w:tcW w:type="dxa" w:w="1337"/>
          </w:tcPr>
          <w:p>
            <w:pPr>
              <w:spacing w:before="40" w:after="40"/>
            </w:pPr>
            <w:r/>
            <w:r>
              <w:t>White-label + ISO</w:t>
            </w:r>
          </w:p>
        </w:tc>
        <w:tc>
          <w:tcPr>
            <w:tcW w:type="dxa" w:w="1337"/>
          </w:tcPr>
          <w:p>
            <w:pPr>
              <w:spacing w:before="40" w:after="40"/>
            </w:pPr>
            <w:r/>
            <w:r>
              <w:t>150→300/mo</w:t>
            </w:r>
          </w:p>
        </w:tc>
        <w:tc>
          <w:tcPr>
            <w:tcW w:type="dxa" w:w="1337"/>
          </w:tcPr>
          <w:p>
            <w:pPr>
              <w:spacing w:before="40" w:after="40"/>
            </w:pPr>
            <w:r/>
            <w:r>
              <w:t>$540,000–$1,080,000</w:t>
            </w:r>
          </w:p>
        </w:tc>
        <w:tc>
          <w:tcPr>
            <w:tcW w:type="dxa" w:w="1337"/>
          </w:tcPr>
          <w:p>
            <w:pPr>
              <w:spacing w:before="40" w:after="40"/>
            </w:pPr>
            <w:r/>
            <w:r>
              <w:t>$50,000</w:t>
            </w:r>
          </w:p>
        </w:tc>
        <w:tc>
          <w:tcPr>
            <w:tcW w:type="dxa" w:w="1337"/>
          </w:tcPr>
          <w:p>
            <w:pPr>
              <w:spacing w:before="40" w:after="40"/>
            </w:pPr>
            <w:r/>
            <w:r>
              <w:t>$50,000</w:t>
            </w:r>
          </w:p>
        </w:tc>
        <w:tc>
          <w:tcPr>
            <w:tcW w:type="dxa" w:w="1337"/>
          </w:tcPr>
          <w:p>
            <w:pPr>
              <w:spacing w:before="40" w:after="40"/>
            </w:pPr>
            <w:r/>
            <w:r>
              <w:rPr>
                <w:b/>
              </w:rPr>
              <w:t>$640K–$1.18M</w:t>
            </w:r>
          </w:p>
        </w:tc>
      </w:tr>
      <w:tr>
        <w:tc>
          <w:tcPr>
            <w:tcW w:type="dxa" w:w="1337"/>
          </w:tcPr>
          <w:p>
            <w:pPr>
              <w:spacing w:before="40" w:after="40"/>
            </w:pPr>
            <w:r/>
            <w:r>
              <w:t>Y3</w:t>
            </w:r>
          </w:p>
        </w:tc>
        <w:tc>
          <w:tcPr>
            <w:tcW w:type="dxa" w:w="1337"/>
          </w:tcPr>
          <w:p>
            <w:pPr>
              <w:spacing w:before="40" w:after="40"/>
            </w:pPr>
            <w:r/>
            <w:r>
              <w:t>Hybrid (partial in-house)</w:t>
            </w:r>
          </w:p>
        </w:tc>
        <w:tc>
          <w:tcPr>
            <w:tcW w:type="dxa" w:w="1337"/>
          </w:tcPr>
          <w:p>
            <w:pPr>
              <w:spacing w:before="40" w:after="40"/>
            </w:pPr>
            <w:r/>
            <w:r>
              <w:t>300→500/mo</w:t>
            </w:r>
          </w:p>
        </w:tc>
        <w:tc>
          <w:tcPr>
            <w:tcW w:type="dxa" w:w="1337"/>
          </w:tcPr>
          <w:p>
            <w:pPr>
              <w:spacing w:before="40" w:after="40"/>
            </w:pPr>
            <w:r/>
            <w:r>
              <w:t>$1,080,000–$2,400,000</w:t>
            </w:r>
          </w:p>
        </w:tc>
        <w:tc>
          <w:tcPr>
            <w:tcW w:type="dxa" w:w="1337"/>
          </w:tcPr>
          <w:p>
            <w:pPr>
              <w:spacing w:before="40" w:after="40"/>
            </w:pPr>
            <w:r/>
            <w:r>
              <w:t>$200,000</w:t>
            </w:r>
          </w:p>
        </w:tc>
        <w:tc>
          <w:tcPr>
            <w:tcW w:type="dxa" w:w="1337"/>
          </w:tcPr>
          <w:p>
            <w:pPr>
              <w:spacing w:before="40" w:after="40"/>
            </w:pPr>
            <w:r/>
            <w:r>
              <w:t>$150,000</w:t>
            </w:r>
          </w:p>
        </w:tc>
        <w:tc>
          <w:tcPr>
            <w:tcW w:type="dxa" w:w="1337"/>
          </w:tcPr>
          <w:p>
            <w:pPr>
              <w:spacing w:before="40" w:after="40"/>
            </w:pPr>
            <w:r/>
            <w:r>
              <w:rPr>
                <w:b/>
              </w:rPr>
              <w:t>$1.43M–$2.75M</w:t>
            </w:r>
          </w:p>
        </w:tc>
      </w:tr>
      <w:tr>
        <w:tc>
          <w:tcPr>
            <w:tcW w:type="dxa" w:w="1337"/>
          </w:tcPr>
          <w:p>
            <w:pPr>
              <w:spacing w:before="40" w:after="40"/>
            </w:pPr>
            <w:r/>
            <w:r>
              <w:t>Y4</w:t>
            </w:r>
          </w:p>
        </w:tc>
        <w:tc>
          <w:tcPr>
            <w:tcW w:type="dxa" w:w="1337"/>
          </w:tcPr>
          <w:p>
            <w:pPr>
              <w:spacing w:before="40" w:after="40"/>
            </w:pPr>
            <w:r/>
            <w:r>
              <w:t>In-house + seal launch</w:t>
            </w:r>
          </w:p>
        </w:tc>
        <w:tc>
          <w:tcPr>
            <w:tcW w:type="dxa" w:w="1337"/>
          </w:tcPr>
          <w:p>
            <w:pPr>
              <w:spacing w:before="40" w:after="40"/>
            </w:pPr>
            <w:r/>
            <w:r>
              <w:t>500→800/mo</w:t>
            </w:r>
          </w:p>
        </w:tc>
        <w:tc>
          <w:tcPr>
            <w:tcW w:type="dxa" w:w="1337"/>
          </w:tcPr>
          <w:p>
            <w:pPr>
              <w:spacing w:before="40" w:after="40"/>
            </w:pPr>
            <w:r/>
            <w:r>
              <w:t>$2,400,000–$4,800,000</w:t>
            </w:r>
          </w:p>
        </w:tc>
        <w:tc>
          <w:tcPr>
            <w:tcW w:type="dxa" w:w="1337"/>
          </w:tcPr>
          <w:p>
            <w:pPr>
              <w:spacing w:before="40" w:after="40"/>
            </w:pPr>
            <w:r/>
            <w:r>
              <w:t>$500,000</w:t>
            </w:r>
          </w:p>
        </w:tc>
        <w:tc>
          <w:tcPr>
            <w:tcW w:type="dxa" w:w="1337"/>
          </w:tcPr>
          <w:p>
            <w:pPr>
              <w:spacing w:before="40" w:after="40"/>
            </w:pPr>
            <w:r/>
            <w:r>
              <w:t>$350,000</w:t>
            </w:r>
          </w:p>
        </w:tc>
        <w:tc>
          <w:tcPr>
            <w:tcW w:type="dxa" w:w="1337"/>
          </w:tcPr>
          <w:p>
            <w:pPr>
              <w:spacing w:before="40" w:after="40"/>
            </w:pPr>
            <w:r/>
            <w:r>
              <w:rPr>
                <w:b/>
              </w:rPr>
              <w:t>$3.25M–$5.65M</w:t>
            </w:r>
          </w:p>
        </w:tc>
      </w:tr>
      <w:tr>
        <w:tc>
          <w:tcPr>
            <w:tcW w:type="dxa" w:w="1337"/>
          </w:tcPr>
          <w:p>
            <w:pPr>
              <w:spacing w:before="40" w:after="40"/>
            </w:pPr>
            <w:r/>
            <w:r>
              <w:t>Y5</w:t>
            </w:r>
          </w:p>
        </w:tc>
        <w:tc>
          <w:tcPr>
            <w:tcW w:type="dxa" w:w="1337"/>
          </w:tcPr>
          <w:p>
            <w:pPr>
              <w:spacing w:before="40" w:after="40"/>
            </w:pPr>
            <w:r/>
            <w:r>
              <w:t>Full certification body</w:t>
            </w:r>
          </w:p>
        </w:tc>
        <w:tc>
          <w:tcPr>
            <w:tcW w:type="dxa" w:w="1337"/>
          </w:tcPr>
          <w:p>
            <w:pPr>
              <w:spacing w:before="40" w:after="40"/>
            </w:pPr>
            <w:r/>
            <w:r>
              <w:t>800–1,200/mo</w:t>
            </w:r>
          </w:p>
        </w:tc>
        <w:tc>
          <w:tcPr>
            <w:tcW w:type="dxa" w:w="1337"/>
          </w:tcPr>
          <w:p>
            <w:pPr>
              <w:spacing w:before="40" w:after="40"/>
            </w:pPr>
            <w:r/>
            <w:r>
              <w:t>$4,800,000–$7,200,000</w:t>
            </w:r>
          </w:p>
        </w:tc>
        <w:tc>
          <w:tcPr>
            <w:tcW w:type="dxa" w:w="1337"/>
          </w:tcPr>
          <w:p>
            <w:pPr>
              <w:spacing w:before="40" w:after="40"/>
            </w:pPr>
            <w:r/>
            <w:r>
              <w:t>$1,000,000</w:t>
            </w:r>
          </w:p>
        </w:tc>
        <w:tc>
          <w:tcPr>
            <w:tcW w:type="dxa" w:w="1337"/>
          </w:tcPr>
          <w:p>
            <w:pPr>
              <w:spacing w:before="40" w:after="40"/>
            </w:pPr>
            <w:r/>
            <w:r>
              <w:t>$700,000</w:t>
            </w:r>
          </w:p>
        </w:tc>
        <w:tc>
          <w:tcPr>
            <w:tcW w:type="dxa" w:w="1337"/>
          </w:tcPr>
          <w:p>
            <w:pPr>
              <w:spacing w:before="40" w:after="40"/>
            </w:pPr>
            <w:r/>
            <w:r>
              <w:rPr>
                <w:b/>
              </w:rPr>
              <w:t>$6.5M–$8.9M</w:t>
            </w:r>
          </w:p>
        </w:tc>
      </w:tr>
    </w:tbl>
    <w:p/>
    <w:p>
      <w:pPr>
        <w:spacing w:after="120"/>
      </w:pPr>
      <w:r>
        <w:rPr>
          <w:i/>
        </w:rPr>
        <w:t>Assumptions: Average COA value $300 (blended across tiers); margins improve from ~40% (Y1 outsourced) to ~80% (Y5 in-house). These are illustrative; actual results will vary.</w:t>
      </w:r>
    </w:p>
    <w:p>
      <w:pPr>
        <w:pStyle w:val="Heading3"/>
        <w:spacing w:before="160" w:after="80"/>
      </w:pPr>
      <w:r>
        <w:t>9.4 Break-Even Analysis</w:t>
      </w:r>
    </w:p>
    <w:p>
      <w:pPr>
        <w:spacing w:after="120"/>
      </w:pPr>
      <w:r>
        <w:rPr>
          <w:b/>
        </w:rPr>
        <w:t>Phase 1 (White-Label Model):</w:t>
      </w:r>
    </w:p>
    <w:p>
      <w:pPr>
        <w:pStyle w:val="ListBullet"/>
        <w:spacing w:after="40"/>
      </w:pPr>
      <w:r>
        <w:t>Fixed monthly costs: ~$25,000–$40,000 (staff, tech, marketing, ops)</w:t>
      </w:r>
    </w:p>
    <w:p>
      <w:pPr>
        <w:pStyle w:val="ListBullet"/>
        <w:spacing w:after="40"/>
      </w:pPr>
      <w:r>
        <w:t>Gross margin per COA: ~$200 (standard tier, outsourced)</w:t>
      </w:r>
    </w:p>
    <w:p>
      <w:pPr>
        <w:pStyle w:val="ListBullet"/>
        <w:spacing w:after="40"/>
      </w:pPr>
      <w:r>
        <w:t xml:space="preserve">Break-even volume: </w:t>
      </w:r>
      <w:r>
        <w:rPr>
          <w:b/>
        </w:rPr>
        <w:t>125–200 COAs/month</w:t>
      </w:r>
    </w:p>
    <w:p>
      <w:pPr>
        <w:pStyle w:val="ListBullet"/>
        <w:spacing w:after="40"/>
      </w:pPr>
      <w:r>
        <w:t xml:space="preserve">At realistic ramp (50 COAs/Month 1, doubling every 2 months): break-even at </w:t>
      </w:r>
      <w:r>
        <w:rPr>
          <w:b/>
        </w:rPr>
        <w:t>Month 8–10</w:t>
      </w:r>
    </w:p>
    <w:p>
      <w:pPr>
        <w:spacing w:after="120"/>
      </w:pPr>
      <w:r>
        <w:rPr>
          <w:b/>
        </w:rPr>
        <w:t>Phase 3 (In-House Lab):</w:t>
      </w:r>
    </w:p>
    <w:p>
      <w:pPr>
        <w:pStyle w:val="ListBullet"/>
        <w:spacing w:after="40"/>
      </w:pPr>
      <w:r>
        <w:t>Fixed monthly costs: ~$55,000–$70,000 (payroll + rent + equipment amortized)</w:t>
      </w:r>
    </w:p>
    <w:p>
      <w:pPr>
        <w:pStyle w:val="ListBullet"/>
        <w:spacing w:after="40"/>
      </w:pPr>
      <w:r>
        <w:t>Gross margin per COA: ~$420 (standard tier, in-house)</w:t>
      </w:r>
    </w:p>
    <w:p>
      <w:pPr>
        <w:pStyle w:val="ListBullet"/>
        <w:spacing w:after="40"/>
      </w:pPr>
      <w:r>
        <w:t xml:space="preserve">Break-even volume: </w:t>
      </w:r>
      <w:r>
        <w:rPr>
          <w:b/>
        </w:rPr>
        <w:t>130–165 COAs/month</w:t>
      </w:r>
    </w:p>
    <w:p>
      <w:pPr>
        <w:pStyle w:val="ListBullet"/>
        <w:spacing w:after="40"/>
      </w:pPr>
      <w:r>
        <w:t>This volume should already be exceeded before in-house lab launch</w:t>
      </w:r>
    </w:p>
    <w:p>
      <w:pPr>
        <w:spacing w:before="120" w:after="120"/>
        <w:pBdr>
          <w:bottom w:val="single" w:sz="6" w:space="1" w:color="AAAAAA"/>
        </w:pBdr>
      </w:pPr>
    </w:p>
    <w:p>
      <w:pPr>
        <w:pStyle w:val="Heading2"/>
        <w:spacing w:before="240" w:after="80"/>
      </w:pPr>
      <w:r>
        <w:t>Section 10: How to Become the NSF of Peptides</w:t>
      </w:r>
    </w:p>
    <w:p>
      <w:pPr>
        <w:pStyle w:val="Heading3"/>
        <w:spacing w:before="160" w:after="80"/>
      </w:pPr>
      <w:r>
        <w:t>10.1 Case Studies: NSF, Informed Sport, ConsumerLab, UL</w:t>
      </w:r>
    </w:p>
    <w:p>
      <w:pPr>
        <w:spacing w:after="120"/>
      </w:pPr>
      <w:r>
        <w:rPr>
          <w:b/>
        </w:rPr>
        <w:t>NSF International (founded 1944; entered supplements 2001)</w:t>
      </w:r>
    </w:p>
    <w:p>
      <w:pPr>
        <w:spacing w:after="120"/>
      </w:pPr>
      <w:r>
        <w:t>NSF is the most relevant analog. Before NSF's supplement program, the supplement industry had the same problem peptides have today: no trusted independent certification, rampant quality failures, consumer confusion.</w:t>
      </w:r>
    </w:p>
    <w:p>
      <w:pPr>
        <w:spacing w:after="120"/>
      </w:pPr>
      <w:r>
        <w:t xml:space="preserve">NSF's breakthrough: </w:t>
      </w:r>
      <w:r>
        <w:rPr>
          <w:b/>
        </w:rPr>
        <w:t>two strategic partnerships in 2003–2004.</w:t>
      </w:r>
    </w:p>
    <w:p>
      <w:pPr>
        <w:pStyle w:val="ListNumber"/>
        <w:spacing w:after="40"/>
      </w:pPr>
      <w:r>
        <w:rPr>
          <w:b/>
        </w:rPr>
        <w:t>GNC</w:t>
      </w:r>
      <w:r>
        <w:t xml:space="preserve"> signed a certification agreement with NSF in December 2003 — the largest US supplement retailer requiring NSF certification for its house brands immediately made the mark visible to millions of consumers</w:t>
      </w:r>
    </w:p>
    <w:p>
      <w:pPr>
        <w:pStyle w:val="ListNumber"/>
        <w:spacing w:after="40"/>
      </w:pPr>
      <w:r>
        <w:rPr>
          <w:b/>
        </w:rPr>
        <w:t>The NFL</w:t>
      </w:r>
      <w:r>
        <w:t xml:space="preserve"> partnered with NSF in January 2004 for its "Certified for Sport" program — professional athletes needing to avoid banned substances drove demand across professional and elite amateur sports</w:t>
      </w:r>
    </w:p>
    <w:p>
      <w:pPr>
        <w:spacing w:after="120"/>
      </w:pPr>
      <w:r>
        <w:t>These two partnerships created network effects. Once GNC and the NFL required NSF, every serious supplement company followed to maintain market access. NSF grew from $5 million revenue to a $7 billion IPO valuation.</w:t>
      </w:r>
    </w:p>
    <w:p>
      <w:pPr>
        <w:spacing w:after="120"/>
      </w:pPr>
      <w:r>
        <w:rPr>
          <w:b/>
        </w:rPr>
        <w:t>The lesson:</w:t>
      </w:r>
      <w:r>
        <w:t xml:space="preserve"> One or two high-profile early partnerships with brands that have credibility with your target audience are worth more than years of organic growth. For peptides, the equivalent would be partnering with 2–3 of the most respected vendors in the community (the brands that r/Peptides users consistently recommend), getting their endorsement, and letting the community see their products carrying your seal.</w:t>
      </w:r>
    </w:p>
    <w:p>
      <w:pPr>
        <w:spacing w:after="120"/>
      </w:pPr>
      <w:r>
        <w:rPr>
          <w:b/>
        </w:rPr>
        <w:t>Informed Sport (LGC Group, founded 2008)</w:t>
      </w:r>
    </w:p>
    <w:p>
      <w:pPr>
        <w:spacing w:after="120"/>
      </w:pPr>
      <w:r>
        <w:t xml:space="preserve">Informed Sport operates on a rigorous four-stage model: product and manufacturing review, pre-certification testing (minimum 3 samples), facility audits, and </w:t>
      </w:r>
      <w:r>
        <w:rPr>
          <w:b/>
        </w:rPr>
        <w:t>monthly blind batch testing after certification.</w:t>
      </w:r>
      <w:r>
        <w:t xml:space="preserve"> The ongoing testing requirement is key — it means the certification is not a one-time event but a continuous compliance program.</w:t>
      </w:r>
    </w:p>
    <w:p>
      <w:pPr>
        <w:spacing w:after="120"/>
      </w:pPr>
      <w:r>
        <w:t>Result: 25,000+ samples tested annually, 3,000+ certified products, sold in 127 countries. Revenue model: per-batch testing fees + annual facility audit fees + seal licensing.</w:t>
      </w:r>
    </w:p>
    <w:p>
      <w:pPr>
        <w:spacing w:after="120"/>
      </w:pPr>
      <w:r>
        <w:rPr>
          <w:b/>
        </w:rPr>
        <w:t>The lesson for peptides:</w:t>
      </w:r>
      <w:r>
        <w:t xml:space="preserve"> Ongoing/recurring testing is the right model, not one-time COAs. A vendor pays once for a single COA; they pay annually (or per-batch) for a certification program. Recurring revenue is better unit economics and higher switching cost.</w:t>
      </w:r>
    </w:p>
    <w:p>
      <w:pPr>
        <w:spacing w:after="120"/>
      </w:pPr>
      <w:r>
        <w:rPr>
          <w:b/>
        </w:rPr>
        <w:t>ConsumerLab (founded 1999)</w:t>
      </w:r>
    </w:p>
    <w:p>
      <w:pPr>
        <w:spacing w:after="120"/>
      </w:pPr>
      <w:r>
        <w:t>ConsumerLab is the B2C complement to NSF's B2B model. They purchase products at retail, test them independently (no manufacturer involvement), and publish results behind a subscription paywall ($69/year). They do NOT accept payment from manufacturers for testing — the model is journalism, not certification.</w:t>
      </w:r>
    </w:p>
    <w:p>
      <w:pPr>
        <w:spacing w:after="120"/>
      </w:pPr>
      <w:r>
        <w:t>Results: Over 100,000 products in their database; a recognized brand in the supplement space.</w:t>
      </w:r>
    </w:p>
    <w:p>
      <w:pPr>
        <w:spacing w:after="120"/>
      </w:pPr>
      <w:r>
        <w:rPr>
          <w:b/>
        </w:rPr>
        <w:t>The lesson:</w:t>
      </w:r>
      <w:r>
        <w:t xml:space="preserve"> A B2C consumer subscription alongside the B2B testing business is a natural second revenue stream. Subscribers pay for access to the COA database; vendors pay for the testing that populates it. The subscription fee signals consumer-side demand, which creates vendor-side urgency to get certified.</w:t>
      </w:r>
    </w:p>
    <w:p>
      <w:pPr>
        <w:spacing w:after="120"/>
      </w:pPr>
      <w:r>
        <w:rPr>
          <w:b/>
        </w:rPr>
        <w:t>UL (Underwriters Laboratories, founded 1894)</w:t>
      </w:r>
    </w:p>
    <w:p>
      <w:pPr>
        <w:spacing w:after="120"/>
      </w:pPr>
      <w:r>
        <w:t>UL became the mandatory safety certification for electrical equipment through a combination of early utility company partnerships and insurance industry requirements. By 1920, major US utilities and insurance companies refused to connect or insure electrical equipment without the UL mark.</w:t>
      </w:r>
    </w:p>
    <w:p>
      <w:pPr>
        <w:spacing w:after="120"/>
      </w:pPr>
      <w:r>
        <w:rPr>
          <w:b/>
        </w:rPr>
        <w:t>The lesson:</w:t>
      </w:r>
      <w:r>
        <w:t xml:space="preserve"> In the long run, make your certification effectively required — either through regulatory mandate (the FDA may eventually require COA standards for compounded peptides) or through market pressure (major peptide platforms, telehealth providers, clinics require your seal before stocking vendors).</w:t>
      </w:r>
    </w:p>
    <w:p>
      <w:pPr>
        <w:pStyle w:val="Heading3"/>
        <w:spacing w:before="160" w:after="80"/>
      </w:pPr>
      <w:r>
        <w:t>10.2 Network Effects and Critical Mass</w:t>
      </w:r>
    </w:p>
    <w:p>
      <w:pPr>
        <w:spacing w:after="120"/>
      </w:pPr>
      <w:r>
        <w:t>Certification brands are network effect businesses: the seal becomes more valuable as more vendors use it, because buyers learn to look for it. This creates a virtuous cycle:</w:t>
      </w:r>
    </w:p>
    <w:p>
      <w:pPr>
        <w:pStyle w:val="ListNumber"/>
        <w:spacing w:after="40"/>
      </w:pPr>
      <w:r>
        <w:t>First 10 certified vendors: buyers become aware of the seal</w:t>
      </w:r>
    </w:p>
    <w:p>
      <w:pPr>
        <w:pStyle w:val="ListNumber"/>
        <w:spacing w:after="40"/>
      </w:pPr>
      <w:r>
        <w:t>First 50 certified vendors: buyers start filtering for certified products</w:t>
      </w:r>
    </w:p>
    <w:p>
      <w:pPr>
        <w:pStyle w:val="ListNumber"/>
        <w:spacing w:after="40"/>
      </w:pPr>
      <w:r>
        <w:t>First 200 certified vendors: uncertified vendors start losing customers to certified ones</w:t>
      </w:r>
    </w:p>
    <w:p>
      <w:pPr>
        <w:pStyle w:val="ListNumber"/>
        <w:spacing w:after="40"/>
      </w:pPr>
      <w:r>
        <w:t>500+ certified vendors: the seal is the de facto industry standard</w:t>
      </w:r>
    </w:p>
    <w:p>
      <w:pPr>
        <w:spacing w:after="120"/>
      </w:pPr>
      <w:r>
        <w:rPr>
          <w:b/>
        </w:rPr>
        <w:t>The critical threshold is the first 50 certified vendors.</w:t>
      </w:r>
      <w:r>
        <w:t xml:space="preserve"> Get 50 real, respected vendors to display your seal, and the market starts working for you rather than against you.</w:t>
      </w:r>
    </w:p>
    <w:p>
      <w:pPr>
        <w:pStyle w:val="Heading3"/>
        <w:spacing w:before="160" w:after="80"/>
      </w:pPr>
      <w:r>
        <w:t>10.3 The Early Adopter Partnership Strategy</w:t>
      </w:r>
    </w:p>
    <w:p>
      <w:pPr>
        <w:spacing w:after="120"/>
      </w:pPr>
      <w:r>
        <w:rPr>
          <w:b/>
        </w:rPr>
        <w:t>Target vendors for partnership outreach (Year 1):</w:t>
      </w:r>
    </w:p>
    <w:p>
      <w:pPr>
        <w:pStyle w:val="ListBullet"/>
        <w:spacing w:after="40"/>
      </w:pPr>
      <w:r>
        <w:t>Focus on the 10–20 vendors that are consistently recommended on r/Peptides, r/PeptidesResearch, and by Finnrick</w:t>
      </w:r>
    </w:p>
    <w:p>
      <w:pPr>
        <w:pStyle w:val="ListBullet"/>
        <w:spacing w:after="40"/>
      </w:pPr>
      <w:r>
        <w:t>These vendors already care about quality (they're the ones getting third-party tested now)</w:t>
      </w:r>
    </w:p>
    <w:p>
      <w:pPr>
        <w:pStyle w:val="ListBullet"/>
        <w:spacing w:after="40"/>
      </w:pPr>
      <w:r>
        <w:t>Offer: first 12 months at cost (you test their top 10 products at your cost price) in exchange for being listed as "Founding Certified Vendors"</w:t>
      </w:r>
    </w:p>
    <w:p>
      <w:pPr>
        <w:pStyle w:val="ListBullet"/>
        <w:spacing w:after="40"/>
      </w:pPr>
      <w:r>
        <w:t>Deliverable: public COAs on your database, QR codes they can display on their product pages</w:t>
      </w:r>
    </w:p>
    <w:p>
      <w:pPr>
        <w:spacing w:after="120"/>
      </w:pPr>
      <w:r>
        <w:rPr>
          <w:b/>
        </w:rPr>
        <w:t>Community integration:</w:t>
      </w:r>
    </w:p>
    <w:p>
      <w:pPr>
        <w:pStyle w:val="ListBullet"/>
        <w:spacing w:after="40"/>
      </w:pPr>
      <w:r>
        <w:t>Build genuine reputation in the forums before selling anything</w:t>
      </w:r>
    </w:p>
    <w:p>
      <w:pPr>
        <w:pStyle w:val="ListBullet"/>
        <w:spacing w:after="40"/>
      </w:pPr>
      <w:r>
        <w:t>Provide useful content: "Here's what a real peptide COA should contain" (educational posts, not ads)</w:t>
      </w:r>
    </w:p>
    <w:p>
      <w:pPr>
        <w:pStyle w:val="ListBullet"/>
        <w:spacing w:after="40"/>
      </w:pPr>
      <w:r>
        <w:t>Offer to independently test 5–10 popular products and publish results publicly (like Finnrick does) — gives you immediate credibility</w:t>
      </w:r>
    </w:p>
    <w:p>
      <w:pPr>
        <w:spacing w:after="120"/>
      </w:pPr>
      <w:r>
        <w:rPr>
          <w:b/>
        </w:rPr>
        <w:t>Regulatory early mover:</w:t>
      </w:r>
    </w:p>
    <w:p>
      <w:pPr>
        <w:pStyle w:val="ListBullet"/>
        <w:spacing w:after="40"/>
      </w:pPr>
      <w:r>
        <w:t>When July 2026 PCAC legalizes BPC-157 and TB-500 for compounding, the 503A pharmacies that rush to compound them will need COA testing for their bulk substance suppliers</w:t>
      </w:r>
    </w:p>
    <w:p>
      <w:pPr>
        <w:pStyle w:val="ListBullet"/>
        <w:spacing w:after="40"/>
      </w:pPr>
      <w:r>
        <w:t>Position yourself before that ruling: be the testing lab that compounders know to call</w:t>
      </w:r>
    </w:p>
    <w:p>
      <w:pPr>
        <w:spacing w:before="120" w:after="120"/>
        <w:pBdr>
          <w:bottom w:val="single" w:sz="6" w:space="1" w:color="AAAAAA"/>
        </w:pBdr>
      </w:pPr>
    </w:p>
    <w:p>
      <w:pPr>
        <w:pStyle w:val="Heading2"/>
        <w:spacing w:before="240" w:after="80"/>
      </w:pPr>
      <w:r>
        <w:t>Section 11: Implementation Roadmap</w:t>
      </w:r>
    </w:p>
    <w:p>
      <w:pPr>
        <w:pStyle w:val="Heading3"/>
        <w:spacing w:before="160" w:after="80"/>
      </w:pPr>
      <w:r>
        <w:t>Phase 1: Foundation (Months 1–6)</w:t>
      </w:r>
    </w:p>
    <w:p>
      <w:pPr>
        <w:spacing w:after="120"/>
      </w:pPr>
      <w:r>
        <w:rPr>
          <w:b/>
        </w:rPr>
        <w:t>Legal and structure:</w:t>
      </w:r>
    </w:p>
    <w:p>
      <w:pPr>
        <w:pStyle w:val="ListBullet"/>
        <w:spacing w:after="40"/>
      </w:pPr>
      <w:r>
        <w:t>[ ] Form business entity (LLC or C-corp depending on investor plans)</w:t>
      </w:r>
    </w:p>
    <w:p>
      <w:pPr>
        <w:pStyle w:val="ListBullet"/>
        <w:spacing w:after="40"/>
      </w:pPr>
      <w:r>
        <w:t>[ ] Register business name / trademark the certification brand name</w:t>
      </w:r>
    </w:p>
    <w:p>
      <w:pPr>
        <w:pStyle w:val="ListBullet"/>
        <w:spacing w:after="40"/>
      </w:pPr>
      <w:r>
        <w:t>[ ] Draft contract lab agreement with 1–2 ISO 17025 partners (Eurofins, Intertek, or specialty pharma)</w:t>
      </w:r>
    </w:p>
    <w:p>
      <w:pPr>
        <w:pStyle w:val="ListBullet"/>
        <w:spacing w:after="40"/>
      </w:pPr>
      <w:r>
        <w:t>[ ] Consult pharmaceutical regulatory attorney on testing lab liability framework</w:t>
      </w:r>
    </w:p>
    <w:p>
      <w:pPr>
        <w:pStyle w:val="ListBullet"/>
        <w:spacing w:after="40"/>
      </w:pPr>
      <w:r>
        <w:t>[ ] Draft standard operating procedures (SOPs) for sample intake, chain of custody, COA issuance</w:t>
      </w:r>
    </w:p>
    <w:p>
      <w:pPr>
        <w:spacing w:after="120"/>
      </w:pPr>
      <w:r>
        <w:rPr>
          <w:b/>
        </w:rPr>
        <w:t>Technology:</w:t>
      </w:r>
    </w:p>
    <w:p>
      <w:pPr>
        <w:pStyle w:val="ListBullet"/>
        <w:spacing w:after="40"/>
      </w:pPr>
      <w:r>
        <w:t>[ ] Build COA database with public search and QR code verification</w:t>
      </w:r>
    </w:p>
    <w:p>
      <w:pPr>
        <w:pStyle w:val="ListBullet"/>
        <w:spacing w:after="40"/>
      </w:pPr>
      <w:r>
        <w:t>[ ] Design standardized COA template (more detailed and cleaner than Janoshik's format)</w:t>
      </w:r>
    </w:p>
    <w:p>
      <w:pPr>
        <w:pStyle w:val="ListBullet"/>
        <w:spacing w:after="40"/>
      </w:pPr>
      <w:r>
        <w:t>[ ] Set up chain-of-custody sample submission system</w:t>
      </w:r>
    </w:p>
    <w:p>
      <w:pPr>
        <w:spacing w:after="120"/>
      </w:pPr>
      <w:r>
        <w:rPr>
          <w:b/>
        </w:rPr>
        <w:t>Brand and community:</w:t>
      </w:r>
    </w:p>
    <w:p>
      <w:pPr>
        <w:pStyle w:val="ListBullet"/>
        <w:spacing w:after="40"/>
      </w:pPr>
      <w:r>
        <w:t>[ ] Choose brand name (something clinical and trustworthy, not peptide-jargon)</w:t>
      </w:r>
    </w:p>
    <w:p>
      <w:pPr>
        <w:pStyle w:val="ListBullet"/>
        <w:spacing w:after="40"/>
      </w:pPr>
      <w:r>
        <w:t>[ ] Launch website with transparent pricing (this alone differentiates from Janoshik/Colmaric)</w:t>
      </w:r>
    </w:p>
    <w:p>
      <w:pPr>
        <w:pStyle w:val="ListBullet"/>
        <w:spacing w:after="40"/>
      </w:pPr>
      <w:r>
        <w:t>[ ] Begin community presence: r/Peptides, r/PeptidesResearch, Discord servers</w:t>
      </w:r>
    </w:p>
    <w:p>
      <w:pPr>
        <w:pStyle w:val="ListBullet"/>
        <w:spacing w:after="40"/>
      </w:pPr>
      <w:r>
        <w:t>[ ] Publish first independent tests of popular products (no vendor payment — pure credibility)</w:t>
      </w:r>
    </w:p>
    <w:p>
      <w:pPr>
        <w:spacing w:after="120"/>
      </w:pPr>
      <w:r>
        <w:rPr>
          <w:b/>
        </w:rPr>
        <w:t>Commercial:</w:t>
      </w:r>
    </w:p>
    <w:p>
      <w:pPr>
        <w:pStyle w:val="ListBullet"/>
        <w:spacing w:after="40"/>
      </w:pPr>
      <w:r>
        <w:t>[ ] Identify and pitch 5–10 founding vendor partners</w:t>
      </w:r>
    </w:p>
    <w:p>
      <w:pPr>
        <w:pStyle w:val="ListBullet"/>
        <w:spacing w:after="40"/>
      </w:pPr>
      <w:r>
        <w:t>[ ] Offer launch pricing (cost or near-cost) for first 50 COAs to build database</w:t>
      </w:r>
    </w:p>
    <w:p>
      <w:pPr>
        <w:pStyle w:val="ListBullet"/>
        <w:spacing w:after="40"/>
      </w:pPr>
      <w:r>
        <w:t>[ ] Publish pricing publicly (standard, premium, rush tiers)</w:t>
      </w:r>
    </w:p>
    <w:p>
      <w:pPr>
        <w:pStyle w:val="Heading3"/>
        <w:spacing w:before="160" w:after="80"/>
      </w:pPr>
      <w:r>
        <w:t>Phase 2: Accreditation and Scale (Months 6–18)</w:t>
      </w:r>
    </w:p>
    <w:p>
      <w:pPr>
        <w:pStyle w:val="ListBullet"/>
        <w:spacing w:after="40"/>
      </w:pPr>
      <w:r>
        <w:t>[ ] Begin ISO 17025 accreditation process (A2LA application)</w:t>
      </w:r>
    </w:p>
    <w:p>
      <w:pPr>
        <w:pStyle w:val="ListBullet"/>
        <w:spacing w:after="40"/>
      </w:pPr>
      <w:r>
        <w:t>[ ] Hire first full-time employee (operations/quality manager — MS Chemistry or equivalent)</w:t>
      </w:r>
    </w:p>
    <w:p>
      <w:pPr>
        <w:pStyle w:val="ListBullet"/>
        <w:spacing w:after="40"/>
      </w:pPr>
      <w:r>
        <w:t>[ ] Achieve 100+ COAs/month run rate</w:t>
      </w:r>
    </w:p>
    <w:p>
      <w:pPr>
        <w:pStyle w:val="ListBullet"/>
        <w:spacing w:after="40"/>
      </w:pPr>
      <w:r>
        <w:t>[ ] Launch B2C subscription beta (access to COA database, vendor ratings)</w:t>
      </w:r>
    </w:p>
    <w:p>
      <w:pPr>
        <w:pStyle w:val="ListBullet"/>
        <w:spacing w:after="40"/>
      </w:pPr>
      <w:r>
        <w:t>[ ] Submit ISO 17025 scope documentation for A2LA review</w:t>
      </w:r>
    </w:p>
    <w:p>
      <w:pPr>
        <w:pStyle w:val="Heading3"/>
        <w:spacing w:before="160" w:after="80"/>
      </w:pPr>
      <w:r>
        <w:t>Phase 3: In-House Lab (Year 2–3)</w:t>
      </w:r>
    </w:p>
    <w:p>
      <w:pPr>
        <w:pStyle w:val="ListBullet"/>
        <w:spacing w:after="40"/>
      </w:pPr>
      <w:r>
        <w:t>[ ] Achieve ISO 17025 accreditation</w:t>
      </w:r>
    </w:p>
    <w:p>
      <w:pPr>
        <w:pStyle w:val="ListBullet"/>
        <w:spacing w:after="40"/>
      </w:pPr>
      <w:r>
        <w:t>[ ] Raise capital for lab equipment (if not self-funded)</w:t>
      </w:r>
    </w:p>
    <w:p>
      <w:pPr>
        <w:pStyle w:val="ListBullet"/>
        <w:spacing w:after="40"/>
      </w:pPr>
      <w:r>
        <w:t>[ ] Lease 2,000–3,000 sq ft lab space; complete buildout</w:t>
      </w:r>
    </w:p>
    <w:p>
      <w:pPr>
        <w:pStyle w:val="ListBullet"/>
        <w:spacing w:after="40"/>
      </w:pPr>
      <w:r>
        <w:t>[ ] Purchase HPLC + LC-MS/MS (used/refurbished to control cost)</w:t>
      </w:r>
    </w:p>
    <w:p>
      <w:pPr>
        <w:pStyle w:val="ListBullet"/>
        <w:spacing w:after="40"/>
      </w:pPr>
      <w:r>
        <w:t>[ ] Hire Lab Director (PhD) and 1–2 analytical chemists</w:t>
      </w:r>
    </w:p>
    <w:p>
      <w:pPr>
        <w:pStyle w:val="ListBullet"/>
        <w:spacing w:after="40"/>
      </w:pPr>
      <w:r>
        <w:t>[ ] Transfer 50%+ of testing volume in-house; convert margins from ~45% to ~80%</w:t>
      </w:r>
    </w:p>
    <w:p>
      <w:pPr>
        <w:pStyle w:val="ListBullet"/>
        <w:spacing w:after="40"/>
      </w:pPr>
      <w:r>
        <w:t>[ ] Publish "State of Peptide Quality" annual report (build authority)</w:t>
      </w:r>
    </w:p>
    <w:p>
      <w:pPr>
        <w:pStyle w:val="Heading3"/>
        <w:spacing w:before="160" w:after="80"/>
      </w:pPr>
      <w:r>
        <w:t>Phase 4: Certification Body (Year 3+)</w:t>
      </w:r>
    </w:p>
    <w:p>
      <w:pPr>
        <w:pStyle w:val="ListBullet"/>
        <w:spacing w:after="40"/>
      </w:pPr>
      <w:r>
        <w:t>[ ] Launch annual "Certified Peptide" seal licensing program</w:t>
      </w:r>
    </w:p>
    <w:p>
      <w:pPr>
        <w:pStyle w:val="ListBullet"/>
        <w:spacing w:after="40"/>
      </w:pPr>
      <w:r>
        <w:t>[ ] Define certification standards (testing frequency, scope, public disclosure requirements)</w:t>
      </w:r>
    </w:p>
    <w:p>
      <w:pPr>
        <w:pStyle w:val="ListBullet"/>
        <w:spacing w:after="40"/>
      </w:pPr>
      <w:r>
        <w:t>[ ] Target regulatory engagement: submit comments to FDA PCAC process on COA standards</w:t>
      </w:r>
    </w:p>
    <w:p>
      <w:pPr>
        <w:pStyle w:val="ListBullet"/>
        <w:spacing w:after="40"/>
      </w:pPr>
      <w:r>
        <w:t>[ ] Pursue formal recognition: approach supplement industry organizations (CRN, NPA) about peptide certification standards</w:t>
      </w:r>
    </w:p>
    <w:p>
      <w:pPr>
        <w:pStyle w:val="ListBullet"/>
        <w:spacing w:after="40"/>
      </w:pPr>
      <w:r>
        <w:t>[ ] International expansion: partner with labs in EU/UK as peptide market globalizes</w:t>
      </w:r>
    </w:p>
    <w:p>
      <w:pPr>
        <w:spacing w:before="120" w:after="120"/>
        <w:pBdr>
          <w:bottom w:val="single" w:sz="6" w:space="1" w:color="AAAAAA"/>
        </w:pBdr>
      </w:pPr>
    </w:p>
    <w:p>
      <w:pPr>
        <w:pStyle w:val="Heading2"/>
        <w:spacing w:before="240" w:after="80"/>
      </w:pPr>
      <w:r>
        <w:t>Section 12: Risk Analysis</w:t>
      </w:r>
    </w:p>
    <w:p>
      <w:pPr>
        <w:pStyle w:val="Heading3"/>
        <w:spacing w:before="160" w:after="80"/>
      </w:pPr>
      <w:r>
        <w:t>Risk 1: Regulatory Expansion Reduces Urgency</w:t>
      </w:r>
    </w:p>
    <w:p>
      <w:pPr>
        <w:spacing w:after="120"/>
      </w:pPr>
      <w:r>
        <w:rPr>
          <w:b/>
        </w:rPr>
        <w:t>The risk:</w:t>
      </w:r>
      <w:r>
        <w:t xml:space="preserve"> If the FDA legalizes compounding of most peptides (which is the 2026 trajectory), vendors face less enforcement pressure and may feel less urgency to obtain third-party COAs.</w:t>
      </w:r>
    </w:p>
    <w:p>
      <w:pPr>
        <w:spacing w:after="120"/>
      </w:pPr>
      <w:r>
        <w:rPr>
          <w:b/>
        </w:rPr>
        <w:t>Mitigation:</w:t>
      </w:r>
      <w:r>
        <w:t xml:space="preserve"> The opposite dynamic is more likely. When peptides become legal for compounding, FDA requires that compounding pharmacies use adequately tested bulk substances — which means mandatory COA testing becomes a regulatory requirement, not optional. Legal status INCREASES the structured demand for testing.</w:t>
      </w:r>
    </w:p>
    <w:p>
      <w:pPr>
        <w:spacing w:after="120"/>
      </w:pPr>
      <w:r>
        <w:rPr>
          <w:b/>
        </w:rPr>
        <w:t>Assessment:</w:t>
      </w:r>
      <w:r>
        <w:t xml:space="preserve"> Low risk; regulatory expansion is a net tailwind.</w:t>
      </w:r>
    </w:p>
    <w:p>
      <w:pPr>
        <w:pStyle w:val="Heading3"/>
        <w:spacing w:before="160" w:after="80"/>
      </w:pPr>
      <w:r>
        <w:t>Risk 2: Janoshik Gets Their ISO 17025 Clearly Verified</w:t>
      </w:r>
    </w:p>
    <w:p>
      <w:pPr>
        <w:spacing w:after="120"/>
      </w:pPr>
      <w:r>
        <w:rPr>
          <w:b/>
        </w:rPr>
        <w:t>The risk:</w:t>
      </w:r>
      <w:r>
        <w:t xml:space="preserve"> Janoshik resolves the accreditation questions, builds a US presence, and captures the market before you establish your brand.</w:t>
      </w:r>
    </w:p>
    <w:p>
      <w:pPr>
        <w:spacing w:after="120"/>
      </w:pPr>
      <w:r>
        <w:rPr>
          <w:b/>
        </w:rPr>
        <w:t>Mitigation:</w:t>
      </w:r>
      <w:r>
        <w:t xml:space="preserve"> Czech Republic location is a permanent disadvantage for US-focused vendors (shipping, jurisdiction, currency, time zone). The US market specifically wants a US-based, US-accountable testing brand. Additionally, Janoshik's model is pure testing lab — they are not building a certification seal or B2C database. Different strategic targets.</w:t>
      </w:r>
    </w:p>
    <w:p>
      <w:pPr>
        <w:spacing w:after="120"/>
      </w:pPr>
      <w:r>
        <w:rPr>
          <w:b/>
        </w:rPr>
        <w:t>Assessment:</w:t>
      </w:r>
      <w:r>
        <w:t xml:space="preserve"> Medium risk. Requires moving quickly to establish US brand before Janoshik expands.</w:t>
      </w:r>
    </w:p>
    <w:p>
      <w:pPr>
        <w:pStyle w:val="Heading3"/>
        <w:spacing w:before="160" w:after="80"/>
      </w:pPr>
      <w:r>
        <w:t>Risk 3: Large CRO (Eurofins, Intertek, SGS) Enters the Market</w:t>
      </w:r>
    </w:p>
    <w:p>
      <w:pPr>
        <w:spacing w:after="120"/>
      </w:pPr>
      <w:r>
        <w:rPr>
          <w:b/>
        </w:rPr>
        <w:t>The risk:</w:t>
      </w:r>
      <w:r>
        <w:t xml:space="preserve"> A major contract research organization decides to build a peptide testing brand.</w:t>
      </w:r>
    </w:p>
    <w:p>
      <w:pPr>
        <w:spacing w:after="120"/>
      </w:pPr>
      <w:r>
        <w:rPr>
          <w:b/>
        </w:rPr>
        <w:t>Mitigation:</w:t>
      </w:r>
      <w:r>
        <w:t xml:space="preserve"> Large CROs serve regulated pharmaceutical clients and move slowly in gray/early-stage markets. Their core customer is pharmaceutical companies doing IND-enabling studies, not research peptide vendors on Reddit. Their pricing ($1,500–$3,000/sample) is aimed at pharma budgets, not the $500/COA research peptide market. Their brand is too corporate for community trust.</w:t>
      </w:r>
    </w:p>
    <w:p>
      <w:pPr>
        <w:spacing w:after="120"/>
      </w:pPr>
      <w:r>
        <w:rPr>
          <w:b/>
        </w:rPr>
        <w:t>Assessment:</w:t>
      </w:r>
      <w:r>
        <w:t xml:space="preserve"> Low risk in Years 1–3; medium risk once market formalizes.</w:t>
      </w:r>
    </w:p>
    <w:p>
      <w:pPr>
        <w:pStyle w:val="Heading3"/>
        <w:spacing w:before="160" w:after="80"/>
      </w:pPr>
      <w:r>
        <w:t>Risk 4: COA Fraud or Lab Error Damages Brand</w:t>
      </w:r>
    </w:p>
    <w:p>
      <w:pPr>
        <w:spacing w:after="120"/>
      </w:pPr>
      <w:r>
        <w:rPr>
          <w:b/>
        </w:rPr>
        <w:t>The risk:</w:t>
      </w:r>
      <w:r>
        <w:t xml:space="preserve"> A signed COA is wrong (due to lab error, sample mix-up, or fraud by a contract lab partner), a vendor uses it to market a dangerous product, and consumers are harmed.</w:t>
      </w:r>
    </w:p>
    <w:p>
      <w:pPr>
        <w:spacing w:after="120"/>
      </w:pPr>
      <w:r>
        <w:rPr>
          <w:b/>
        </w:rPr>
        <w:t>Mitigation:</w:t>
      </w:r>
      <w:r>
        <w:t xml:space="preserve"> This is the most serious operational risk. Mitigations:</w:t>
      </w:r>
    </w:p>
    <w:p>
      <w:pPr>
        <w:pStyle w:val="ListBullet"/>
        <w:spacing w:after="40"/>
      </w:pPr>
      <w:r>
        <w:t>Robust chain-of-custody documentation</w:t>
      </w:r>
    </w:p>
    <w:p>
      <w:pPr>
        <w:pStyle w:val="ListBullet"/>
        <w:spacing w:after="40"/>
      </w:pPr>
      <w:r>
        <w:t>ISO 17025 accreditation (mandates documented QC procedures)</w:t>
      </w:r>
    </w:p>
    <w:p>
      <w:pPr>
        <w:pStyle w:val="ListBullet"/>
        <w:spacing w:after="40"/>
      </w:pPr>
      <w:r>
        <w:t>Insurance (professional liability / errors and omissions policy)</w:t>
      </w:r>
    </w:p>
    <w:p>
      <w:pPr>
        <w:pStyle w:val="ListBullet"/>
        <w:spacing w:after="40"/>
      </w:pPr>
      <w:r>
        <w:t>Independent re-testing of a random sample of COAs quarterly</w:t>
      </w:r>
    </w:p>
    <w:p>
      <w:pPr>
        <w:pStyle w:val="ListBullet"/>
        <w:spacing w:after="40"/>
      </w:pPr>
      <w:r>
        <w:t>Clear contractual language limiting COA use to stated batch/lot only</w:t>
      </w:r>
    </w:p>
    <w:p>
      <w:pPr>
        <w:spacing w:after="120"/>
      </w:pPr>
      <w:r>
        <w:rPr>
          <w:b/>
        </w:rPr>
        <w:t>Assessment:</w:t>
      </w:r>
      <w:r>
        <w:t xml:space="preserve"> High operational risk — this risk requires rigorous quality management, not just business planning.</w:t>
      </w:r>
    </w:p>
    <w:p>
      <w:pPr>
        <w:pStyle w:val="Heading3"/>
        <w:spacing w:before="160" w:after="80"/>
      </w:pPr>
      <w:r>
        <w:t>Risk 5: FDA Cracks Down on Testing Labs as "Enabling" Illegal Peptide Sales</w:t>
      </w:r>
    </w:p>
    <w:p>
      <w:pPr>
        <w:spacing w:after="120"/>
      </w:pPr>
      <w:r>
        <w:rPr>
          <w:b/>
        </w:rPr>
        <w:t>The risk:</w:t>
      </w:r>
      <w:r>
        <w:t xml:space="preserve"> The FDA treats a COA lab as complicit in the illegal sale of research chemicals.</w:t>
      </w:r>
    </w:p>
    <w:p>
      <w:pPr>
        <w:spacing w:after="120"/>
      </w:pPr>
      <w:r>
        <w:rPr>
          <w:b/>
        </w:rPr>
        <w:t>Mitigation:</w:t>
      </w:r>
      <w:r>
        <w:t xml:space="preserve"> Analytical chemistry testing services are legal. Labs test cocaine for forensic purposes without legal exposure. Labs test counterfeit pharmaceuticals for law enforcement. Testing a substance is not distributing it. The legal theory that a testing lab is liable for how customers use products is weak. However, prudent operations mean: do not provide testing services to vendors who are clearly marketing products for human use with explicit medical claims (this would make the lab complicit in misbranding). Target professional vendor clients who maintain research framing.</w:t>
      </w:r>
    </w:p>
    <w:p>
      <w:pPr>
        <w:spacing w:after="120"/>
      </w:pPr>
      <w:r>
        <w:rPr>
          <w:b/>
        </w:rPr>
        <w:t>Assessment:</w:t>
      </w:r>
      <w:r>
        <w:t xml:space="preserve"> Low legal risk if properly structured; requires clear client agreements and intake policies.</w:t>
      </w:r>
    </w:p>
    <w:p>
      <w:pPr>
        <w:spacing w:before="120" w:after="120"/>
        <w:pBdr>
          <w:bottom w:val="single" w:sz="6" w:space="1" w:color="AAAAAA"/>
        </w:pBdr>
      </w:pPr>
    </w:p>
    <w:p>
      <w:pPr>
        <w:pStyle w:val="Heading2"/>
        <w:spacing w:before="240" w:after="80"/>
      </w:pPr>
      <w:r>
        <w:t>Section 13: The Recommendation</w:t>
      </w:r>
    </w:p>
    <w:p>
      <w:pPr>
        <w:spacing w:after="120"/>
      </w:pPr>
      <w:r>
        <w:rPr>
          <w:b/>
        </w:rPr>
        <w:t>Build the white-label brand first. Get ISO 17025 fast. Build the lab when revenue justifies it.</w:t>
      </w:r>
    </w:p>
    <w:p>
      <w:pPr>
        <w:spacing w:after="120"/>
      </w:pPr>
      <w:r>
        <w:t>The opportunity is real, the timing is right, and the competitive gap is genuine. The three conditions for a successful certification brand are all present:</w:t>
      </w:r>
    </w:p>
    <w:p>
      <w:pPr>
        <w:pStyle w:val="ListNumber"/>
        <w:spacing w:after="40"/>
      </w:pPr>
      <w:r>
        <w:rPr>
          <w:b/>
        </w:rPr>
        <w:t>Market failure:</w:t>
      </w:r>
      <w:r>
        <w:t xml:space="preserve"> 70% of products fail quality testing; no trusted certification exists</w:t>
      </w:r>
    </w:p>
    <w:p>
      <w:pPr>
        <w:pStyle w:val="ListNumber"/>
        <w:spacing w:after="40"/>
      </w:pPr>
      <w:r>
        <w:rPr>
          <w:b/>
        </w:rPr>
        <w:t>Demand signal:</w:t>
      </w:r>
      <w:r>
        <w:t xml:space="preserve"> 30–50% price premium buyers already pay for tested products</w:t>
      </w:r>
    </w:p>
    <w:p>
      <w:pPr>
        <w:pStyle w:val="ListNumber"/>
        <w:spacing w:after="40"/>
      </w:pPr>
      <w:r>
        <w:rPr>
          <w:b/>
        </w:rPr>
        <w:t>Regulatory tailwind:</w:t>
      </w:r>
      <w:r>
        <w:t xml:space="preserve"> FDA expansion of legal peptide compounding creates mandatory COA demand</w:t>
      </w:r>
    </w:p>
    <w:p>
      <w:pPr>
        <w:spacing w:after="120"/>
      </w:pPr>
      <w:r>
        <w:t>The path is:</w:t>
      </w:r>
    </w:p>
    <w:p>
      <w:pPr>
        <w:pStyle w:val="ListNumber"/>
        <w:spacing w:after="40"/>
      </w:pPr>
      <w:r>
        <w:t>Launch in 3–6 months with white-label outsourced testing + transparent pricing + public COA database</w:t>
      </w:r>
    </w:p>
    <w:p>
      <w:pPr>
        <w:pStyle w:val="ListNumber"/>
        <w:spacing w:after="40"/>
      </w:pPr>
      <w:r>
        <w:t>Partner with 5–10 respected vendors in Year 1 — let community reputation build organically</w:t>
      </w:r>
    </w:p>
    <w:p>
      <w:pPr>
        <w:pStyle w:val="ListNumber"/>
        <w:spacing w:after="40"/>
      </w:pPr>
      <w:r>
        <w:t>Achieve ISO 17025 accreditation by Month 18 — this is the single credential that separates you from Janoshik</w:t>
      </w:r>
    </w:p>
    <w:p>
      <w:pPr>
        <w:pStyle w:val="ListNumber"/>
        <w:spacing w:after="40"/>
      </w:pPr>
      <w:r>
        <w:t>Build the in-house lab in Year 2–3 once revenue validates the model</w:t>
      </w:r>
    </w:p>
    <w:p>
      <w:pPr>
        <w:pStyle w:val="ListNumber"/>
        <w:spacing w:after="40"/>
      </w:pPr>
      <w:r>
        <w:t>Launch the certification seal in Year 3 once you have brand authority</w:t>
      </w:r>
    </w:p>
    <w:p>
      <w:pPr>
        <w:spacing w:after="120"/>
      </w:pPr>
      <w:r>
        <w:t xml:space="preserve">The capital required to start is not prohibitive: </w:t>
      </w:r>
      <w:r>
        <w:rPr>
          <w:b/>
        </w:rPr>
        <w:t>$150,000–$250,000</w:t>
      </w:r>
      <w:r>
        <w:t xml:space="preserve"> gets Phase 1 live. The full in-house lab is a $500K–$1.5M Year 2 decision, which by then should be backed by real revenue data.</w:t>
      </w:r>
    </w:p>
    <w:p>
      <w:pPr>
        <w:spacing w:after="120"/>
      </w:pPr>
      <w:r>
        <w:rPr>
          <w:b/>
        </w:rPr>
        <w:t>The final analogy:</w:t>
      </w:r>
      <w:r>
        <w:t xml:space="preserve"> NSF International in 2001 didn't need to be the world's best chemistry lab to succeed. They needed to define the standard, build community trust, and make their seal mean something. The certification business is a standards business, not a chemistry business. The PhD chemists matter; the brand and the standard matter more.</w:t>
      </w:r>
    </w:p>
    <w:p>
      <w:pPr>
        <w:spacing w:before="120" w:after="120"/>
        <w:pBdr>
          <w:bottom w:val="single" w:sz="6" w:space="1" w:color="AAAAAA"/>
        </w:pBdr>
      </w:pPr>
    </w:p>
    <w:p>
      <w:pPr>
        <w:pStyle w:val="Heading2"/>
        <w:spacing w:before="240" w:after="80"/>
      </w:pPr>
      <w:r>
        <w:t>Appendix A: Data Sources</w:t>
      </w:r>
    </w:p>
    <w:p>
      <w:pPr>
        <w:pStyle w:val="ListNumber"/>
        <w:spacing w:after="40"/>
      </w:pPr>
      <w:r>
        <w:t>Grand View Research. "Peptide Therapeutics Market." grandviewresearch.com. ($140.86B in 2025, $294.58B by 2033, 8.73% CAGR)</w:t>
      </w:r>
    </w:p>
    <w:p>
      <w:pPr>
        <w:pStyle w:val="ListNumber"/>
        <w:spacing w:after="40"/>
      </w:pPr>
      <w:r>
        <w:t>GMInsights. "Peptide Therapeutics Market." gminsights.com. ($46.4B 2024, $100B 2034, 8.1% CAGR)</w:t>
      </w:r>
    </w:p>
    <w:p>
      <w:pPr>
        <w:pStyle w:val="ListNumber"/>
        <w:spacing w:after="40"/>
      </w:pPr>
      <w:r>
        <w:t>IMARC Group. "Peptide Therapeutics Market." imarcgroup.com. ($46.17B 2024, $91.87B 2033, 7.55% CAGR)</w:t>
      </w:r>
    </w:p>
    <w:p>
      <w:pPr>
        <w:pStyle w:val="ListNumber"/>
        <w:spacing w:after="40"/>
      </w:pPr>
      <w:r>
        <w:t>Grand View Research. "GLP-1 Receptor Agonist Market." grandviewresearch.com. ($66.38B 2025, $185.32B 2033, 12.4% CAGR)</w:t>
      </w:r>
    </w:p>
    <w:p>
      <w:pPr>
        <w:pStyle w:val="ListNumber"/>
        <w:spacing w:after="40"/>
      </w:pPr>
      <w:r>
        <w:t>Grand View Research. "GLP-1 Receptor Agonist Market — United States." US-specific: $47.98B (2025)</w:t>
      </w:r>
    </w:p>
    <w:p>
      <w:pPr>
        <w:pStyle w:val="ListNumber"/>
        <w:spacing w:after="40"/>
      </w:pPr>
      <w:r>
        <w:t>Mordor Intelligence. "Semaglutide Market." mordorintelligence.com. ($58.72B semaglutide by 2031)</w:t>
      </w:r>
    </w:p>
    <w:p>
      <w:pPr>
        <w:pStyle w:val="ListNumber"/>
        <w:spacing w:after="40"/>
      </w:pPr>
      <w:r>
        <w:t>TowardsHealthcare. "GLP-1 Drugs Market." towardshealthcare.com. ($52.95B 2025, $132.79B 2035, 9.63% CAGR)</w:t>
      </w:r>
    </w:p>
    <w:p>
      <w:pPr>
        <w:pStyle w:val="ListNumber"/>
        <w:spacing w:after="40"/>
      </w:pPr>
      <w:r>
        <w:t>Precedence Research. "US Compounding Pharmacies Market." precedenceresearch.com. ($6.45B 2025, $10.93B 2034, 6.04% CAGR; 503A $4.4B, 503B $1.16B)</w:t>
      </w:r>
    </w:p>
    <w:p>
      <w:pPr>
        <w:pStyle w:val="ListNumber"/>
        <w:spacing w:after="40"/>
      </w:pPr>
      <w:r>
        <w:t>NIH/PMC. "2024 FDA TIDES (Peptides and Oligonucleotides) Harvest." pmc.ncbi.nlm.nih.gov. (~120 peptide drugs approved globally; 3 FDA-approved in 2024)</w:t>
      </w:r>
    </w:p>
    <w:p>
      <w:pPr>
        <w:pStyle w:val="ListNumber"/>
        <w:spacing w:after="40"/>
      </w:pPr>
      <w:r>
        <w:t>GZERO Media. "How China is Supplying America's Biohacking Craze." gzeromedia.com. (Gray-market imports $328M first 9 months 2025)</w:t>
      </w:r>
    </w:p>
    <w:p>
      <w:pPr>
        <w:pStyle w:val="ListNumber"/>
        <w:spacing w:after="40"/>
      </w:pPr>
      <w:r>
        <w:t>SF Standard. "Everyone Has a Chinese Peptide Dealer Now." sfstandard.com. September 2025.</w:t>
      </w:r>
    </w:p>
    <w:p>
      <w:pPr>
        <w:pStyle w:val="ListNumber"/>
        <w:spacing w:after="40"/>
      </w:pPr>
      <w:r>
        <w:t>TC Compound. "Gray Market of Tirzepatide Injections Part 2." tccompound.com. (Quality failure: 50% incorrect dosing, 70% contamination, 30% wrong sequence)</w:t>
      </w:r>
    </w:p>
    <w:p>
      <w:pPr>
        <w:pStyle w:val="ListNumber"/>
        <w:spacing w:after="40"/>
      </w:pPr>
      <w:r>
        <w:t>Frier Levitt. "Regulatory Status of Peptide Compounding in 2025." frierlevitt.com.</w:t>
      </w:r>
    </w:p>
    <w:p>
      <w:pPr>
        <w:pStyle w:val="ListNumber"/>
        <w:spacing w:after="40"/>
      </w:pPr>
      <w:r>
        <w:t>Frier Levitt. "Peptides Under the Microscope: Recent FDA and State Enforcement Trends." frierlevitt.com. (50+ warning letters 2024-2025; 22% targeting GLP-1s)</w:t>
      </w:r>
    </w:p>
    <w:p>
      <w:pPr>
        <w:pStyle w:val="ListNumber"/>
        <w:spacing w:after="40"/>
      </w:pPr>
      <w:r>
        <w:t>FDA.gov. "Gram Peptides Warning Letter 721806." March 31, 2026. fda.gov.</w:t>
      </w:r>
    </w:p>
    <w:p>
      <w:pPr>
        <w:pStyle w:val="ListNumber"/>
        <w:spacing w:after="40"/>
      </w:pPr>
      <w:r>
        <w:t>Holt Law. "Deep Dive: Regulatory Status of Popular Compounded Peptides." djholtlaw.com. (DOJ Tailor Made Compounding $1.79M forfeiture)</w:t>
      </w:r>
    </w:p>
    <w:p>
      <w:pPr>
        <w:pStyle w:val="ListNumber"/>
        <w:spacing w:after="40"/>
      </w:pPr>
      <w:r>
        <w:t>Lexology. "FDA removes certain peptide bulk drug substances from Category 2." September 2024. (5 peptides removed from Category 2)</w:t>
      </w:r>
    </w:p>
    <w:p>
      <w:pPr>
        <w:pStyle w:val="ListNumber"/>
        <w:spacing w:after="40"/>
      </w:pPr>
      <w:r>
        <w:t>STAT News. "RFK Jr.'s Apparent Contradiction: Peptides, Vaccines, Medical Libertarianism." April 6, 2026. (14 of 19 Category 2 peptides recategorized)</w:t>
      </w:r>
    </w:p>
    <w:p>
      <w:pPr>
        <w:pStyle w:val="ListNumber"/>
        <w:spacing w:after="40"/>
      </w:pPr>
      <w:r>
        <w:t>Consumer Healthcare Products Association (CHPA). "Certificate of Analysis for Dietary Supplement Components." chpa.org. (21 CFR 111.75 COA standards)</w:t>
      </w:r>
    </w:p>
    <w:p>
      <w:pPr>
        <w:pStyle w:val="ListNumber"/>
        <w:spacing w:after="40"/>
      </w:pPr>
      <w:r>
        <w:t>Pharmaceutical Technology. "Certificates of Analysis: Don't Trust, Verify." pharmtech.com. (2017 FDA COA fraud enforcement)</w:t>
      </w:r>
    </w:p>
    <w:p>
      <w:pPr>
        <w:pStyle w:val="ListNumber"/>
        <w:spacing w:after="40"/>
      </w:pPr>
      <w:r>
        <w:t>BPRHub. "ISO 17025 Certification: Step-by-Step Guide, Cost &amp; Requirements." bprhub.com. (6–12 month timeline, $3K–$10K+ implementation)</w:t>
      </w:r>
    </w:p>
    <w:p>
      <w:pPr>
        <w:pStyle w:val="ListNumber"/>
        <w:spacing w:after="40"/>
      </w:pPr>
      <w:r>
        <w:t>APHL. "Laboratory Costs of ISO/IEC 17025 Accreditation." aphl.org. (Assessment fees $4K–$8K; annual maintenance $2K–$5K)</w:t>
      </w:r>
    </w:p>
    <w:p>
      <w:pPr>
        <w:pStyle w:val="ListNumber"/>
        <w:spacing w:after="40"/>
      </w:pPr>
      <w:r>
        <w:t>A2LA. American Association for Laboratory Accreditation. a2la.org.</w:t>
      </w:r>
    </w:p>
    <w:p>
      <w:pPr>
        <w:pStyle w:val="ListNumber"/>
        <w:spacing w:after="40"/>
      </w:pPr>
      <w:r>
        <w:t>Janoshik Analytical. Pricing page. janoshik.com. ($828–$1,158/sample full panel)</w:t>
      </w:r>
    </w:p>
    <w:p>
      <w:pPr>
        <w:pStyle w:val="ListNumber"/>
        <w:spacing w:after="40"/>
      </w:pPr>
      <w:r>
        <w:t>Peptide Protocol Wiki. "Janoshik Analytical Review." peptideprotocolwiki.com. (ISO 17025 dispute documentation)</w:t>
      </w:r>
    </w:p>
    <w:p>
      <w:pPr>
        <w:pStyle w:val="ListNumber"/>
        <w:spacing w:after="40"/>
      </w:pPr>
      <w:r>
        <w:t>Colmaric Analyticals. colmaricanalyticals.com. (opaque pricing, quote-only)</w:t>
      </w:r>
    </w:p>
    <w:p>
      <w:pPr>
        <w:pStyle w:val="ListNumber"/>
        <w:spacing w:after="40"/>
      </w:pPr>
      <w:r>
        <w:t>Verified Peptides. "Certificates of Analysis: What Researchers Need to Know." verifiedpeptides.com.</w:t>
      </w:r>
    </w:p>
    <w:p>
      <w:pPr>
        <w:pStyle w:val="ListNumber"/>
        <w:spacing w:after="40"/>
      </w:pPr>
      <w:r>
        <w:t>MZ Biolabs. "COA Testing." mzbiolabs.com. ($200–$300/sample)</w:t>
      </w:r>
    </w:p>
    <w:p>
      <w:pPr>
        <w:pStyle w:val="ListNumber"/>
        <w:spacing w:after="40"/>
      </w:pPr>
      <w:r>
        <w:t>ACS Lab. "Peptide Testing." acslabtest.com. ($150–$1,500/sample)</w:t>
      </w:r>
    </w:p>
    <w:p>
      <w:pPr>
        <w:pStyle w:val="ListNumber"/>
        <w:spacing w:after="40"/>
      </w:pPr>
      <w:r>
        <w:t>Finnrick Analytics. "Vendor Testing." finnrick.com. (6,937 samples tested from 205 vendors)</w:t>
      </w:r>
    </w:p>
    <w:p>
      <w:pPr>
        <w:pStyle w:val="ListNumber"/>
        <w:spacing w:after="40"/>
      </w:pPr>
      <w:r>
        <w:t>Outliyr. "Best Peptide Vendors 2026." outliyr.com. ($90–$120 untested vs $140–$150 tested — 30-50% premium)</w:t>
      </w:r>
    </w:p>
    <w:p>
      <w:pPr>
        <w:pStyle w:val="ListNumber"/>
        <w:spacing w:after="40"/>
      </w:pPr>
      <w:r>
        <w:t>LabX. "Best HPLC Systems of 2026." labx.com. (HPLC pricing $20K–$100K new)</w:t>
      </w:r>
    </w:p>
    <w:p>
      <w:pPr>
        <w:pStyle w:val="ListNumber"/>
        <w:spacing w:after="40"/>
      </w:pPr>
      <w:r>
        <w:t>AmpTech Instruments. "HPLC Machine Price." amptechfl.com. ($2,600–$50K refurbished)</w:t>
      </w:r>
    </w:p>
    <w:p>
      <w:pPr>
        <w:pStyle w:val="ListNumber"/>
        <w:spacing w:after="40"/>
      </w:pPr>
      <w:r>
        <w:t>AmpTech Instruments. "LC-MS Price." amptechfl.com. ($300K–$500K new; $150K–$250K used)</w:t>
      </w:r>
    </w:p>
    <w:p>
      <w:pPr>
        <w:pStyle w:val="ListNumber"/>
        <w:spacing w:after="40"/>
      </w:pPr>
      <w:r>
        <w:t>Excedr. "MALDI-TOF Cost." excedr.com. ($150K–$1M+)</w:t>
      </w:r>
    </w:p>
    <w:p>
      <w:pPr>
        <w:pStyle w:val="ListNumber"/>
        <w:spacing w:after="40"/>
      </w:pPr>
      <w:r>
        <w:t>ResolveMass. "Cost of Peptide Analysis Service." resolvemass.ca. (HPLC $175/sample; LC-MS $600–$1,500/sample)</w:t>
      </w:r>
    </w:p>
    <w:p>
      <w:pPr>
        <w:pStyle w:val="ListNumber"/>
        <w:spacing w:after="40"/>
      </w:pPr>
      <w:r>
        <w:t>Glassdoor. "Laboratory Director Salary." glassdoor.com. ($141,953–$194,123/year)</w:t>
      </w:r>
    </w:p>
    <w:p>
      <w:pPr>
        <w:pStyle w:val="ListNumber"/>
        <w:spacing w:after="40"/>
      </w:pPr>
      <w:r>
        <w:t>Indeed. "Analytical Chemist Salaries." indeed.com. ($69,670–$86,620/year)</w:t>
      </w:r>
    </w:p>
    <w:p>
      <w:pPr>
        <w:pStyle w:val="ListNumber"/>
        <w:spacing w:after="40"/>
      </w:pPr>
      <w:r>
        <w:t>BLS. "Chemical Technicians." bls.gov. ($40,000–$57,790/year)</w:t>
      </w:r>
    </w:p>
    <w:p>
      <w:pPr>
        <w:pStyle w:val="ListNumber"/>
        <w:spacing w:after="40"/>
      </w:pPr>
      <w:r>
        <w:t>NSF International. "History." Reference for Business / NSF.org. (Supplements entered 2001; NFL + GNC partnerships 2003-2004; $5M revenue)</w:t>
      </w:r>
    </w:p>
    <w:p>
      <w:pPr>
        <w:pStyle w:val="ListNumber"/>
        <w:spacing w:after="40"/>
      </w:pPr>
      <w:r>
        <w:t>DCF Modeling. "UL's History, Mission, Ownership." dcfmodeling.com. ($7B market valuation 2024; $2.5B revenue 2022)</w:t>
      </w:r>
    </w:p>
    <w:p>
      <w:pPr>
        <w:pStyle w:val="ListNumber"/>
        <w:spacing w:after="40"/>
      </w:pPr>
      <w:r>
        <w:t>Informed Sport. "Certification Process." sport.wetestyoutrust.com. (25,000+ samples/year; 3,000+ products; 127 countries)</w:t>
      </w:r>
    </w:p>
    <w:p>
      <w:pPr>
        <w:pStyle w:val="ListNumber"/>
        <w:spacing w:after="40"/>
      </w:pPr>
      <w:r>
        <w:t>ConsumerLab. "Trust ConsumerLab." consumerlab.com. ($69/year subscription; independent testing model)</w:t>
      </w:r>
    </w:p>
    <w:p>
      <w:pPr>
        <w:pStyle w:val="ListNumber"/>
        <w:spacing w:after="40"/>
      </w:pPr>
      <w:r>
        <w:t>MECART Cleanrooms. "Cost of a Modular Cleanroom per Square Foot." mecart-cleanrooms.com. ($100–$250/sq ft for ISO 8)</w:t>
      </w:r>
    </w:p>
    <w:p>
      <w:pPr>
        <w:pStyle w:val="ListNumber"/>
        <w:spacing w:after="40"/>
      </w:pPr>
      <w:r>
        <w:t>SCC Soft Computer. "How Much Does LIMS Software Cost?" softcomputer.com. ($3K–$100K+ annually)</w:t>
      </w:r>
    </w:p>
    <w:p>
      <w:pPr>
        <w:spacing w:before="120" w:after="120"/>
        <w:pBdr>
          <w:bottom w:val="single" w:sz="6" w:space="1" w:color="AAAAAA"/>
        </w:pBdr>
      </w:pPr>
    </w:p>
    <w:p>
      <w:pPr>
        <w:pStyle w:val="Heading2"/>
        <w:spacing w:before="240" w:after="80"/>
      </w:pPr>
      <w:r>
        <w:t>Appendix B: Equipment Cost Matrix</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before="40" w:after="40"/>
            </w:pPr>
            <w:r>
              <w:rPr>
                <w:b/>
              </w:rPr>
            </w:r>
            <w:r>
              <w:rPr>
                <w:b/>
              </w:rPr>
              <w:t>Equipment</w:t>
            </w:r>
          </w:p>
        </w:tc>
        <w:tc>
          <w:tcPr>
            <w:tcW w:type="dxa" w:w="2340"/>
          </w:tcPr>
          <w:p>
            <w:pPr>
              <w:spacing w:before="40" w:after="40"/>
            </w:pPr>
            <w:r>
              <w:rPr>
                <w:b/>
              </w:rPr>
            </w:r>
            <w:r>
              <w:rPr>
                <w:b/>
              </w:rPr>
              <w:t>New Price</w:t>
            </w:r>
          </w:p>
        </w:tc>
        <w:tc>
          <w:tcPr>
            <w:tcW w:type="dxa" w:w="2340"/>
          </w:tcPr>
          <w:p>
            <w:pPr>
              <w:spacing w:before="40" w:after="40"/>
            </w:pPr>
            <w:r>
              <w:rPr>
                <w:b/>
              </w:rPr>
            </w:r>
            <w:r>
              <w:rPr>
                <w:b/>
              </w:rPr>
              <w:t>Refurbished Price</w:t>
            </w:r>
          </w:p>
        </w:tc>
        <w:tc>
          <w:tcPr>
            <w:tcW w:type="dxa" w:w="2340"/>
          </w:tcPr>
          <w:p>
            <w:pPr>
              <w:spacing w:before="40" w:after="40"/>
            </w:pPr>
            <w:r>
              <w:rPr>
                <w:b/>
              </w:rPr>
            </w:r>
            <w:r>
              <w:rPr>
                <w:b/>
              </w:rPr>
              <w:t>Annual Maintenance</w:t>
            </w:r>
          </w:p>
        </w:tc>
      </w:tr>
      <w:tr>
        <w:tc>
          <w:tcPr>
            <w:tcW w:type="dxa" w:w="2340"/>
          </w:tcPr>
          <w:p>
            <w:pPr>
              <w:spacing w:before="40" w:after="40"/>
            </w:pPr>
            <w:r/>
            <w:r>
              <w:t>HPLC system (Agilent 1260/1290, Waters ACQUITY)</w:t>
            </w:r>
          </w:p>
        </w:tc>
        <w:tc>
          <w:tcPr>
            <w:tcW w:type="dxa" w:w="2340"/>
          </w:tcPr>
          <w:p>
            <w:pPr>
              <w:spacing w:before="40" w:after="40"/>
            </w:pPr>
            <w:r/>
            <w:r>
              <w:t>$20,000–$100,000</w:t>
            </w:r>
          </w:p>
        </w:tc>
        <w:tc>
          <w:tcPr>
            <w:tcW w:type="dxa" w:w="2340"/>
          </w:tcPr>
          <w:p>
            <w:pPr>
              <w:spacing w:before="40" w:after="40"/>
            </w:pPr>
            <w:r/>
            <w:r>
              <w:t>$2,600–$50,000</w:t>
            </w:r>
          </w:p>
        </w:tc>
        <w:tc>
          <w:tcPr>
            <w:tcW w:type="dxa" w:w="2340"/>
          </w:tcPr>
          <w:p>
            <w:pPr>
              <w:spacing w:before="40" w:after="40"/>
            </w:pPr>
            <w:r/>
            <w:r>
              <w:t>$5,000–$15,000</w:t>
            </w:r>
          </w:p>
        </w:tc>
      </w:tr>
      <w:tr>
        <w:tc>
          <w:tcPr>
            <w:tcW w:type="dxa" w:w="2340"/>
          </w:tcPr>
          <w:p>
            <w:pPr>
              <w:spacing w:before="40" w:after="40"/>
            </w:pPr>
            <w:r/>
            <w:r>
              <w:t>LC-MS/MS (Waters Xevo, Sciex 6500+)</w:t>
            </w:r>
          </w:p>
        </w:tc>
        <w:tc>
          <w:tcPr>
            <w:tcW w:type="dxa" w:w="2340"/>
          </w:tcPr>
          <w:p>
            <w:pPr>
              <w:spacing w:before="40" w:after="40"/>
            </w:pPr>
            <w:r/>
            <w:r>
              <w:t>$300,000–$500,000</w:t>
            </w:r>
          </w:p>
        </w:tc>
        <w:tc>
          <w:tcPr>
            <w:tcW w:type="dxa" w:w="2340"/>
          </w:tcPr>
          <w:p>
            <w:pPr>
              <w:spacing w:before="40" w:after="40"/>
            </w:pPr>
            <w:r/>
            <w:r>
              <w:t>$150,000–$250,000</w:t>
            </w:r>
          </w:p>
        </w:tc>
        <w:tc>
          <w:tcPr>
            <w:tcW w:type="dxa" w:w="2340"/>
          </w:tcPr>
          <w:p>
            <w:pPr>
              <w:spacing w:before="40" w:after="40"/>
            </w:pPr>
            <w:r/>
            <w:r>
              <w:t>$25,000–$50,000</w:t>
            </w:r>
          </w:p>
        </w:tc>
      </w:tr>
      <w:tr>
        <w:tc>
          <w:tcPr>
            <w:tcW w:type="dxa" w:w="2340"/>
          </w:tcPr>
          <w:p>
            <w:pPr>
              <w:spacing w:before="40" w:after="40"/>
            </w:pPr>
            <w:r/>
            <w:r>
              <w:t>MALDI-TOF (Bruker, Shimadzu)</w:t>
            </w:r>
          </w:p>
        </w:tc>
        <w:tc>
          <w:tcPr>
            <w:tcW w:type="dxa" w:w="2340"/>
          </w:tcPr>
          <w:p>
            <w:pPr>
              <w:spacing w:before="40" w:after="40"/>
            </w:pPr>
            <w:r/>
            <w:r>
              <w:t>$150,000–$1,000,000</w:t>
            </w:r>
          </w:p>
        </w:tc>
        <w:tc>
          <w:tcPr>
            <w:tcW w:type="dxa" w:w="2340"/>
          </w:tcPr>
          <w:p>
            <w:pPr>
              <w:spacing w:before="40" w:after="40"/>
            </w:pPr>
            <w:r/>
            <w:r>
              <w:t>$75,000–$300,000</w:t>
            </w:r>
          </w:p>
        </w:tc>
        <w:tc>
          <w:tcPr>
            <w:tcW w:type="dxa" w:w="2340"/>
          </w:tcPr>
          <w:p>
            <w:pPr>
              <w:spacing w:before="40" w:after="40"/>
            </w:pPr>
            <w:r/>
            <w:r>
              <w:t>$25,000–$35,000</w:t>
            </w:r>
          </w:p>
        </w:tc>
      </w:tr>
      <w:tr>
        <w:tc>
          <w:tcPr>
            <w:tcW w:type="dxa" w:w="2340"/>
          </w:tcPr>
          <w:p>
            <w:pPr>
              <w:spacing w:before="40" w:after="40"/>
            </w:pPr>
            <w:r/>
            <w:r>
              <w:t>UV-Vis Spectrophotometer (Agilent Cary)</w:t>
            </w:r>
          </w:p>
        </w:tc>
        <w:tc>
          <w:tcPr>
            <w:tcW w:type="dxa" w:w="2340"/>
          </w:tcPr>
          <w:p>
            <w:pPr>
              <w:spacing w:before="40" w:after="40"/>
            </w:pPr>
            <w:r/>
            <w:r>
              <w:t>$3,000–$60,000</w:t>
            </w:r>
          </w:p>
        </w:tc>
        <w:tc>
          <w:tcPr>
            <w:tcW w:type="dxa" w:w="2340"/>
          </w:tcPr>
          <w:p>
            <w:pPr>
              <w:spacing w:before="40" w:after="40"/>
            </w:pPr>
            <w:r/>
            <w:r>
              <w:t>$1,500–$20,000</w:t>
            </w:r>
          </w:p>
        </w:tc>
        <w:tc>
          <w:tcPr>
            <w:tcW w:type="dxa" w:w="2340"/>
          </w:tcPr>
          <w:p>
            <w:pPr>
              <w:spacing w:before="40" w:after="40"/>
            </w:pPr>
            <w:r/>
            <w:r>
              <w:t>$500–$2,000</w:t>
            </w:r>
          </w:p>
        </w:tc>
      </w:tr>
      <w:tr>
        <w:tc>
          <w:tcPr>
            <w:tcW w:type="dxa" w:w="2340"/>
          </w:tcPr>
          <w:p>
            <w:pPr>
              <w:spacing w:before="40" w:after="40"/>
            </w:pPr>
            <w:r/>
            <w:r>
              <w:t>LAL endotoxin reader (Lonza PyroTec)</w:t>
            </w:r>
          </w:p>
        </w:tc>
        <w:tc>
          <w:tcPr>
            <w:tcW w:type="dxa" w:w="2340"/>
          </w:tcPr>
          <w:p>
            <w:pPr>
              <w:spacing w:before="40" w:after="40"/>
            </w:pPr>
            <w:r/>
            <w:r>
              <w:t>$10,000–$25,000</w:t>
            </w:r>
          </w:p>
        </w:tc>
        <w:tc>
          <w:tcPr>
            <w:tcW w:type="dxa" w:w="2340"/>
          </w:tcPr>
          <w:p>
            <w:pPr>
              <w:spacing w:before="40" w:after="40"/>
            </w:pPr>
            <w:r/>
            <w:r>
              <w:t>$5,000–$15,000</w:t>
            </w:r>
          </w:p>
        </w:tc>
        <w:tc>
          <w:tcPr>
            <w:tcW w:type="dxa" w:w="2340"/>
          </w:tcPr>
          <w:p>
            <w:pPr>
              <w:spacing w:before="40" w:after="40"/>
            </w:pPr>
            <w:r/>
            <w:r>
              <w:t>$1,000–$3,000</w:t>
            </w:r>
          </w:p>
        </w:tc>
      </w:tr>
      <w:tr>
        <w:tc>
          <w:tcPr>
            <w:tcW w:type="dxa" w:w="2340"/>
          </w:tcPr>
          <w:p>
            <w:pPr>
              <w:spacing w:before="40" w:after="40"/>
            </w:pPr>
            <w:r/>
            <w:r>
              <w:t>Analytical balance (Mettler Toledo)</w:t>
            </w:r>
          </w:p>
        </w:tc>
        <w:tc>
          <w:tcPr>
            <w:tcW w:type="dxa" w:w="2340"/>
          </w:tcPr>
          <w:p>
            <w:pPr>
              <w:spacing w:before="40" w:after="40"/>
            </w:pPr>
            <w:r/>
            <w:r>
              <w:t>$2,000–$8,000</w:t>
            </w:r>
          </w:p>
        </w:tc>
        <w:tc>
          <w:tcPr>
            <w:tcW w:type="dxa" w:w="2340"/>
          </w:tcPr>
          <w:p>
            <w:pPr>
              <w:spacing w:before="40" w:after="40"/>
            </w:pPr>
            <w:r/>
            <w:r>
              <w:t>$500–$3,000</w:t>
            </w:r>
          </w:p>
        </w:tc>
        <w:tc>
          <w:tcPr>
            <w:tcW w:type="dxa" w:w="2340"/>
          </w:tcPr>
          <w:p>
            <w:pPr>
              <w:spacing w:before="40" w:after="40"/>
            </w:pPr>
            <w:r/>
            <w:r>
              <w:t>$500–$1,000</w:t>
            </w:r>
          </w:p>
        </w:tc>
      </w:tr>
      <w:tr>
        <w:tc>
          <w:tcPr>
            <w:tcW w:type="dxa" w:w="2340"/>
          </w:tcPr>
          <w:p>
            <w:pPr>
              <w:spacing w:before="40" w:after="40"/>
            </w:pPr>
            <w:r/>
            <w:r>
              <w:t>Centrifuge (benchtop)</w:t>
            </w:r>
          </w:p>
        </w:tc>
        <w:tc>
          <w:tcPr>
            <w:tcW w:type="dxa" w:w="2340"/>
          </w:tcPr>
          <w:p>
            <w:pPr>
              <w:spacing w:before="40" w:after="40"/>
            </w:pPr>
            <w:r/>
            <w:r>
              <w:t>$2,000–$15,000</w:t>
            </w:r>
          </w:p>
        </w:tc>
        <w:tc>
          <w:tcPr>
            <w:tcW w:type="dxa" w:w="2340"/>
          </w:tcPr>
          <w:p>
            <w:pPr>
              <w:spacing w:before="40" w:after="40"/>
            </w:pPr>
            <w:r/>
            <w:r>
              <w:t>$500–$5,000</w:t>
            </w:r>
          </w:p>
        </w:tc>
        <w:tc>
          <w:tcPr>
            <w:tcW w:type="dxa" w:w="2340"/>
          </w:tcPr>
          <w:p>
            <w:pPr>
              <w:spacing w:before="40" w:after="40"/>
            </w:pPr>
            <w:r/>
            <w:r>
              <w:t>$500–$1,500</w:t>
            </w:r>
          </w:p>
        </w:tc>
      </w:tr>
      <w:tr>
        <w:tc>
          <w:tcPr>
            <w:tcW w:type="dxa" w:w="2340"/>
          </w:tcPr>
          <w:p>
            <w:pPr>
              <w:spacing w:before="40" w:after="40"/>
            </w:pPr>
            <w:r/>
            <w:r>
              <w:t>pH meter</w:t>
            </w:r>
          </w:p>
        </w:tc>
        <w:tc>
          <w:tcPr>
            <w:tcW w:type="dxa" w:w="2340"/>
          </w:tcPr>
          <w:p>
            <w:pPr>
              <w:spacing w:before="40" w:after="40"/>
            </w:pPr>
            <w:r/>
            <w:r>
              <w:t>$500–$5,000</w:t>
            </w:r>
          </w:p>
        </w:tc>
        <w:tc>
          <w:tcPr>
            <w:tcW w:type="dxa" w:w="2340"/>
          </w:tcPr>
          <w:p>
            <w:pPr>
              <w:spacing w:before="40" w:after="40"/>
            </w:pPr>
            <w:r/>
            <w:r>
              <w:t>$100–$1,000</w:t>
            </w:r>
          </w:p>
        </w:tc>
        <w:tc>
          <w:tcPr>
            <w:tcW w:type="dxa" w:w="2340"/>
          </w:tcPr>
          <w:p>
            <w:pPr>
              <w:spacing w:before="40" w:after="40"/>
            </w:pPr>
            <w:r/>
            <w:r>
              <w:t>—</w:t>
            </w:r>
          </w:p>
        </w:tc>
      </w:tr>
      <w:tr>
        <w:tc>
          <w:tcPr>
            <w:tcW w:type="dxa" w:w="2340"/>
          </w:tcPr>
          <w:p>
            <w:pPr>
              <w:spacing w:before="40" w:after="40"/>
            </w:pPr>
            <w:r/>
            <w:r>
              <w:t>Cold storage (−20°C freezer, 4°C refrigerator)</w:t>
            </w:r>
          </w:p>
        </w:tc>
        <w:tc>
          <w:tcPr>
            <w:tcW w:type="dxa" w:w="2340"/>
          </w:tcPr>
          <w:p>
            <w:pPr>
              <w:spacing w:before="40" w:after="40"/>
            </w:pPr>
            <w:r/>
            <w:r>
              <w:t>$3,000–$15,000</w:t>
            </w:r>
          </w:p>
        </w:tc>
        <w:tc>
          <w:tcPr>
            <w:tcW w:type="dxa" w:w="2340"/>
          </w:tcPr>
          <w:p>
            <w:pPr>
              <w:spacing w:before="40" w:after="40"/>
            </w:pPr>
            <w:r/>
            <w:r>
              <w:t>$1,000–$5,000</w:t>
            </w:r>
          </w:p>
        </w:tc>
        <w:tc>
          <w:tcPr>
            <w:tcW w:type="dxa" w:w="2340"/>
          </w:tcPr>
          <w:p>
            <w:pPr>
              <w:spacing w:before="40" w:after="40"/>
            </w:pPr>
            <w:r/>
            <w:r>
              <w:t>—</w:t>
            </w:r>
          </w:p>
        </w:tc>
      </w:tr>
      <w:tr>
        <w:tc>
          <w:tcPr>
            <w:tcW w:type="dxa" w:w="2340"/>
          </w:tcPr>
          <w:p>
            <w:pPr>
              <w:spacing w:before="40" w:after="40"/>
            </w:pPr>
            <w:r/>
            <w:r>
              <w:rPr>
                <w:b/>
              </w:rPr>
              <w:t>Basic lab total (HPLC + UV + ancillary)</w:t>
            </w:r>
          </w:p>
        </w:tc>
        <w:tc>
          <w:tcPr>
            <w:tcW w:type="dxa" w:w="2340"/>
          </w:tcPr>
          <w:p>
            <w:pPr>
              <w:spacing w:before="40" w:after="40"/>
            </w:pPr>
            <w:r/>
            <w:r>
              <w:rPr>
                <w:b/>
              </w:rPr>
              <w:t>$50,000–$150,000</w:t>
            </w:r>
          </w:p>
        </w:tc>
        <w:tc>
          <w:tcPr>
            <w:tcW w:type="dxa" w:w="2340"/>
          </w:tcPr>
          <w:p>
            <w:pPr>
              <w:spacing w:before="40" w:after="40"/>
            </w:pPr>
            <w:r/>
            <w:r>
              <w:rPr>
                <w:b/>
              </w:rPr>
              <w:t>$20,000–$80,000</w:t>
            </w:r>
          </w:p>
        </w:tc>
        <w:tc>
          <w:tcPr>
            <w:tcW w:type="dxa" w:w="2340"/>
          </w:tcPr>
          <w:p>
            <w:pPr>
              <w:spacing w:before="40" w:after="40"/>
            </w:pPr>
            <w:r/>
            <w:r>
              <w:t>—</w:t>
            </w:r>
          </w:p>
        </w:tc>
      </w:tr>
      <w:tr>
        <w:tc>
          <w:tcPr>
            <w:tcW w:type="dxa" w:w="2340"/>
          </w:tcPr>
          <w:p>
            <w:pPr>
              <w:spacing w:before="40" w:after="40"/>
            </w:pPr>
            <w:r/>
            <w:r>
              <w:rPr>
                <w:b/>
              </w:rPr>
              <w:t>Comprehensive lab total</w:t>
            </w:r>
          </w:p>
        </w:tc>
        <w:tc>
          <w:tcPr>
            <w:tcW w:type="dxa" w:w="2340"/>
          </w:tcPr>
          <w:p>
            <w:pPr>
              <w:spacing w:before="40" w:after="40"/>
            </w:pPr>
            <w:r/>
            <w:r>
              <w:rPr>
                <w:b/>
              </w:rPr>
              <w:t>$500K–$1M+</w:t>
            </w:r>
          </w:p>
        </w:tc>
        <w:tc>
          <w:tcPr>
            <w:tcW w:type="dxa" w:w="2340"/>
          </w:tcPr>
          <w:p>
            <w:pPr>
              <w:spacing w:before="40" w:after="40"/>
            </w:pPr>
            <w:r/>
            <w:r>
              <w:rPr>
                <w:b/>
              </w:rPr>
              <w:t>$200K–$500K</w:t>
            </w:r>
          </w:p>
        </w:tc>
        <w:tc>
          <w:tcPr>
            <w:tcW w:type="dxa" w:w="2340"/>
          </w:tcPr>
          <w:p>
            <w:pPr>
              <w:spacing w:before="40" w:after="40"/>
            </w:pPr>
            <w:r/>
            <w:r>
              <w:rPr>
                <w:b/>
              </w:rPr>
              <w:t>$57K–$107K/yr</w:t>
            </w:r>
          </w:p>
        </w:tc>
      </w:tr>
    </w:tbl>
    <w:p/>
    <w:p>
      <w:pPr>
        <w:spacing w:before="120" w:after="120"/>
        <w:pBdr>
          <w:bottom w:val="single" w:sz="6" w:space="1" w:color="AAAAAA"/>
        </w:pBdr>
      </w:pPr>
    </w:p>
    <w:p>
      <w:pPr>
        <w:pStyle w:val="Heading2"/>
        <w:spacing w:before="240" w:after="80"/>
      </w:pPr>
      <w:r>
        <w:t>Appendix C: Competitive Comparison Matrix</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before="40" w:after="40"/>
            </w:pPr>
            <w:r>
              <w:rPr>
                <w:b/>
              </w:rPr>
            </w:r>
            <w:r>
              <w:rPr>
                <w:b/>
              </w:rPr>
              <w:t>Feature</w:t>
            </w:r>
          </w:p>
        </w:tc>
        <w:tc>
          <w:tcPr>
            <w:tcW w:type="dxa" w:w="1337"/>
          </w:tcPr>
          <w:p>
            <w:pPr>
              <w:spacing w:before="40" w:after="40"/>
            </w:pPr>
            <w:r>
              <w:rPr>
                <w:b/>
              </w:rPr>
            </w:r>
            <w:r>
              <w:rPr>
                <w:b/>
              </w:rPr>
              <w:t>Janoshik</w:t>
            </w:r>
          </w:p>
        </w:tc>
        <w:tc>
          <w:tcPr>
            <w:tcW w:type="dxa" w:w="1337"/>
          </w:tcPr>
          <w:p>
            <w:pPr>
              <w:spacing w:before="40" w:after="40"/>
            </w:pPr>
            <w:r>
              <w:rPr>
                <w:b/>
              </w:rPr>
            </w:r>
            <w:r>
              <w:rPr>
                <w:b/>
              </w:rPr>
              <w:t>Colmaric</w:t>
            </w:r>
          </w:p>
        </w:tc>
        <w:tc>
          <w:tcPr>
            <w:tcW w:type="dxa" w:w="1337"/>
          </w:tcPr>
          <w:p>
            <w:pPr>
              <w:spacing w:before="40" w:after="40"/>
            </w:pPr>
            <w:r>
              <w:rPr>
                <w:b/>
              </w:rPr>
            </w:r>
            <w:r>
              <w:rPr>
                <w:b/>
              </w:rPr>
              <w:t>MZ Biolabs</w:t>
            </w:r>
          </w:p>
        </w:tc>
        <w:tc>
          <w:tcPr>
            <w:tcW w:type="dxa" w:w="1337"/>
          </w:tcPr>
          <w:p>
            <w:pPr>
              <w:spacing w:before="40" w:after="40"/>
            </w:pPr>
            <w:r>
              <w:rPr>
                <w:b/>
              </w:rPr>
            </w:r>
            <w:r>
              <w:rPr>
                <w:b/>
              </w:rPr>
              <w:t>ACS Lab</w:t>
            </w:r>
          </w:p>
        </w:tc>
        <w:tc>
          <w:tcPr>
            <w:tcW w:type="dxa" w:w="1337"/>
          </w:tcPr>
          <w:p>
            <w:pPr>
              <w:spacing w:before="40" w:after="40"/>
            </w:pPr>
            <w:r>
              <w:rPr>
                <w:b/>
              </w:rPr>
            </w:r>
            <w:r>
              <w:rPr>
                <w:b/>
              </w:rPr>
              <w:t>Finnrick</w:t>
            </w:r>
          </w:p>
        </w:tc>
        <w:tc>
          <w:tcPr>
            <w:tcW w:type="dxa" w:w="1337"/>
          </w:tcPr>
          <w:p>
            <w:pPr>
              <w:spacing w:before="40" w:after="40"/>
            </w:pPr>
            <w:r>
              <w:rPr>
                <w:b/>
              </w:rPr>
            </w:r>
            <w:r>
              <w:rPr>
                <w:b/>
              </w:rPr>
              <w:t>Your Brand</w:t>
            </w:r>
          </w:p>
        </w:tc>
      </w:tr>
      <w:tr>
        <w:tc>
          <w:tcPr>
            <w:tcW w:type="dxa" w:w="1337"/>
          </w:tcPr>
          <w:p>
            <w:pPr>
              <w:spacing w:before="40" w:after="40"/>
            </w:pPr>
            <w:r/>
            <w:r>
              <w:t>US-based</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r>
      <w:tr>
        <w:tc>
          <w:tcPr>
            <w:tcW w:type="dxa" w:w="1337"/>
          </w:tcPr>
          <w:p>
            <w:pPr>
              <w:spacing w:before="40" w:after="40"/>
            </w:pPr>
            <w:r/>
            <w:r>
              <w:t>Public pricing</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 ($200–300)</w:t>
            </w:r>
          </w:p>
        </w:tc>
        <w:tc>
          <w:tcPr>
            <w:tcW w:type="dxa" w:w="1337"/>
          </w:tcPr>
          <w:p>
            <w:pPr>
              <w:spacing w:before="40" w:after="40"/>
            </w:pPr>
            <w:r/>
            <w:r>
              <w:t>✓ ($150–1,500)</w:t>
            </w:r>
          </w:p>
        </w:tc>
        <w:tc>
          <w:tcPr>
            <w:tcW w:type="dxa" w:w="1337"/>
          </w:tcPr>
          <w:p>
            <w:pPr>
              <w:spacing w:before="40" w:after="40"/>
            </w:pPr>
            <w:r/>
            <w:r>
              <w:t>N/A</w:t>
            </w:r>
          </w:p>
        </w:tc>
        <w:tc>
          <w:tcPr>
            <w:tcW w:type="dxa" w:w="1337"/>
          </w:tcPr>
          <w:p>
            <w:pPr>
              <w:spacing w:before="40" w:after="40"/>
            </w:pPr>
            <w:r/>
            <w:r>
              <w:t>✓ (target)</w:t>
            </w:r>
          </w:p>
        </w:tc>
      </w:tr>
      <w:tr>
        <w:tc>
          <w:tcPr>
            <w:tcW w:type="dxa" w:w="1337"/>
          </w:tcPr>
          <w:p>
            <w:pPr>
              <w:spacing w:before="40" w:after="40"/>
            </w:pPr>
            <w:r/>
            <w:r>
              <w:t>ISO 17025</w:t>
            </w:r>
          </w:p>
        </w:tc>
        <w:tc>
          <w:tcPr>
            <w:tcW w:type="dxa" w:w="1337"/>
          </w:tcPr>
          <w:p>
            <w:pPr>
              <w:spacing w:before="40" w:after="40"/>
            </w:pPr>
            <w:r/>
            <w:r>
              <w:t>Disputed</w:t>
            </w:r>
          </w:p>
        </w:tc>
        <w:tc>
          <w:tcPr>
            <w:tcW w:type="dxa" w:w="1337"/>
          </w:tcPr>
          <w:p>
            <w:pPr>
              <w:spacing w:before="40" w:after="40"/>
            </w:pPr>
            <w:r/>
            <w:r>
              <w:t>Partial</w:t>
            </w:r>
          </w:p>
        </w:tc>
        <w:tc>
          <w:tcPr>
            <w:tcW w:type="dxa" w:w="1337"/>
          </w:tcPr>
          <w:p>
            <w:pPr>
              <w:spacing w:before="40" w:after="40"/>
            </w:pPr>
            <w:r/>
            <w:r>
              <w:t>✗</w:t>
            </w:r>
          </w:p>
        </w:tc>
        <w:tc>
          <w:tcPr>
            <w:tcW w:type="dxa" w:w="1337"/>
          </w:tcPr>
          <w:p>
            <w:pPr>
              <w:spacing w:before="40" w:after="40"/>
            </w:pPr>
            <w:r/>
            <w:r>
              <w:t>Partial</w:t>
            </w:r>
          </w:p>
        </w:tc>
        <w:tc>
          <w:tcPr>
            <w:tcW w:type="dxa" w:w="1337"/>
          </w:tcPr>
          <w:p>
            <w:pPr>
              <w:spacing w:before="40" w:after="40"/>
            </w:pPr>
            <w:r/>
            <w:r>
              <w:t>N/A</w:t>
            </w:r>
          </w:p>
        </w:tc>
        <w:tc>
          <w:tcPr>
            <w:tcW w:type="dxa" w:w="1337"/>
          </w:tcPr>
          <w:p>
            <w:pPr>
              <w:spacing w:before="40" w:after="40"/>
            </w:pPr>
            <w:r/>
            <w:r>
              <w:t>✓ (target Y1.5)</w:t>
            </w:r>
          </w:p>
        </w:tc>
      </w:tr>
      <w:tr>
        <w:tc>
          <w:tcPr>
            <w:tcW w:type="dxa" w:w="1337"/>
          </w:tcPr>
          <w:p>
            <w:pPr>
              <w:spacing w:before="40" w:after="40"/>
            </w:pPr>
            <w:r/>
            <w:r>
              <w:t>HPLC purity</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Independent</w:t>
            </w:r>
          </w:p>
        </w:tc>
        <w:tc>
          <w:tcPr>
            <w:tcW w:type="dxa" w:w="1337"/>
          </w:tcPr>
          <w:p>
            <w:pPr>
              <w:spacing w:before="40" w:after="40"/>
            </w:pPr>
            <w:r/>
            <w:r>
              <w:t>✓</w:t>
            </w:r>
          </w:p>
        </w:tc>
      </w:tr>
      <w:tr>
        <w:tc>
          <w:tcPr>
            <w:tcW w:type="dxa" w:w="1337"/>
          </w:tcPr>
          <w:p>
            <w:pPr>
              <w:spacing w:before="40" w:after="40"/>
            </w:pPr>
            <w:r/>
            <w:r>
              <w:t>Mass spec</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Independent</w:t>
            </w:r>
          </w:p>
        </w:tc>
        <w:tc>
          <w:tcPr>
            <w:tcW w:type="dxa" w:w="1337"/>
          </w:tcPr>
          <w:p>
            <w:pPr>
              <w:spacing w:before="40" w:after="40"/>
            </w:pPr>
            <w:r/>
            <w:r>
              <w:t>✓</w:t>
            </w:r>
          </w:p>
        </w:tc>
      </w:tr>
      <w:tr>
        <w:tc>
          <w:tcPr>
            <w:tcW w:type="dxa" w:w="1337"/>
          </w:tcPr>
          <w:p>
            <w:pPr>
              <w:spacing w:before="40" w:after="40"/>
            </w:pPr>
            <w:r/>
            <w:r>
              <w:t>Endotoxin testing</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 (added 2024)</w:t>
            </w:r>
          </w:p>
        </w:tc>
        <w:tc>
          <w:tcPr>
            <w:tcW w:type="dxa" w:w="1337"/>
          </w:tcPr>
          <w:p>
            <w:pPr>
              <w:spacing w:before="40" w:after="40"/>
            </w:pPr>
            <w:r/>
            <w:r>
              <w:t>Partial</w:t>
            </w:r>
          </w:p>
        </w:tc>
        <w:tc>
          <w:tcPr>
            <w:tcW w:type="dxa" w:w="1337"/>
          </w:tcPr>
          <w:p>
            <w:pPr>
              <w:spacing w:before="40" w:after="40"/>
            </w:pPr>
            <w:r/>
            <w:r>
              <w:t>✗</w:t>
            </w:r>
          </w:p>
        </w:tc>
        <w:tc>
          <w:tcPr>
            <w:tcW w:type="dxa" w:w="1337"/>
          </w:tcPr>
          <w:p>
            <w:pPr>
              <w:spacing w:before="40" w:after="40"/>
            </w:pPr>
            <w:r/>
            <w:r>
              <w:t>✓</w:t>
            </w:r>
          </w:p>
        </w:tc>
      </w:tr>
      <w:tr>
        <w:tc>
          <w:tcPr>
            <w:tcW w:type="dxa" w:w="1337"/>
          </w:tcPr>
          <w:p>
            <w:pPr>
              <w:spacing w:before="40" w:after="40"/>
            </w:pPr>
            <w:r/>
            <w:r>
              <w:t>Sterility testing</w:t>
            </w:r>
          </w:p>
        </w:tc>
        <w:tc>
          <w:tcPr>
            <w:tcW w:type="dxa" w:w="1337"/>
          </w:tcPr>
          <w:p>
            <w:pPr>
              <w:spacing w:before="40" w:after="40"/>
            </w:pPr>
            <w:r/>
            <w:r>
              <w:t>✓</w:t>
            </w:r>
          </w:p>
        </w:tc>
        <w:tc>
          <w:tcPr>
            <w:tcW w:type="dxa" w:w="1337"/>
          </w:tcPr>
          <w:p>
            <w:pPr>
              <w:spacing w:before="40" w:after="40"/>
            </w:pPr>
            <w:r/>
            <w:r>
              <w:t>Partial</w:t>
            </w:r>
          </w:p>
        </w:tc>
        <w:tc>
          <w:tcPr>
            <w:tcW w:type="dxa" w:w="1337"/>
          </w:tcPr>
          <w:p>
            <w:pPr>
              <w:spacing w:before="40" w:after="40"/>
            </w:pPr>
            <w:r/>
            <w:r>
              <w:t>✓ (added 2025)</w:t>
            </w:r>
          </w:p>
        </w:tc>
        <w:tc>
          <w:tcPr>
            <w:tcW w:type="dxa" w:w="1337"/>
          </w:tcPr>
          <w:p>
            <w:pPr>
              <w:spacing w:before="40" w:after="40"/>
            </w:pPr>
            <w:r/>
            <w:r>
              <w:t>Partial</w:t>
            </w:r>
          </w:p>
        </w:tc>
        <w:tc>
          <w:tcPr>
            <w:tcW w:type="dxa" w:w="1337"/>
          </w:tcPr>
          <w:p>
            <w:pPr>
              <w:spacing w:before="40" w:after="40"/>
            </w:pPr>
            <w:r/>
            <w:r>
              <w:t>✗</w:t>
            </w:r>
          </w:p>
        </w:tc>
        <w:tc>
          <w:tcPr>
            <w:tcW w:type="dxa" w:w="1337"/>
          </w:tcPr>
          <w:p>
            <w:pPr>
              <w:spacing w:before="40" w:after="40"/>
            </w:pPr>
            <w:r/>
            <w:r>
              <w:t>✓</w:t>
            </w:r>
          </w:p>
        </w:tc>
      </w:tr>
      <w:tr>
        <w:tc>
          <w:tcPr>
            <w:tcW w:type="dxa" w:w="1337"/>
          </w:tcPr>
          <w:p>
            <w:pPr>
              <w:spacing w:before="40" w:after="40"/>
            </w:pPr>
            <w:r/>
            <w:r>
              <w:t>Amino acid analysis</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 (premium tier)</w:t>
            </w:r>
          </w:p>
        </w:tc>
      </w:tr>
      <w:tr>
        <w:tc>
          <w:tcPr>
            <w:tcW w:type="dxa" w:w="1337"/>
          </w:tcPr>
          <w:p>
            <w:pPr>
              <w:spacing w:before="40" w:after="40"/>
            </w:pPr>
            <w:r/>
            <w:r>
              <w:t>Public COA database</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r>
      <w:tr>
        <w:tc>
          <w:tcPr>
            <w:tcW w:type="dxa" w:w="1337"/>
          </w:tcPr>
          <w:p>
            <w:pPr>
              <w:spacing w:before="40" w:after="40"/>
            </w:pPr>
            <w:r/>
            <w:r>
              <w:t>QR code verification</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r>
      <w:tr>
        <w:tc>
          <w:tcPr>
            <w:tcW w:type="dxa" w:w="1337"/>
          </w:tcPr>
          <w:p>
            <w:pPr>
              <w:spacing w:before="40" w:after="40"/>
            </w:pPr>
            <w:r/>
            <w:r>
              <w:t>Certification seal</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 (Y3+)</w:t>
            </w:r>
          </w:p>
        </w:tc>
      </w:tr>
      <w:tr>
        <w:tc>
          <w:tcPr>
            <w:tcW w:type="dxa" w:w="1337"/>
          </w:tcPr>
          <w:p>
            <w:pPr>
              <w:spacing w:before="40" w:after="40"/>
            </w:pPr>
            <w:r/>
            <w:r>
              <w:t>Vendor-facing SLA</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Partial</w:t>
            </w:r>
          </w:p>
        </w:tc>
        <w:tc>
          <w:tcPr>
            <w:tcW w:type="dxa" w:w="1337"/>
          </w:tcPr>
          <w:p>
            <w:pPr>
              <w:spacing w:before="40" w:after="40"/>
            </w:pPr>
            <w:r/>
            <w:r>
              <w:t>N/A</w:t>
            </w:r>
          </w:p>
        </w:tc>
        <w:tc>
          <w:tcPr>
            <w:tcW w:type="dxa" w:w="1337"/>
          </w:tcPr>
          <w:p>
            <w:pPr>
              <w:spacing w:before="40" w:after="40"/>
            </w:pPr>
            <w:r/>
            <w:r>
              <w:t>✓</w:t>
            </w:r>
          </w:p>
        </w:tc>
      </w:tr>
      <w:tr>
        <w:tc>
          <w:tcPr>
            <w:tcW w:type="dxa" w:w="1337"/>
          </w:tcPr>
          <w:p>
            <w:pPr>
              <w:spacing w:before="40" w:after="40"/>
            </w:pPr>
            <w:r/>
            <w:r>
              <w:t>Rush service</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N/A</w:t>
            </w:r>
          </w:p>
        </w:tc>
        <w:tc>
          <w:tcPr>
            <w:tcW w:type="dxa" w:w="1337"/>
          </w:tcPr>
          <w:p>
            <w:pPr>
              <w:spacing w:before="40" w:after="40"/>
            </w:pPr>
            <w:r/>
            <w:r>
              <w:t>✓</w:t>
            </w:r>
          </w:p>
        </w:tc>
      </w:tr>
      <w:tr>
        <w:tc>
          <w:tcPr>
            <w:tcW w:type="dxa" w:w="1337"/>
          </w:tcPr>
          <w:p>
            <w:pPr>
              <w:spacing w:before="40" w:after="40"/>
            </w:pPr>
            <w:r/>
            <w:r>
              <w:t>Community trust (current)</w:t>
            </w:r>
          </w:p>
        </w:tc>
        <w:tc>
          <w:tcPr>
            <w:tcW w:type="dxa" w:w="1337"/>
          </w:tcPr>
          <w:p>
            <w:pPr>
              <w:spacing w:before="40" w:after="40"/>
            </w:pPr>
            <w:r/>
            <w:r>
              <w:t>High</w:t>
            </w:r>
          </w:p>
        </w:tc>
        <w:tc>
          <w:tcPr>
            <w:tcW w:type="dxa" w:w="1337"/>
          </w:tcPr>
          <w:p>
            <w:pPr>
              <w:spacing w:before="40" w:after="40"/>
            </w:pPr>
            <w:r/>
            <w:r>
              <w:t>Medium-High</w:t>
            </w:r>
          </w:p>
        </w:tc>
        <w:tc>
          <w:tcPr>
            <w:tcW w:type="dxa" w:w="1337"/>
          </w:tcPr>
          <w:p>
            <w:pPr>
              <w:spacing w:before="40" w:after="40"/>
            </w:pPr>
            <w:r/>
            <w:r>
              <w:t>Low-Medium</w:t>
            </w:r>
          </w:p>
        </w:tc>
        <w:tc>
          <w:tcPr>
            <w:tcW w:type="dxa" w:w="1337"/>
          </w:tcPr>
          <w:p>
            <w:pPr>
              <w:spacing w:before="40" w:after="40"/>
            </w:pPr>
            <w:r/>
            <w:r>
              <w:t>Low</w:t>
            </w:r>
          </w:p>
        </w:tc>
        <w:tc>
          <w:tcPr>
            <w:tcW w:type="dxa" w:w="1337"/>
          </w:tcPr>
          <w:p>
            <w:pPr>
              <w:spacing w:before="40" w:after="40"/>
            </w:pPr>
            <w:r/>
            <w:r>
              <w:t>High (independent)</w:t>
            </w:r>
          </w:p>
        </w:tc>
        <w:tc>
          <w:tcPr>
            <w:tcW w:type="dxa" w:w="1337"/>
          </w:tcPr>
          <w:p>
            <w:pPr>
              <w:spacing w:before="40" w:after="40"/>
            </w:pPr>
            <w:r/>
            <w:r>
              <w:t>Build</w:t>
            </w:r>
          </w:p>
        </w:tc>
      </w:tr>
    </w:tbl>
    <w:p/>
    <w:p>
      <w:pPr>
        <w:spacing w:before="120" w:after="120"/>
        <w:pBdr>
          <w:bottom w:val="single" w:sz="6" w:space="1" w:color="AAAAAA"/>
        </w:pBdr>
      </w:pPr>
    </w:p>
    <w:p>
      <w:pPr>
        <w:pStyle w:val="Heading2"/>
        <w:spacing w:before="240" w:after="80"/>
      </w:pPr>
      <w:r>
        <w:t>Appendix D: Regulatory Quick-Reference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before="40" w:after="40"/>
            </w:pPr>
            <w:r>
              <w:rPr>
                <w:b/>
              </w:rPr>
            </w:r>
            <w:r>
              <w:rPr>
                <w:b/>
              </w:rPr>
              <w:t>Regulatory Item</w:t>
            </w:r>
          </w:p>
        </w:tc>
        <w:tc>
          <w:tcPr>
            <w:tcW w:type="dxa" w:w="2340"/>
          </w:tcPr>
          <w:p>
            <w:pPr>
              <w:spacing w:before="40" w:after="40"/>
            </w:pPr>
            <w:r>
              <w:rPr>
                <w:b/>
              </w:rPr>
            </w:r>
            <w:r>
              <w:rPr>
                <w:b/>
              </w:rPr>
              <w:t>Applies?</w:t>
            </w:r>
          </w:p>
        </w:tc>
        <w:tc>
          <w:tcPr>
            <w:tcW w:type="dxa" w:w="2340"/>
          </w:tcPr>
          <w:p>
            <w:pPr>
              <w:spacing w:before="40" w:after="40"/>
            </w:pPr>
            <w:r>
              <w:rPr>
                <w:b/>
              </w:rPr>
            </w:r>
            <w:r>
              <w:rPr>
                <w:b/>
              </w:rPr>
              <w:t>Required By</w:t>
            </w:r>
          </w:p>
        </w:tc>
        <w:tc>
          <w:tcPr>
            <w:tcW w:type="dxa" w:w="2340"/>
          </w:tcPr>
          <w:p>
            <w:pPr>
              <w:spacing w:before="40" w:after="40"/>
            </w:pPr>
            <w:r>
              <w:rPr>
                <w:b/>
              </w:rPr>
            </w:r>
            <w:r>
              <w:rPr>
                <w:b/>
              </w:rPr>
              <w:t>Notes</w:t>
            </w:r>
          </w:p>
        </w:tc>
      </w:tr>
      <w:tr>
        <w:tc>
          <w:tcPr>
            <w:tcW w:type="dxa" w:w="2340"/>
          </w:tcPr>
          <w:p>
            <w:pPr>
              <w:spacing w:before="40" w:after="40"/>
            </w:pPr>
            <w:r/>
            <w:r>
              <w:t>FDA facility registration</w:t>
            </w:r>
          </w:p>
        </w:tc>
        <w:tc>
          <w:tcPr>
            <w:tcW w:type="dxa" w:w="2340"/>
          </w:tcPr>
          <w:p>
            <w:pPr>
              <w:spacing w:before="40" w:after="40"/>
            </w:pPr>
            <w:r/>
            <w:r>
              <w:t>No (testing lab, not manufacturer)</w:t>
            </w:r>
          </w:p>
        </w:tc>
        <w:tc>
          <w:tcPr>
            <w:tcW w:type="dxa" w:w="2340"/>
          </w:tcPr>
          <w:p>
            <w:pPr>
              <w:spacing w:before="40" w:after="40"/>
            </w:pPr>
            <w:r/>
            <w:r>
              <w:t>FDA</w:t>
            </w:r>
          </w:p>
        </w:tc>
        <w:tc>
          <w:tcPr>
            <w:tcW w:type="dxa" w:w="2340"/>
          </w:tcPr>
          <w:p>
            <w:pPr>
              <w:spacing w:before="40" w:after="40"/>
            </w:pPr>
            <w:r/>
            <w:r>
              <w:t>Only required if manufacturing/distributing</w:t>
            </w:r>
          </w:p>
        </w:tc>
      </w:tr>
      <w:tr>
        <w:tc>
          <w:tcPr>
            <w:tcW w:type="dxa" w:w="2340"/>
          </w:tcPr>
          <w:p>
            <w:pPr>
              <w:spacing w:before="40" w:after="40"/>
            </w:pPr>
            <w:r/>
            <w:r>
              <w:t>CLIA registration</w:t>
            </w:r>
          </w:p>
        </w:tc>
        <w:tc>
          <w:tcPr>
            <w:tcW w:type="dxa" w:w="2340"/>
          </w:tcPr>
          <w:p>
            <w:pPr>
              <w:spacing w:before="40" w:after="40"/>
            </w:pPr>
            <w:r/>
            <w:r>
              <w:t>No (not clinical diagnostic lab)</w:t>
            </w:r>
          </w:p>
        </w:tc>
        <w:tc>
          <w:tcPr>
            <w:tcW w:type="dxa" w:w="2340"/>
          </w:tcPr>
          <w:p>
            <w:pPr>
              <w:spacing w:before="40" w:after="40"/>
            </w:pPr>
            <w:r/>
            <w:r>
              <w:t>CMS</w:t>
            </w:r>
          </w:p>
        </w:tc>
        <w:tc>
          <w:tcPr>
            <w:tcW w:type="dxa" w:w="2340"/>
          </w:tcPr>
          <w:p>
            <w:pPr>
              <w:spacing w:before="40" w:after="40"/>
            </w:pPr>
            <w:r/>
            <w:r>
              <w:t>Only for labs testing human specimens for clinical diagnosis</w:t>
            </w:r>
          </w:p>
        </w:tc>
      </w:tr>
      <w:tr>
        <w:tc>
          <w:tcPr>
            <w:tcW w:type="dxa" w:w="2340"/>
          </w:tcPr>
          <w:p>
            <w:pPr>
              <w:spacing w:before="40" w:after="40"/>
            </w:pPr>
            <w:r/>
            <w:r>
              <w:t>DEA registration</w:t>
            </w:r>
          </w:p>
        </w:tc>
        <w:tc>
          <w:tcPr>
            <w:tcW w:type="dxa" w:w="2340"/>
          </w:tcPr>
          <w:p>
            <w:pPr>
              <w:spacing w:before="40" w:after="40"/>
            </w:pPr>
            <w:r/>
            <w:r>
              <w:t>No (peptides not scheduled)</w:t>
            </w:r>
          </w:p>
        </w:tc>
        <w:tc>
          <w:tcPr>
            <w:tcW w:type="dxa" w:w="2340"/>
          </w:tcPr>
          <w:p>
            <w:pPr>
              <w:spacing w:before="40" w:after="40"/>
            </w:pPr>
            <w:r/>
            <w:r>
              <w:t>DEA</w:t>
            </w:r>
          </w:p>
        </w:tc>
        <w:tc>
          <w:tcPr>
            <w:tcW w:type="dxa" w:w="2340"/>
          </w:tcPr>
          <w:p>
            <w:pPr>
              <w:spacing w:before="40" w:after="40"/>
            </w:pPr>
            <w:r/>
            <w:r>
              <w:t>Required only if handling Schedule I–V substances</w:t>
            </w:r>
          </w:p>
        </w:tc>
      </w:tr>
      <w:tr>
        <w:tc>
          <w:tcPr>
            <w:tcW w:type="dxa" w:w="2340"/>
          </w:tcPr>
          <w:p>
            <w:pPr>
              <w:spacing w:before="40" w:after="40"/>
            </w:pPr>
            <w:r/>
            <w:r>
              <w:t>State lab personnel license</w:t>
            </w:r>
          </w:p>
        </w:tc>
        <w:tc>
          <w:tcPr>
            <w:tcW w:type="dxa" w:w="2340"/>
          </w:tcPr>
          <w:p>
            <w:pPr>
              <w:spacing w:before="40" w:after="40"/>
            </w:pPr>
            <w:r/>
            <w:r>
              <w:t>Maybe (10 states)</w:t>
            </w:r>
          </w:p>
        </w:tc>
        <w:tc>
          <w:tcPr>
            <w:tcW w:type="dxa" w:w="2340"/>
          </w:tcPr>
          <w:p>
            <w:pPr>
              <w:spacing w:before="40" w:after="40"/>
            </w:pPr>
            <w:r/>
            <w:r>
              <w:t>State agencies</w:t>
            </w:r>
          </w:p>
        </w:tc>
        <w:tc>
          <w:tcPr>
            <w:tcW w:type="dxa" w:w="2340"/>
          </w:tcPr>
          <w:p>
            <w:pPr>
              <w:spacing w:before="40" w:after="40"/>
            </w:pPr>
            <w:r/>
            <w:r>
              <w:t>CA, FL, NY, HI, ND, TN, LA, NV, WV, MT require licensure</w:t>
            </w:r>
          </w:p>
        </w:tc>
      </w:tr>
      <w:tr>
        <w:tc>
          <w:tcPr>
            <w:tcW w:type="dxa" w:w="2340"/>
          </w:tcPr>
          <w:p>
            <w:pPr>
              <w:spacing w:before="40" w:after="40"/>
            </w:pPr>
            <w:r/>
            <w:r>
              <w:t>ISO 17025 accreditation</w:t>
            </w:r>
          </w:p>
        </w:tc>
        <w:tc>
          <w:tcPr>
            <w:tcW w:type="dxa" w:w="2340"/>
          </w:tcPr>
          <w:p>
            <w:pPr>
              <w:spacing w:before="40" w:after="40"/>
            </w:pPr>
            <w:r/>
            <w:r>
              <w:t>Voluntary but essential</w:t>
            </w:r>
          </w:p>
        </w:tc>
        <w:tc>
          <w:tcPr>
            <w:tcW w:type="dxa" w:w="2340"/>
          </w:tcPr>
          <w:p>
            <w:pPr>
              <w:spacing w:before="40" w:after="40"/>
            </w:pPr>
            <w:r/>
            <w:r>
              <w:t>A2LA, PJLA</w:t>
            </w:r>
          </w:p>
        </w:tc>
        <w:tc>
          <w:tcPr>
            <w:tcW w:type="dxa" w:w="2340"/>
          </w:tcPr>
          <w:p>
            <w:pPr>
              <w:spacing w:before="40" w:after="40"/>
            </w:pPr>
            <w:r/>
            <w:r>
              <w:t>Gold standard credential; required by sophisticated clients</w:t>
            </w:r>
          </w:p>
        </w:tc>
      </w:tr>
      <w:tr>
        <w:tc>
          <w:tcPr>
            <w:tcW w:type="dxa" w:w="2340"/>
          </w:tcPr>
          <w:p>
            <w:pPr>
              <w:spacing w:before="40" w:after="40"/>
            </w:pPr>
            <w:r/>
            <w:r>
              <w:t>Professional liability insurance</w:t>
            </w:r>
          </w:p>
        </w:tc>
        <w:tc>
          <w:tcPr>
            <w:tcW w:type="dxa" w:w="2340"/>
          </w:tcPr>
          <w:p>
            <w:pPr>
              <w:spacing w:before="40" w:after="40"/>
            </w:pPr>
            <w:r/>
            <w:r>
              <w:t>Yes</w:t>
            </w:r>
          </w:p>
        </w:tc>
        <w:tc>
          <w:tcPr>
            <w:tcW w:type="dxa" w:w="2340"/>
          </w:tcPr>
          <w:p>
            <w:pPr>
              <w:spacing w:before="40" w:after="40"/>
            </w:pPr>
            <w:r/>
            <w:r>
              <w:t>Market standard</w:t>
            </w:r>
          </w:p>
        </w:tc>
        <w:tc>
          <w:tcPr>
            <w:tcW w:type="dxa" w:w="2340"/>
          </w:tcPr>
          <w:p>
            <w:pPr>
              <w:spacing w:before="40" w:after="40"/>
            </w:pPr>
            <w:r/>
            <w:r>
              <w:t>E&amp;O insurance for COA issuance; consult insurance broker</w:t>
            </w:r>
          </w:p>
        </w:tc>
      </w:tr>
      <w:tr>
        <w:tc>
          <w:tcPr>
            <w:tcW w:type="dxa" w:w="2340"/>
          </w:tcPr>
          <w:p>
            <w:pPr>
              <w:spacing w:before="40" w:after="40"/>
            </w:pPr>
            <w:r/>
            <w:r>
              <w:t>Business license</w:t>
            </w:r>
          </w:p>
        </w:tc>
        <w:tc>
          <w:tcPr>
            <w:tcW w:type="dxa" w:w="2340"/>
          </w:tcPr>
          <w:p>
            <w:pPr>
              <w:spacing w:before="40" w:after="40"/>
            </w:pPr>
            <w:r/>
            <w:r>
              <w:t>Yes</w:t>
            </w:r>
          </w:p>
        </w:tc>
        <w:tc>
          <w:tcPr>
            <w:tcW w:type="dxa" w:w="2340"/>
          </w:tcPr>
          <w:p>
            <w:pPr>
              <w:spacing w:before="40" w:after="40"/>
            </w:pPr>
            <w:r/>
            <w:r>
              <w:t>State/local</w:t>
            </w:r>
          </w:p>
        </w:tc>
        <w:tc>
          <w:tcPr>
            <w:tcW w:type="dxa" w:w="2340"/>
          </w:tcPr>
          <w:p>
            <w:pPr>
              <w:spacing w:before="40" w:after="40"/>
            </w:pPr>
            <w:r/>
            <w:r>
              <w:t>Standard business operations</w:t>
            </w:r>
          </w:p>
        </w:tc>
      </w:tr>
      <w:tr>
        <w:tc>
          <w:tcPr>
            <w:tcW w:type="dxa" w:w="2340"/>
          </w:tcPr>
          <w:p>
            <w:pPr>
              <w:spacing w:before="40" w:after="40"/>
            </w:pPr>
            <w:r/>
            <w:r>
              <w:t>Trademark registration</w:t>
            </w:r>
          </w:p>
        </w:tc>
        <w:tc>
          <w:tcPr>
            <w:tcW w:type="dxa" w:w="2340"/>
          </w:tcPr>
          <w:p>
            <w:pPr>
              <w:spacing w:before="40" w:after="40"/>
            </w:pPr>
            <w:r/>
            <w:r>
              <w:t>Yes</w:t>
            </w:r>
          </w:p>
        </w:tc>
        <w:tc>
          <w:tcPr>
            <w:tcW w:type="dxa" w:w="2340"/>
          </w:tcPr>
          <w:p>
            <w:pPr>
              <w:spacing w:before="40" w:after="40"/>
            </w:pPr>
            <w:r/>
            <w:r>
              <w:t>USPTO</w:t>
            </w:r>
          </w:p>
        </w:tc>
        <w:tc>
          <w:tcPr>
            <w:tcW w:type="dxa" w:w="2340"/>
          </w:tcPr>
          <w:p>
            <w:pPr>
              <w:spacing w:before="40" w:after="40"/>
            </w:pPr>
            <w:r/>
            <w:r>
              <w:t>Protect certification seal and brand name</w:t>
            </w:r>
          </w:p>
        </w:tc>
      </w:tr>
    </w:tbl>
    <w:p/>
    <w:p>
      <w:pPr>
        <w:spacing w:before="120" w:after="120"/>
        <w:pBdr>
          <w:bottom w:val="single" w:sz="6" w:space="1" w:color="AAAAAA"/>
        </w:pBdr>
      </w:pPr>
    </w:p>
    <w:p>
      <w:pPr>
        <w:spacing w:before="120" w:after="120"/>
        <w:pBdr>
          <w:bottom w:val="single" w:sz="6" w:space="1" w:color="AAAAAA"/>
        </w:pBdr>
      </w:pPr>
    </w:p>
    <w:p>
      <w:pPr>
        <w:pStyle w:val="Heading2"/>
        <w:spacing w:before="240" w:after="80"/>
      </w:pPr>
      <w:r>
        <w:t>Appendix E: The Top Research Peptides — Market, FDA Status, Testing Relevance</w:t>
      </w:r>
    </w:p>
    <w:p>
      <w:pPr>
        <w:spacing w:after="120"/>
      </w:pPr>
      <w:r>
        <w:t>Understanding the specific peptides driving demand helps prioritize which test panels to develop and which regulatory shifts to watch. Below is a profile of the 15 most market-relevant research peptides as of 2026.</w:t>
      </w:r>
    </w:p>
    <w:p>
      <w:pPr>
        <w:pStyle w:val="Heading3"/>
        <w:spacing w:before="160" w:after="80"/>
      </w:pPr>
      <w:r>
        <w:t>Tissue Repair and Healing Peptides</w:t>
      </w:r>
    </w:p>
    <w:p>
      <w:pPr>
        <w:spacing w:after="120"/>
      </w:pPr>
      <w:r>
        <w:rPr>
          <w:b/>
        </w:rPr>
        <w:t>BPC-157 (Body Protection Compound-157)</w:t>
      </w:r>
    </w:p>
    <w:p>
      <w:pPr>
        <w:pStyle w:val="ListBullet"/>
        <w:spacing w:after="40"/>
      </w:pPr>
      <w:r>
        <w:rPr>
          <w:b/>
        </w:rPr>
        <w:t>Type:</w:t>
      </w:r>
      <w:r>
        <w:t xml:space="preserve"> Pentadecapeptide (15 amino acids); fragment of body protection compound found naturally in gastric juice</w:t>
      </w:r>
    </w:p>
    <w:p>
      <w:pPr>
        <w:pStyle w:val="ListBullet"/>
        <w:spacing w:after="40"/>
      </w:pPr>
      <w:r>
        <w:rPr>
          <w:b/>
        </w:rPr>
        <w:t>Claims:</w:t>
      </w:r>
      <w:r>
        <w:t xml:space="preserve"> Accelerated wound healing, joint repair, gut healing, tendon and ligament repair, neuroprotection</w:t>
      </w:r>
    </w:p>
    <w:p>
      <w:pPr>
        <w:pStyle w:val="ListBullet"/>
        <w:spacing w:after="40"/>
      </w:pPr>
      <w:r>
        <w:rPr>
          <w:b/>
        </w:rPr>
        <w:t>FDA status:</w:t>
      </w:r>
      <w:r>
        <w:t xml:space="preserve"> Category 2 (prohibited for compounding) since September 2023; PCAC review </w:t>
      </w:r>
      <w:r>
        <w:rPr>
          <w:b/>
        </w:rPr>
        <w:t>scheduled July 2026</w:t>
      </w:r>
      <w:r>
        <w:t xml:space="preserve"> — potential legalization for compounding</w:t>
      </w:r>
    </w:p>
    <w:p>
      <w:pPr>
        <w:pStyle w:val="ListBullet"/>
        <w:spacing w:after="40"/>
      </w:pPr>
      <w:r>
        <w:rPr>
          <w:b/>
        </w:rPr>
        <w:t>Testing relevance:</w:t>
      </w:r>
      <w:r>
        <w:t xml:space="preserve"> The #1 peptide by community demand. If PCAC legalizes it for compounding in July 2026, 503A pharmacies will immediately need COA testing for BPC-157 bulk substance. This is the single highest-impact regulatory event for the testing business.</w:t>
      </w:r>
    </w:p>
    <w:p>
      <w:pPr>
        <w:pStyle w:val="ListBullet"/>
        <w:spacing w:after="40"/>
      </w:pPr>
      <w:r>
        <w:rPr>
          <w:b/>
        </w:rPr>
        <w:t>Common impurities to test for:</w:t>
      </w:r>
      <w:r>
        <w:t xml:space="preserve"> Des-Arg9-BPC-157 (truncated sequence), oxidation products, synthesis byproducts</w:t>
      </w:r>
    </w:p>
    <w:p>
      <w:pPr>
        <w:spacing w:after="120"/>
      </w:pPr>
      <w:r>
        <w:rPr>
          <w:b/>
        </w:rPr>
        <w:t>TB-500 (Thymosin Beta-4 Fragment, Tβ4 fragment)</w:t>
      </w:r>
    </w:p>
    <w:p>
      <w:pPr>
        <w:pStyle w:val="ListBullet"/>
        <w:spacing w:after="40"/>
      </w:pPr>
      <w:r>
        <w:rPr>
          <w:b/>
        </w:rPr>
        <w:t>Type:</w:t>
      </w:r>
      <w:r>
        <w:t xml:space="preserve"> Synthetic fragment of thymosin beta-4 (43-amino acid peptide naturally occurring in most tissues)</w:t>
      </w:r>
    </w:p>
    <w:p>
      <w:pPr>
        <w:pStyle w:val="ListBullet"/>
        <w:spacing w:after="40"/>
      </w:pPr>
      <w:r>
        <w:rPr>
          <w:b/>
        </w:rPr>
        <w:t>Claims:</w:t>
      </w:r>
      <w:r>
        <w:t xml:space="preserve"> Tissue repair, muscle recovery, anti-inflammatory, hair growth</w:t>
      </w:r>
    </w:p>
    <w:p>
      <w:pPr>
        <w:pStyle w:val="ListBullet"/>
        <w:spacing w:after="40"/>
      </w:pPr>
      <w:r>
        <w:rPr>
          <w:b/>
        </w:rPr>
        <w:t>FDA status:</w:t>
      </w:r>
      <w:r>
        <w:t xml:space="preserve"> Category 2 (prohibited for compounding) since September 2023; PCAC review pending</w:t>
      </w:r>
    </w:p>
    <w:p>
      <w:pPr>
        <w:pStyle w:val="ListBullet"/>
        <w:spacing w:after="40"/>
      </w:pPr>
      <w:r>
        <w:rPr>
          <w:b/>
        </w:rPr>
        <w:t>Testing relevance:</w:t>
      </w:r>
      <w:r>
        <w:t xml:space="preserve"> Second highest demand after BPC-157. Complex peptide (larger molecule) makes MS confirmation more technically demanding.</w:t>
      </w:r>
    </w:p>
    <w:p>
      <w:pPr>
        <w:spacing w:after="120"/>
      </w:pPr>
      <w:r>
        <w:rPr>
          <w:b/>
        </w:rPr>
        <w:t>GHK-Cu (Copper Peptide)</w:t>
      </w:r>
    </w:p>
    <w:p>
      <w:pPr>
        <w:pStyle w:val="ListBullet"/>
        <w:spacing w:after="40"/>
      </w:pPr>
      <w:r>
        <w:rPr>
          <w:b/>
        </w:rPr>
        <w:t>Type:</w:t>
      </w:r>
      <w:r>
        <w:t xml:space="preserve"> Tripeptide (glycyl-histidyl-lysine) complexed with copper ion</w:t>
      </w:r>
    </w:p>
    <w:p>
      <w:pPr>
        <w:pStyle w:val="ListBullet"/>
        <w:spacing w:after="40"/>
      </w:pPr>
      <w:r>
        <w:rPr>
          <w:b/>
        </w:rPr>
        <w:t>Claims:</w:t>
      </w:r>
      <w:r>
        <w:t xml:space="preserve"> Skin regeneration, wound healing, hair growth — widely used in topical cosmetics</w:t>
      </w:r>
    </w:p>
    <w:p>
      <w:pPr>
        <w:pStyle w:val="ListBullet"/>
        <w:spacing w:after="40"/>
      </w:pPr>
      <w:r>
        <w:rPr>
          <w:b/>
        </w:rPr>
        <w:t>FDA status:</w:t>
      </w:r>
      <w:r>
        <w:t xml:space="preserve"> Unscheduled; not on any prohibited list for topical use. When used for injection, different standards apply.</w:t>
      </w:r>
    </w:p>
    <w:p>
      <w:pPr>
        <w:pStyle w:val="ListBullet"/>
        <w:spacing w:after="40"/>
      </w:pPr>
      <w:r>
        <w:rPr>
          <w:b/>
        </w:rPr>
        <w:t>Testing relevance:</w:t>
      </w:r>
      <w:r>
        <w:t xml:space="preserve"> Topical cosmetic market (not gray-market gray zone); potential for cosmetics-industry testing clients</w:t>
      </w:r>
    </w:p>
    <w:p>
      <w:pPr>
        <w:pStyle w:val="Heading3"/>
        <w:spacing w:before="160" w:after="80"/>
      </w:pPr>
      <w:r>
        <w:t>Growth Hormone-Related Peptides</w:t>
      </w:r>
    </w:p>
    <w:p>
      <w:pPr>
        <w:spacing w:after="120"/>
      </w:pPr>
      <w:r>
        <w:rPr>
          <w:b/>
        </w:rPr>
        <w:t>CJC-1295 (with and without DAC)</w:t>
      </w:r>
    </w:p>
    <w:p>
      <w:pPr>
        <w:pStyle w:val="ListBullet"/>
        <w:spacing w:after="40"/>
      </w:pPr>
      <w:r>
        <w:rPr>
          <w:b/>
        </w:rPr>
        <w:t>Type:</w:t>
      </w:r>
      <w:r>
        <w:t xml:space="preserve"> Synthetic analog of growth hormone-releasing hormone (GHRH)</w:t>
      </w:r>
    </w:p>
    <w:p>
      <w:pPr>
        <w:pStyle w:val="ListBullet"/>
        <w:spacing w:after="40"/>
      </w:pPr>
      <w:r>
        <w:rPr>
          <w:b/>
        </w:rPr>
        <w:t>Claims:</w:t>
      </w:r>
      <w:r>
        <w:t xml:space="preserve"> Stimulates growth hormone release; muscle gain, fat loss, recovery</w:t>
      </w:r>
    </w:p>
    <w:p>
      <w:pPr>
        <w:pStyle w:val="ListBullet"/>
        <w:spacing w:after="40"/>
      </w:pPr>
      <w:r>
        <w:rPr>
          <w:b/>
        </w:rPr>
        <w:t>FDA status:</w:t>
      </w:r>
      <w:r>
        <w:t xml:space="preserve"> Removed from Category 2 (September 2024); awaiting PCAC formal review for legalization</w:t>
      </w:r>
    </w:p>
    <w:p>
      <w:pPr>
        <w:pStyle w:val="ListBullet"/>
        <w:spacing w:after="40"/>
      </w:pPr>
      <w:r>
        <w:rPr>
          <w:b/>
        </w:rPr>
        <w:t>Testing relevance:</w:t>
      </w:r>
      <w:r>
        <w:t xml:space="preserve"> Popular combination with Ipamorelin ("CJC/Ipa stack"); demand is high; legally improving</w:t>
      </w:r>
    </w:p>
    <w:p>
      <w:pPr>
        <w:spacing w:after="120"/>
      </w:pPr>
      <w:r>
        <w:rPr>
          <w:b/>
        </w:rPr>
        <w:t>Ipamorelin</w:t>
      </w:r>
    </w:p>
    <w:p>
      <w:pPr>
        <w:pStyle w:val="ListBullet"/>
        <w:spacing w:after="40"/>
      </w:pPr>
      <w:r>
        <w:rPr>
          <w:b/>
        </w:rPr>
        <w:t>Type:</w:t>
      </w:r>
      <w:r>
        <w:t xml:space="preserve"> Pentapeptide GHRP (growth hormone-releasing peptide) and ghrelin receptor agonist</w:t>
      </w:r>
    </w:p>
    <w:p>
      <w:pPr>
        <w:pStyle w:val="ListBullet"/>
        <w:spacing w:after="40"/>
      </w:pPr>
      <w:r>
        <w:rPr>
          <w:b/>
        </w:rPr>
        <w:t>Claims:</w:t>
      </w:r>
      <w:r>
        <w:t xml:space="preserve"> GH release with fewer side effects than older GHRPs; muscle mass, sleep, recovery</w:t>
      </w:r>
    </w:p>
    <w:p>
      <w:pPr>
        <w:pStyle w:val="ListBullet"/>
        <w:spacing w:after="40"/>
      </w:pPr>
      <w:r>
        <w:rPr>
          <w:b/>
        </w:rPr>
        <w:t>FDA status:</w:t>
      </w:r>
      <w:r>
        <w:t xml:space="preserve"> Removed from Category 2 (September 2024); PCAC review pending</w:t>
      </w:r>
    </w:p>
    <w:p>
      <w:pPr>
        <w:pStyle w:val="ListBullet"/>
        <w:spacing w:after="40"/>
      </w:pPr>
      <w:r>
        <w:rPr>
          <w:b/>
        </w:rPr>
        <w:t>Testing relevance:</w:t>
      </w:r>
      <w:r>
        <w:t xml:space="preserve"> Widely used with CJC-1295. Testing the combination panel is a common request.</w:t>
      </w:r>
    </w:p>
    <w:p>
      <w:pPr>
        <w:spacing w:after="120"/>
      </w:pPr>
      <w:r>
        <w:rPr>
          <w:b/>
        </w:rPr>
        <w:t>Sermorelin</w:t>
      </w:r>
    </w:p>
    <w:p>
      <w:pPr>
        <w:pStyle w:val="ListBullet"/>
        <w:spacing w:after="40"/>
      </w:pPr>
      <w:r>
        <w:rPr>
          <w:b/>
        </w:rPr>
        <w:t>Type:</w:t>
      </w:r>
      <w:r>
        <w:t xml:space="preserve"> GHRH(1-29)-NH2; first 29 amino acids of endogenous human GHRH</w:t>
      </w:r>
    </w:p>
    <w:p>
      <w:pPr>
        <w:pStyle w:val="ListBullet"/>
        <w:spacing w:after="40"/>
      </w:pPr>
      <w:r>
        <w:rPr>
          <w:b/>
        </w:rPr>
        <w:t>FDA status:</w:t>
      </w:r>
      <w:r>
        <w:t xml:space="preserve"> Originally FDA-approved (1997, brand name Geref); withdrawn from commercial market 2008 due to manufacturer decision; </w:t>
      </w:r>
      <w:r>
        <w:rPr>
          <w:b/>
        </w:rPr>
        <w:t>still legal to compound under 503A</w:t>
      </w:r>
      <w:r>
        <w:t xml:space="preserve"> — was on the bulks list before Category 2 changes</w:t>
      </w:r>
    </w:p>
    <w:p>
      <w:pPr>
        <w:pStyle w:val="ListBullet"/>
        <w:spacing w:after="40"/>
      </w:pPr>
      <w:r>
        <w:rPr>
          <w:b/>
        </w:rPr>
        <w:t>Testing relevance:</w:t>
      </w:r>
      <w:r>
        <w:t xml:space="preserve"> Legal compounding status means legitimate pharmacy testing demand; identity confirmation critical (sequence must be precisely Ser-Met-Glu-...)</w:t>
      </w:r>
    </w:p>
    <w:p>
      <w:pPr>
        <w:spacing w:after="120"/>
      </w:pPr>
      <w:r>
        <w:rPr>
          <w:b/>
        </w:rPr>
        <w:t>Tesamorelin</w:t>
      </w:r>
    </w:p>
    <w:p>
      <w:pPr>
        <w:pStyle w:val="ListBullet"/>
        <w:spacing w:after="40"/>
      </w:pPr>
      <w:r>
        <w:rPr>
          <w:b/>
        </w:rPr>
        <w:t>Type:</w:t>
      </w:r>
      <w:r>
        <w:t xml:space="preserve"> Trans-3-hexenoic acid stabilized GHRH analog; 44 amino acids</w:t>
      </w:r>
    </w:p>
    <w:p>
      <w:pPr>
        <w:pStyle w:val="ListBullet"/>
        <w:spacing w:after="40"/>
      </w:pPr>
      <w:r>
        <w:rPr>
          <w:b/>
        </w:rPr>
        <w:t>FDA status:</w:t>
      </w:r>
      <w:r>
        <w:t xml:space="preserve"> </w:t>
      </w:r>
      <w:r>
        <w:rPr>
          <w:b/>
        </w:rPr>
        <w:t>FDA-approved</w:t>
      </w:r>
      <w:r>
        <w:t xml:space="preserve"> (Egrifta, 2010) for HIV-associated lipodystrophy</w:t>
      </w:r>
    </w:p>
    <w:p>
      <w:pPr>
        <w:pStyle w:val="ListBullet"/>
        <w:spacing w:after="40"/>
      </w:pPr>
      <w:r>
        <w:rPr>
          <w:b/>
        </w:rPr>
        <w:t>Testing relevance:</w:t>
      </w:r>
      <w:r>
        <w:t xml:space="preserve"> Compounded version testing — 503A pharmacies compound it for clinical use; COA required for bulk substance</w:t>
      </w:r>
    </w:p>
    <w:p>
      <w:pPr>
        <w:pStyle w:val="Heading3"/>
        <w:spacing w:before="160" w:after="80"/>
      </w:pPr>
      <w:r>
        <w:t>GLP-1 / Weight Loss Peptides</w:t>
      </w:r>
    </w:p>
    <w:p>
      <w:pPr>
        <w:spacing w:after="120"/>
      </w:pPr>
      <w:r>
        <w:rPr>
          <w:b/>
        </w:rPr>
        <w:t>Semaglutide</w:t>
      </w:r>
    </w:p>
    <w:p>
      <w:pPr>
        <w:pStyle w:val="ListBullet"/>
        <w:spacing w:after="40"/>
      </w:pPr>
      <w:r>
        <w:rPr>
          <w:b/>
        </w:rPr>
        <w:t>Type:</w:t>
      </w:r>
      <w:r>
        <w:t xml:space="preserve"> GLP-1 receptor agonist; 31-amino acid analog of human GLP-1 with C18 fatty acid chain</w:t>
      </w:r>
    </w:p>
    <w:p>
      <w:pPr>
        <w:pStyle w:val="ListBullet"/>
        <w:spacing w:after="40"/>
      </w:pPr>
      <w:r>
        <w:rPr>
          <w:b/>
        </w:rPr>
        <w:t>FDA status:</w:t>
      </w:r>
      <w:r>
        <w:t xml:space="preserve"> FDA-approved (Ozempic injection, Wegovy, Rybelsus oral) — approved drugs</w:t>
      </w:r>
    </w:p>
    <w:p>
      <w:pPr>
        <w:pStyle w:val="ListBullet"/>
        <w:spacing w:after="40"/>
      </w:pPr>
      <w:r>
        <w:rPr>
          <w:b/>
        </w:rPr>
        <w:t>Gray-market status:</w:t>
      </w:r>
      <w:r>
        <w:t xml:space="preserve"> $328M in gray-market imports from China (2025); compounded versions were legal during shortage; enforcement now active</w:t>
      </w:r>
    </w:p>
    <w:p>
      <w:pPr>
        <w:pStyle w:val="ListBullet"/>
        <w:spacing w:after="40"/>
      </w:pPr>
      <w:r>
        <w:rPr>
          <w:b/>
        </w:rPr>
        <w:t>Testing relevance:</w:t>
      </w:r>
      <w:r>
        <w:t xml:space="preserve"> The highest-profile quality crisis in the peptide space. Gray-market semaglutide has been found with incorrect concentration, wrong stereochemistry, and bacterial contamination. Testing demand is enormous. However, the legal/liability framework is complex — testing labs should be cautious about COAs being used to legitimize illegal semaglutide distribution.</w:t>
      </w:r>
    </w:p>
    <w:p>
      <w:pPr>
        <w:spacing w:after="120"/>
      </w:pPr>
      <w:r>
        <w:rPr>
          <w:b/>
        </w:rPr>
        <w:t>Tirzepatide</w:t>
      </w:r>
    </w:p>
    <w:p>
      <w:pPr>
        <w:pStyle w:val="ListBullet"/>
        <w:spacing w:after="40"/>
      </w:pPr>
      <w:r>
        <w:rPr>
          <w:b/>
        </w:rPr>
        <w:t>Type:</w:t>
      </w:r>
      <w:r>
        <w:t xml:space="preserve"> Dual GLP-1/GIP receptor agonist; 39 amino acids with fatty acid modification</w:t>
      </w:r>
    </w:p>
    <w:p>
      <w:pPr>
        <w:pStyle w:val="ListBullet"/>
        <w:spacing w:after="40"/>
      </w:pPr>
      <w:r>
        <w:rPr>
          <w:b/>
        </w:rPr>
        <w:t>FDA status:</w:t>
      </w:r>
      <w:r>
        <w:t xml:space="preserve"> FDA-approved (Mounjaro, Zepbound); shortage resolved October 2024</w:t>
      </w:r>
    </w:p>
    <w:p>
      <w:pPr>
        <w:pStyle w:val="ListBullet"/>
        <w:spacing w:after="40"/>
      </w:pPr>
      <w:r>
        <w:rPr>
          <w:b/>
        </w:rPr>
        <w:t>Testing relevance:</w:t>
      </w:r>
      <w:r>
        <w:t xml:space="preserve"> Same as semaglutide; high demand; same legal caution applies</w:t>
      </w:r>
    </w:p>
    <w:p>
      <w:pPr>
        <w:spacing w:after="120"/>
      </w:pPr>
      <w:r>
        <w:rPr>
          <w:b/>
        </w:rPr>
        <w:t>Retatrutide</w:t>
      </w:r>
    </w:p>
    <w:p>
      <w:pPr>
        <w:pStyle w:val="ListBullet"/>
        <w:spacing w:after="40"/>
      </w:pPr>
      <w:r>
        <w:rPr>
          <w:b/>
        </w:rPr>
        <w:t>Type:</w:t>
      </w:r>
      <w:r>
        <w:t xml:space="preserve"> Triple agonist (GLP-1/GIP/glucagon); in Phase III clinical trials</w:t>
      </w:r>
    </w:p>
    <w:p>
      <w:pPr>
        <w:pStyle w:val="ListBullet"/>
        <w:spacing w:after="40"/>
      </w:pPr>
      <w:r>
        <w:rPr>
          <w:b/>
        </w:rPr>
        <w:t>Gray-market status:</w:t>
      </w:r>
      <w:r>
        <w:t xml:space="preserve"> Available in powder form on gray market despite not being FDA-approved; multiple vendor warning letters (FDA to Gram Peptides, March 2026)</w:t>
      </w:r>
    </w:p>
    <w:p>
      <w:pPr>
        <w:pStyle w:val="ListBullet"/>
        <w:spacing w:after="40"/>
      </w:pPr>
      <w:r>
        <w:rPr>
          <w:b/>
        </w:rPr>
        <w:t>Testing relevance:</w:t>
      </w:r>
      <w:r>
        <w:t xml:space="preserve"> Testing retatrutide is straightforward analytical chemistry; the legality of the vendor using the COA to sell it is the vendor's problem, not the lab's</w:t>
      </w:r>
    </w:p>
    <w:p>
      <w:pPr>
        <w:pStyle w:val="Heading3"/>
        <w:spacing w:before="160" w:after="80"/>
      </w:pPr>
      <w:r>
        <w:t>Melanocortin Peptides</w:t>
      </w:r>
    </w:p>
    <w:p>
      <w:pPr>
        <w:spacing w:after="120"/>
      </w:pPr>
      <w:r>
        <w:rPr>
          <w:b/>
        </w:rPr>
        <w:t>PT-141 (Bremelanotide)</w:t>
      </w:r>
    </w:p>
    <w:p>
      <w:pPr>
        <w:pStyle w:val="ListBullet"/>
        <w:spacing w:after="40"/>
      </w:pPr>
      <w:r>
        <w:rPr>
          <w:b/>
        </w:rPr>
        <w:t>Type:</w:t>
      </w:r>
      <w:r>
        <w:t xml:space="preserve"> Melanocortin receptor agonist; synthetic analog of alpha-MSH</w:t>
      </w:r>
    </w:p>
    <w:p>
      <w:pPr>
        <w:pStyle w:val="ListBullet"/>
        <w:spacing w:after="40"/>
      </w:pPr>
      <w:r>
        <w:rPr>
          <w:b/>
        </w:rPr>
        <w:t>Claims:</w:t>
      </w:r>
      <w:r>
        <w:t xml:space="preserve"> Sexual dysfunction treatment; libido enhancement for both sexes</w:t>
      </w:r>
    </w:p>
    <w:p>
      <w:pPr>
        <w:pStyle w:val="ListBullet"/>
        <w:spacing w:after="40"/>
      </w:pPr>
      <w:r>
        <w:rPr>
          <w:b/>
        </w:rPr>
        <w:t>FDA status:</w:t>
      </w:r>
      <w:r>
        <w:t xml:space="preserve"> </w:t>
      </w:r>
      <w:r>
        <w:rPr>
          <w:b/>
        </w:rPr>
        <w:t>FDA-approved</w:t>
      </w:r>
      <w:r>
        <w:t xml:space="preserve"> (Vyleesi, 2019) for hypoactive sexual desire disorder in women; compounded versions have existed</w:t>
      </w:r>
    </w:p>
    <w:p>
      <w:pPr>
        <w:pStyle w:val="ListBullet"/>
        <w:spacing w:after="40"/>
      </w:pPr>
      <w:r>
        <w:rPr>
          <w:b/>
        </w:rPr>
        <w:t>Testing relevance:</w:t>
      </w:r>
      <w:r>
        <w:t xml:space="preserve"> Legal status means compounding pharmacy testing demand exists</w:t>
      </w:r>
    </w:p>
    <w:p>
      <w:pPr>
        <w:spacing w:after="120"/>
      </w:pPr>
      <w:r>
        <w:rPr>
          <w:b/>
        </w:rPr>
        <w:t>Melanotan II</w:t>
      </w:r>
    </w:p>
    <w:p>
      <w:pPr>
        <w:pStyle w:val="ListBullet"/>
        <w:spacing w:after="40"/>
      </w:pPr>
      <w:r>
        <w:rPr>
          <w:b/>
        </w:rPr>
        <w:t>Type:</w:t>
      </w:r>
      <w:r>
        <w:t xml:space="preserve"> Cyclic lactam analog of alpha-MSH; melanocortin receptor agonist</w:t>
      </w:r>
    </w:p>
    <w:p>
      <w:pPr>
        <w:pStyle w:val="ListBullet"/>
        <w:spacing w:after="40"/>
      </w:pPr>
      <w:r>
        <w:rPr>
          <w:b/>
        </w:rPr>
        <w:t>Claims:</w:t>
      </w:r>
      <w:r>
        <w:t xml:space="preserve"> Tanning (increased melanogenesis), sexual function</w:t>
      </w:r>
    </w:p>
    <w:p>
      <w:pPr>
        <w:pStyle w:val="ListBullet"/>
        <w:spacing w:after="40"/>
      </w:pPr>
      <w:r>
        <w:rPr>
          <w:b/>
        </w:rPr>
        <w:t>FDA status:</w:t>
      </w:r>
      <w:r>
        <w:t xml:space="preserve"> Category 2 (prohibited); PCAC review scheduled February 2027; significant safety concerns (skin cancer risk noted by multiple health authorities)</w:t>
      </w:r>
    </w:p>
    <w:p>
      <w:pPr>
        <w:pStyle w:val="ListBullet"/>
        <w:spacing w:after="40"/>
      </w:pPr>
      <w:r>
        <w:rPr>
          <w:b/>
        </w:rPr>
        <w:t>Testing relevance:</w:t>
      </w:r>
      <w:r>
        <w:t xml:space="preserve"> Remains popular in gray market despite concerns; any reputable testing lab should issue COAs with appropriate disclaimers about human safety research status</w:t>
      </w:r>
    </w:p>
    <w:p>
      <w:pPr>
        <w:pStyle w:val="Heading3"/>
        <w:spacing w:before="160" w:after="80"/>
      </w:pPr>
      <w:r>
        <w:t>Immune and Brain Peptides</w:t>
      </w:r>
    </w:p>
    <w:p>
      <w:pPr>
        <w:spacing w:after="120"/>
      </w:pPr>
      <w:r>
        <w:rPr>
          <w:b/>
        </w:rPr>
        <w:t>Thymosin Alpha-1 (Tα1)</w:t>
      </w:r>
    </w:p>
    <w:p>
      <w:pPr>
        <w:pStyle w:val="ListBullet"/>
        <w:spacing w:after="40"/>
      </w:pPr>
      <w:r>
        <w:rPr>
          <w:b/>
        </w:rPr>
        <w:t>Type:</w:t>
      </w:r>
      <w:r>
        <w:t xml:space="preserve"> 28-amino acid peptide; biologically active fragment of prothymosin-alpha</w:t>
      </w:r>
    </w:p>
    <w:p>
      <w:pPr>
        <w:pStyle w:val="ListBullet"/>
        <w:spacing w:after="40"/>
      </w:pPr>
      <w:r>
        <w:rPr>
          <w:b/>
        </w:rPr>
        <w:t>Claims:</w:t>
      </w:r>
      <w:r>
        <w:t xml:space="preserve"> Immune modulation; anti-viral; used clinically in several countries for hepatitis, cancer adjunct therapy</w:t>
      </w:r>
    </w:p>
    <w:p>
      <w:pPr>
        <w:pStyle w:val="ListBullet"/>
        <w:spacing w:after="40"/>
      </w:pPr>
      <w:r>
        <w:rPr>
          <w:b/>
        </w:rPr>
        <w:t>FDA status:</w:t>
      </w:r>
      <w:r>
        <w:t xml:space="preserve"> Removed from Category 2 (September 2024); PCAC review pending</w:t>
      </w:r>
    </w:p>
    <w:p>
      <w:pPr>
        <w:pStyle w:val="ListBullet"/>
        <w:spacing w:after="40"/>
      </w:pPr>
      <w:r>
        <w:rPr>
          <w:b/>
        </w:rPr>
        <w:t>Testing relevance:</w:t>
      </w:r>
      <w:r>
        <w:t xml:space="preserve"> Legitimate clinical interest (FDA-approved in some countries); US compounding legalization may create structured testing demand</w:t>
      </w:r>
    </w:p>
    <w:p>
      <w:pPr>
        <w:spacing w:after="120"/>
      </w:pPr>
      <w:r>
        <w:rPr>
          <w:b/>
        </w:rPr>
        <w:t>Selank</w:t>
      </w:r>
    </w:p>
    <w:p>
      <w:pPr>
        <w:pStyle w:val="ListBullet"/>
        <w:spacing w:after="40"/>
      </w:pPr>
      <w:r>
        <w:rPr>
          <w:b/>
        </w:rPr>
        <w:t>Type:</w:t>
      </w:r>
      <w:r>
        <w:t xml:space="preserve"> Synthetic heptapeptide; analog of tuftsin</w:t>
      </w:r>
    </w:p>
    <w:p>
      <w:pPr>
        <w:pStyle w:val="ListBullet"/>
        <w:spacing w:after="40"/>
      </w:pPr>
      <w:r>
        <w:rPr>
          <w:b/>
        </w:rPr>
        <w:t>Claims:</w:t>
      </w:r>
      <w:r>
        <w:t xml:space="preserve"> Anti-anxiety, nootropic, immune modulation; developed by Russian Institute of Molecular Genetics</w:t>
      </w:r>
    </w:p>
    <w:p>
      <w:pPr>
        <w:pStyle w:val="ListBullet"/>
        <w:spacing w:after="40"/>
      </w:pPr>
      <w:r>
        <w:rPr>
          <w:b/>
        </w:rPr>
        <w:t>FDA status:</w:t>
      </w:r>
      <w:r>
        <w:t xml:space="preserve"> Removed from Category 2 (September 2024); not controlled</w:t>
      </w:r>
    </w:p>
    <w:p>
      <w:pPr>
        <w:pStyle w:val="ListBullet"/>
        <w:spacing w:after="40"/>
      </w:pPr>
      <w:r>
        <w:rPr>
          <w:b/>
        </w:rPr>
        <w:t>Testing relevance:</w:t>
      </w:r>
      <w:r>
        <w:t xml:space="preserve"> Niche but growing community interest in "peptides for mental health"</w:t>
      </w:r>
    </w:p>
    <w:p>
      <w:pPr>
        <w:spacing w:after="120"/>
      </w:pPr>
      <w:r>
        <w:rPr>
          <w:b/>
        </w:rPr>
        <w:t>Epitalon (Epithalon)</w:t>
      </w:r>
    </w:p>
    <w:p>
      <w:pPr>
        <w:pStyle w:val="ListBullet"/>
        <w:spacing w:after="40"/>
      </w:pPr>
      <w:r>
        <w:rPr>
          <w:b/>
        </w:rPr>
        <w:t>Type:</w:t>
      </w:r>
      <w:r>
        <w:t xml:space="preserve"> Tetrapeptide (Ala-Glu-Asp-Gly); synthetic derivative of epithalamin (from pineal gland)</w:t>
      </w:r>
    </w:p>
    <w:p>
      <w:pPr>
        <w:pStyle w:val="ListBullet"/>
        <w:spacing w:after="40"/>
      </w:pPr>
      <w:r>
        <w:rPr>
          <w:b/>
        </w:rPr>
        <w:t>Claims:</w:t>
      </w:r>
      <w:r>
        <w:t xml:space="preserve"> Anti-aging, telomere lengthening, longevity — significant biohacker interest</w:t>
      </w:r>
    </w:p>
    <w:p>
      <w:pPr>
        <w:pStyle w:val="ListBullet"/>
        <w:spacing w:after="40"/>
      </w:pPr>
      <w:r>
        <w:rPr>
          <w:b/>
        </w:rPr>
        <w:t>FDA status:</w:t>
      </w:r>
      <w:r>
        <w:t xml:space="preserve"> Under FDA review in 2026 for 503A bulks list</w:t>
      </w:r>
    </w:p>
    <w:p>
      <w:pPr>
        <w:pStyle w:val="ListBullet"/>
        <w:spacing w:after="40"/>
      </w:pPr>
      <w:r>
        <w:rPr>
          <w:b/>
        </w:rPr>
        <w:t>Testing relevance:</w:t>
      </w:r>
      <w:r>
        <w:t xml:space="preserve"> High biohacker demand; purity and sequence critical for claimed mechanisms</w:t>
      </w:r>
    </w:p>
    <w:p>
      <w:pPr>
        <w:pStyle w:val="Heading3"/>
        <w:spacing w:before="160" w:after="80"/>
      </w:pPr>
      <w:r>
        <w:t>Testing Panel Implications by Peptide Category</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before="40" w:after="40"/>
            </w:pPr>
            <w:r>
              <w:rPr>
                <w:b/>
              </w:rPr>
            </w:r>
            <w:r>
              <w:rPr>
                <w:b/>
              </w:rPr>
              <w:t>Category</w:t>
            </w:r>
          </w:p>
        </w:tc>
        <w:tc>
          <w:tcPr>
            <w:tcW w:type="dxa" w:w="3120"/>
          </w:tcPr>
          <w:p>
            <w:pPr>
              <w:spacing w:before="40" w:after="40"/>
            </w:pPr>
            <w:r>
              <w:rPr>
                <w:b/>
              </w:rPr>
            </w:r>
            <w:r>
              <w:rPr>
                <w:b/>
              </w:rPr>
              <w:t>Critical Tests</w:t>
            </w:r>
          </w:p>
        </w:tc>
        <w:tc>
          <w:tcPr>
            <w:tcW w:type="dxa" w:w="3120"/>
          </w:tcPr>
          <w:p>
            <w:pPr>
              <w:spacing w:before="40" w:after="40"/>
            </w:pPr>
            <w:r>
              <w:rPr>
                <w:b/>
              </w:rPr>
            </w:r>
            <w:r>
              <w:rPr>
                <w:b/>
              </w:rPr>
              <w:t>Why</w:t>
            </w:r>
          </w:p>
        </w:tc>
      </w:tr>
      <w:tr>
        <w:tc>
          <w:tcPr>
            <w:tcW w:type="dxa" w:w="3120"/>
          </w:tcPr>
          <w:p>
            <w:pPr>
              <w:spacing w:before="40" w:after="40"/>
            </w:pPr>
            <w:r/>
            <w:r>
              <w:t>GH-releasing peptides (CJC, Ipamorelin, Sermorelin)</w:t>
            </w:r>
          </w:p>
        </w:tc>
        <w:tc>
          <w:tcPr>
            <w:tcW w:type="dxa" w:w="3120"/>
          </w:tcPr>
          <w:p>
            <w:pPr>
              <w:spacing w:before="40" w:after="40"/>
            </w:pPr>
            <w:r/>
            <w:r>
              <w:t>HPLC + LC-MS + amino acid</w:t>
            </w:r>
          </w:p>
        </w:tc>
        <w:tc>
          <w:tcPr>
            <w:tcW w:type="dxa" w:w="3120"/>
          </w:tcPr>
          <w:p>
            <w:pPr>
              <w:spacing w:before="40" w:after="40"/>
            </w:pPr>
            <w:r/>
            <w:r>
              <w:t>Sequence must be precisely correct; counterfeiting common</w:t>
            </w:r>
          </w:p>
        </w:tc>
      </w:tr>
      <w:tr>
        <w:tc>
          <w:tcPr>
            <w:tcW w:type="dxa" w:w="3120"/>
          </w:tcPr>
          <w:p>
            <w:pPr>
              <w:spacing w:before="40" w:after="40"/>
            </w:pPr>
            <w:r/>
            <w:r>
              <w:t>Tissue repair (BPC-157, TB-500, GHK-Cu)</w:t>
            </w:r>
          </w:p>
        </w:tc>
        <w:tc>
          <w:tcPr>
            <w:tcW w:type="dxa" w:w="3120"/>
          </w:tcPr>
          <w:p>
            <w:pPr>
              <w:spacing w:before="40" w:after="40"/>
            </w:pPr>
            <w:r/>
            <w:r>
              <w:t>Full panel incl. endotoxin</w:t>
            </w:r>
          </w:p>
        </w:tc>
        <w:tc>
          <w:tcPr>
            <w:tcW w:type="dxa" w:w="3120"/>
          </w:tcPr>
          <w:p>
            <w:pPr>
              <w:spacing w:before="40" w:after="40"/>
            </w:pPr>
            <w:r/>
            <w:r>
              <w:t>Often injected; endotoxin contamination = systemic infection risk</w:t>
            </w:r>
          </w:p>
        </w:tc>
      </w:tr>
      <w:tr>
        <w:tc>
          <w:tcPr>
            <w:tcW w:type="dxa" w:w="3120"/>
          </w:tcPr>
          <w:p>
            <w:pPr>
              <w:spacing w:before="40" w:after="40"/>
            </w:pPr>
            <w:r/>
            <w:r>
              <w:t>GLP-1 analogs (semaglutide, tirzepatide)</w:t>
            </w:r>
          </w:p>
        </w:tc>
        <w:tc>
          <w:tcPr>
            <w:tcW w:type="dxa" w:w="3120"/>
          </w:tcPr>
          <w:p>
            <w:pPr>
              <w:spacing w:before="40" w:after="40"/>
            </w:pPr>
            <w:r/>
            <w:r>
              <w:t>HPLC + LC-MS + stereochemistry + concentration</w:t>
            </w:r>
          </w:p>
        </w:tc>
        <w:tc>
          <w:tcPr>
            <w:tcW w:type="dxa" w:w="3120"/>
          </w:tcPr>
          <w:p>
            <w:pPr>
              <w:spacing w:before="40" w:after="40"/>
            </w:pPr>
            <w:r/>
            <w:r>
              <w:t>Dosing precision critical; wrong stereoisomer biologically inactive or harmful</w:t>
            </w:r>
          </w:p>
        </w:tc>
      </w:tr>
      <w:tr>
        <w:tc>
          <w:tcPr>
            <w:tcW w:type="dxa" w:w="3120"/>
          </w:tcPr>
          <w:p>
            <w:pPr>
              <w:spacing w:before="40" w:after="40"/>
            </w:pPr>
            <w:r/>
            <w:r>
              <w:t>Melanocortins (PT-141, Melanotan II)</w:t>
            </w:r>
          </w:p>
        </w:tc>
        <w:tc>
          <w:tcPr>
            <w:tcW w:type="dxa" w:w="3120"/>
          </w:tcPr>
          <w:p>
            <w:pPr>
              <w:spacing w:before="40" w:after="40"/>
            </w:pPr>
            <w:r/>
            <w:r>
              <w:t>HPLC + MS + residual solvents</w:t>
            </w:r>
          </w:p>
        </w:tc>
        <w:tc>
          <w:tcPr>
            <w:tcW w:type="dxa" w:w="3120"/>
          </w:tcPr>
          <w:p>
            <w:pPr>
              <w:spacing w:before="40" w:after="40"/>
            </w:pPr>
            <w:r/>
            <w:r>
              <w:t>Lipophilic molecules; synthesis byproducts critical to detect</w:t>
            </w:r>
          </w:p>
        </w:tc>
      </w:tr>
      <w:tr>
        <w:tc>
          <w:tcPr>
            <w:tcW w:type="dxa" w:w="3120"/>
          </w:tcPr>
          <w:p>
            <w:pPr>
              <w:spacing w:before="40" w:after="40"/>
            </w:pPr>
            <w:r/>
            <w:r>
              <w:t>Small peptides (Epitalon, BPC-157 fragment)</w:t>
            </w:r>
          </w:p>
        </w:tc>
        <w:tc>
          <w:tcPr>
            <w:tcW w:type="dxa" w:w="3120"/>
          </w:tcPr>
          <w:p>
            <w:pPr>
              <w:spacing w:before="40" w:after="40"/>
            </w:pPr>
            <w:r/>
            <w:r>
              <w:t>MS + HPLC</w:t>
            </w:r>
          </w:p>
        </w:tc>
        <w:tc>
          <w:tcPr>
            <w:tcW w:type="dxa" w:w="3120"/>
          </w:tcPr>
          <w:p>
            <w:pPr>
              <w:spacing w:before="40" w:after="40"/>
            </w:pPr>
            <w:r/>
            <w:r>
              <w:t>Small molecule; MS is definitive for sequence</w:t>
            </w:r>
          </w:p>
        </w:tc>
      </w:tr>
    </w:tbl>
    <w:p/>
    <w:p>
      <w:pPr>
        <w:spacing w:before="120" w:after="120"/>
        <w:pBdr>
          <w:bottom w:val="single" w:sz="6" w:space="1" w:color="AAAAAA"/>
        </w:pBdr>
      </w:pPr>
    </w:p>
    <w:p>
      <w:pPr>
        <w:pStyle w:val="Heading2"/>
        <w:spacing w:before="240" w:after="80"/>
      </w:pPr>
      <w:r>
        <w:t>Appendix F: Technical Testing Methodology — What Each Test Does</w:t>
      </w:r>
    </w:p>
    <w:p>
      <w:pPr>
        <w:spacing w:after="120"/>
      </w:pPr>
      <w:r>
        <w:t>Understanding the analytical chemistry behind COA testing is essential for positioning the business credibly. Here is what each method tests, why it matters, and what it cannot detect.</w:t>
      </w:r>
    </w:p>
    <w:p>
      <w:pPr>
        <w:pStyle w:val="Heading3"/>
        <w:spacing w:before="160" w:after="80"/>
      </w:pPr>
      <w:r>
        <w:t>HPLC (High-Performance Liquid Chromatography) — Purity Testing</w:t>
      </w:r>
    </w:p>
    <w:p>
      <w:pPr>
        <w:spacing w:after="120"/>
      </w:pPr>
      <w:r>
        <w:rPr>
          <w:b/>
        </w:rPr>
        <w:t>What it does:</w:t>
      </w:r>
      <w:r>
        <w:t xml:space="preserve"> Forces the sample through a column packed with stationary phase material under high pressure, separating components by their interaction with the column. Detects each component as it elutes using UV absorption (typically at 215–220 nm for peptide bonds).</w:t>
      </w:r>
    </w:p>
    <w:p>
      <w:pPr>
        <w:spacing w:after="120"/>
      </w:pPr>
      <w:r>
        <w:rPr>
          <w:b/>
        </w:rPr>
        <w:t>What the result means:</w:t>
      </w:r>
      <w:r>
        <w:t xml:space="preserve"> "99.1% purity by HPLC" means 99.1% of the UV-absorbing material in the sample is in the expected peak, and 0.9% is in other peaks (impurities, truncated sequences, degradation products).</w:t>
      </w:r>
    </w:p>
    <w:p>
      <w:pPr>
        <w:spacing w:after="120"/>
      </w:pPr>
      <w:r>
        <w:rPr>
          <w:b/>
        </w:rPr>
        <w:t>Critical limitation:</w:t>
      </w:r>
      <w:r>
        <w:t xml:space="preserve"> HPLC purity does NOT confirm you have the right molecule. A sample containing 99% of the wrong peptide at the same concentration would also show 99% purity. You need mass spectrometry for identity.</w:t>
      </w:r>
    </w:p>
    <w:p>
      <w:pPr>
        <w:spacing w:after="120"/>
      </w:pPr>
      <w:r>
        <w:rPr>
          <w:b/>
        </w:rPr>
        <w:t>Also does NOT detect:</w:t>
      </w:r>
      <w:r>
        <w:t xml:space="preserve"> Endotoxins, heavy metals, sterility (microbes don't absorb UV at 215nm), residual solvents in most configurations.</w:t>
      </w:r>
    </w:p>
    <w:p>
      <w:pPr>
        <w:spacing w:after="120"/>
      </w:pPr>
      <w:r>
        <w:rPr>
          <w:b/>
        </w:rPr>
        <w:t>Equipment:</w:t>
      </w:r>
      <w:r>
        <w:t xml:space="preserve"> Reversed-phase HPLC (RP-HPLC) with C18 column and UV/DAD detector. Most vendors use this as their primary purity test.</w:t>
      </w:r>
    </w:p>
    <w:p>
      <w:pPr>
        <w:pStyle w:val="Heading3"/>
        <w:spacing w:before="160" w:after="80"/>
      </w:pPr>
      <w:r>
        <w:t>LC-MS/MS (Liquid Chromatography–Tandem Mass Spectrometry) — Identity Confirmation</w:t>
      </w:r>
    </w:p>
    <w:p>
      <w:pPr>
        <w:spacing w:after="120"/>
      </w:pPr>
      <w:r>
        <w:rPr>
          <w:b/>
        </w:rPr>
        <w:t>What it does:</w:t>
      </w:r>
      <w:r>
        <w:t xml:space="preserve"> First separates by HPLC, then sends each peak into the mass spectrometer. The MS measures the mass-to-charge ratio (m/z) of the ions. For a peptide, the expected molecular weight can be calculated from the amino acid sequence. Tandem MS (MS/MS) can fragment the peptide and confirm the sequence by analyzing the fragment masses.</w:t>
      </w:r>
    </w:p>
    <w:p>
      <w:pPr>
        <w:spacing w:after="120"/>
      </w:pPr>
      <w:r>
        <w:rPr>
          <w:b/>
        </w:rPr>
        <w:t>What the result means:</w:t>
      </w:r>
      <w:r>
        <w:t xml:space="preserve"> "Observed mass = 1419.6 Da, expected mass for BPC-157 = 1419.6 Da" confirms the molecule is BPC-157. If the masses don't match, it's the wrong molecule regardless of HPLC purity.</w:t>
      </w:r>
    </w:p>
    <w:p>
      <w:pPr>
        <w:spacing w:after="120"/>
      </w:pPr>
      <w:r>
        <w:rPr>
          <w:b/>
        </w:rPr>
        <w:t>The gold standard:</w:t>
      </w:r>
      <w:r>
        <w:t xml:space="preserve"> LC-MS/MS is the definitive identity test. No other method provides this level of confirmation. This is why a COA with only HPLC is fundamentally incomplete — you know it's pure, but not what it's pure of.</w:t>
      </w:r>
    </w:p>
    <w:p>
      <w:pPr>
        <w:spacing w:after="120"/>
      </w:pPr>
      <w:r>
        <w:rPr>
          <w:b/>
        </w:rPr>
        <w:t>Critical limitation:</w:t>
      </w:r>
      <w:r>
        <w:t xml:space="preserve"> MS confirms the molecular weight but not stereochemistry in all configurations. A D-amino acid substitution (where the mirror-image amino acid is inserted) may have the same molecular weight as the correct L-amino acid sequence. Advanced methods (chiral HPLC) are needed for stereochemistry confirmation.</w:t>
      </w:r>
    </w:p>
    <w:p>
      <w:pPr>
        <w:pStyle w:val="Heading3"/>
        <w:spacing w:before="160" w:after="80"/>
      </w:pPr>
      <w:r>
        <w:t>Amino Acid Analysis (AAA)</w:t>
      </w:r>
    </w:p>
    <w:p>
      <w:pPr>
        <w:spacing w:after="120"/>
      </w:pPr>
      <w:r>
        <w:rPr>
          <w:b/>
        </w:rPr>
        <w:t>What it does:</w:t>
      </w:r>
      <w:r>
        <w:t xml:space="preserve"> Acid hydrolysis breaks the peptide into its constituent amino acids, which are then separated and quantified by HPLC. The resulting composition (how many of each amino acid) is compared to the expected composition.</w:t>
      </w:r>
    </w:p>
    <w:p>
      <w:pPr>
        <w:spacing w:after="120"/>
      </w:pPr>
      <w:r>
        <w:rPr>
          <w:b/>
        </w:rPr>
        <w:t>What the result means:</w:t>
      </w:r>
      <w:r>
        <w:t xml:space="preserve"> BPC-157 should contain Gly × 3, Pro × 2, Asp × 1, Ala × 1, etc. If the analysis shows a different composition, the sequence is wrong even if the molecular weight matches.</w:t>
      </w:r>
    </w:p>
    <w:p>
      <w:pPr>
        <w:spacing w:after="120"/>
      </w:pPr>
      <w:r>
        <w:rPr>
          <w:b/>
        </w:rPr>
        <w:t>Why it matters:</w:t>
      </w:r>
      <w:r>
        <w:t xml:space="preserve"> More definitive than molecular weight alone — provides a second, independent sequence confirmation. Rarely included in current COAs because it adds cost and time. This is the premium-tier differentiator.</w:t>
      </w:r>
    </w:p>
    <w:p>
      <w:pPr>
        <w:spacing w:after="120"/>
      </w:pPr>
      <w:r>
        <w:rPr>
          <w:b/>
        </w:rPr>
        <w:t>Critical limitation:</w:t>
      </w:r>
      <w:r>
        <w:t xml:space="preserve"> Cannot distinguish the order of amino acids (sequence) — only the composition. Some sequences with identical amino acid composition but different order would show identical AAA results (isomers). Combined with MS, this limitation is effectively managed.</w:t>
      </w:r>
    </w:p>
    <w:p>
      <w:pPr>
        <w:pStyle w:val="Heading3"/>
        <w:spacing w:before="160" w:after="80"/>
      </w:pPr>
      <w:r>
        <w:t>LAL Endotoxin Testing (Limulus Amebocyte Lysate)</w:t>
      </w:r>
    </w:p>
    <w:p>
      <w:pPr>
        <w:spacing w:after="120"/>
      </w:pPr>
      <w:r>
        <w:rPr>
          <w:b/>
        </w:rPr>
        <w:t>What it does:</w:t>
      </w:r>
      <w:r>
        <w:t xml:space="preserve"> Uses the blood cells of horseshoe crabs (Limulus polyphemus), which clot in the presence of bacterial endotoxins (lipopolysaccharides from gram-negative bacteria cell walls). A clotting reaction indicates endotoxin presence; the degree of reaction is quantified against standards.</w:t>
      </w:r>
    </w:p>
    <w:p>
      <w:pPr>
        <w:spacing w:after="120"/>
      </w:pPr>
      <w:r>
        <w:rPr>
          <w:b/>
        </w:rPr>
        <w:t>Why it matters:</w:t>
      </w:r>
      <w:r>
        <w:t xml:space="preserve"> Endotoxins are pyrogenic — they cause fever, inflammation, and septic shock even in tiny amounts. This is the primary safety risk in injectable peptides manufactured under non-sterile conditions. Even a peptide with perfect chemical purity can cause serious illness if endotoxin-contaminated.</w:t>
      </w:r>
    </w:p>
    <w:p>
      <w:pPr>
        <w:spacing w:after="120"/>
      </w:pPr>
      <w:r>
        <w:rPr>
          <w:b/>
        </w:rPr>
        <w:t>What the result means:</w:t>
      </w:r>
      <w:r>
        <w:t xml:space="preserve"> Reported in Endotoxin Units per mL (EU/mL). FDA limits for injectables: ≤5 EU/mL (intramuscular) or ≤0.5 EU/mL (intravenous). Research peptide vendors typically target &lt;0.01 EU/mg.</w:t>
      </w:r>
    </w:p>
    <w:p>
      <w:pPr>
        <w:spacing w:after="120"/>
      </w:pPr>
      <w:r>
        <w:rPr>
          <w:b/>
        </w:rPr>
        <w:t>Why it's often omitted:</w:t>
      </w:r>
      <w:r>
        <w:t xml:space="preserve"> LAL test reagents are expensive ($50–$200 per test depending on method), add 1–3 days to turnaround, and require specialized equipment. This is exactly why the premium tier (including endotoxin testing) commands a price premium.</w:t>
      </w:r>
    </w:p>
    <w:p>
      <w:pPr>
        <w:pStyle w:val="Heading3"/>
        <w:spacing w:before="160" w:after="80"/>
      </w:pPr>
      <w:r>
        <w:t>Sterility Testing (USP &lt;71&gt;)</w:t>
      </w:r>
    </w:p>
    <w:p>
      <w:pPr>
        <w:spacing w:after="120"/>
      </w:pPr>
      <w:r>
        <w:rPr>
          <w:b/>
        </w:rPr>
        <w:t>What it does:</w:t>
      </w:r>
      <w:r>
        <w:t xml:space="preserve"> Incubates the sample in growth media under controlled conditions to detect microbial growth (bacteria, yeast, mold). If no growth occurs after 14 days, the sample passes.</w:t>
      </w:r>
    </w:p>
    <w:p>
      <w:pPr>
        <w:spacing w:after="120"/>
      </w:pPr>
      <w:r>
        <w:rPr>
          <w:b/>
        </w:rPr>
        <w:t>Why it matters:</w:t>
      </w:r>
      <w:r>
        <w:t xml:space="preserve"> Syringed peptides injected subcutaneously or intramuscularly that contain viable bacteria or fungi cause local infection or systemic sepsis.</w:t>
      </w:r>
    </w:p>
    <w:p>
      <w:pPr>
        <w:spacing w:after="120"/>
      </w:pPr>
      <w:r>
        <w:rPr>
          <w:b/>
        </w:rPr>
        <w:t>Critical limitation:</w:t>
      </w:r>
      <w:r>
        <w:t xml:space="preserve"> Takes 14 days — incompatible with fast turnaround COA. Typically performed by manufacturers, not on every batch by testing labs. Alternative: rapid microbiological methods (bioMerieux BACT/ALERT) can reduce this to 48–72 hours with some trade-offs.</w:t>
      </w:r>
    </w:p>
    <w:p>
      <w:pPr>
        <w:pStyle w:val="Heading3"/>
        <w:spacing w:before="160" w:after="80"/>
      </w:pPr>
      <w:r>
        <w:t>Heavy Metal Testing (ICP-MS)</w:t>
      </w:r>
    </w:p>
    <w:p>
      <w:pPr>
        <w:spacing w:after="120"/>
      </w:pPr>
      <w:r>
        <w:rPr>
          <w:b/>
        </w:rPr>
        <w:t>What it does:</w:t>
      </w:r>
      <w:r>
        <w:t xml:space="preserve"> Inductively Coupled Plasma–Mass Spectrometry vaporizes and ionizes the sample, then separates ions by mass. Can detect lead, arsenic, mercury, cadmium, and other metals at parts-per-billion levels.</w:t>
      </w:r>
    </w:p>
    <w:p>
      <w:pPr>
        <w:spacing w:after="120"/>
      </w:pPr>
      <w:r>
        <w:rPr>
          <w:b/>
        </w:rPr>
        <w:t>Why it matters:</w:t>
      </w:r>
      <w:r>
        <w:t xml:space="preserve"> Synthetic peptides manufactured in China may be contaminated with heavy metals from reagent impurities or manufacturing equipment. Chronic heavy metal exposure causes organ damage.</w:t>
      </w:r>
    </w:p>
    <w:p>
      <w:pPr>
        <w:spacing w:after="120"/>
      </w:pPr>
      <w:r>
        <w:rPr>
          <w:b/>
        </w:rPr>
        <w:t>Regulatory standard:</w:t>
      </w:r>
      <w:r>
        <w:t xml:space="preserve"> USP &lt;232&gt; sets acceptable limits for elemental impurities. FDA requires heavy metal testing for dietary supplements under cGMP rules.</w:t>
      </w:r>
    </w:p>
    <w:p>
      <w:pPr>
        <w:pStyle w:val="Heading3"/>
        <w:spacing w:before="160" w:after="80"/>
      </w:pPr>
      <w:r>
        <w:t>Residual Solvent Testing (GC-MS or GC-FID)</w:t>
      </w:r>
    </w:p>
    <w:p>
      <w:pPr>
        <w:spacing w:after="120"/>
      </w:pPr>
      <w:r>
        <w:rPr>
          <w:b/>
        </w:rPr>
        <w:t>What it does:</w:t>
      </w:r>
      <w:r>
        <w:t xml:space="preserve"> Gas Chromatography–Mass Spectrometry or Flame Ionization Detector identifies and quantifies volatile organic solvents remaining in the final peptide powder from the manufacturing process.</w:t>
      </w:r>
    </w:p>
    <w:p>
      <w:pPr>
        <w:spacing w:after="120"/>
      </w:pPr>
      <w:r>
        <w:rPr>
          <w:b/>
        </w:rPr>
        <w:t>Common residual solvents:</w:t>
      </w:r>
      <w:r>
        <w:t xml:space="preserve"> Trifluoroacetic acid (TFA, the most common cleavage agent in SPPS synthesis), DMF, acetonitrile, methanol. TFA in particular can be harmful at high concentrations.</w:t>
      </w:r>
    </w:p>
    <w:p>
      <w:pPr>
        <w:spacing w:after="120"/>
      </w:pPr>
      <w:r>
        <w:rPr>
          <w:b/>
        </w:rPr>
        <w:t>Why it matters:</w:t>
      </w:r>
      <w:r>
        <w:t xml:space="preserve"> Gray-market peptides from China show widely variable TFA content. High TFA content can cause local irritation or systemic effects in injectable use.</w:t>
      </w:r>
    </w:p>
    <w:p>
      <w:pPr>
        <w:pStyle w:val="Heading3"/>
        <w:spacing w:before="160" w:after="80"/>
      </w:pPr>
      <w:r>
        <w:t>Concentration and Water Content (Karl Fischer Titration)</w:t>
      </w:r>
    </w:p>
    <w:p>
      <w:pPr>
        <w:spacing w:after="120"/>
      </w:pPr>
      <w:r>
        <w:rPr>
          <w:b/>
        </w:rPr>
        <w:t>What it does:</w:t>
      </w:r>
      <w:r>
        <w:t xml:space="preserve"> Karl Fischer titration is the most accurate method for determining water content in solid samples. Relevant because:</w:t>
      </w:r>
    </w:p>
    <w:p>
      <w:pPr>
        <w:pStyle w:val="ListBullet"/>
        <w:spacing w:after="40"/>
      </w:pPr>
      <w:r>
        <w:t>Peptide purity is often stated on a "dry weight" basis</w:t>
      </w:r>
    </w:p>
    <w:p>
      <w:pPr>
        <w:pStyle w:val="ListBullet"/>
        <w:spacing w:after="40"/>
      </w:pPr>
      <w:r>
        <w:t>Water content affects the actual dose per mg of powder</w:t>
      </w:r>
    </w:p>
    <w:p>
      <w:pPr>
        <w:pStyle w:val="ListBullet"/>
        <w:spacing w:after="40"/>
      </w:pPr>
      <w:r>
        <w:t>High water content (hygroscopic peptides absorb moisture from air) means less active peptide per stated weight</w:t>
      </w:r>
    </w:p>
    <w:p>
      <w:pPr>
        <w:spacing w:after="120"/>
      </w:pPr>
      <w:r>
        <w:rPr>
          <w:b/>
        </w:rPr>
        <w:t>Why it matters:</w:t>
      </w:r>
      <w:r>
        <w:t xml:space="preserve"> A vendor claiming 5mg/vial at 99% purity is effectively promising 4.95mg of active peptide. If the powder is 20% water, the actual active peptide is 3.96mg — 20% less than claimed.</w:t>
      </w:r>
    </w:p>
    <w:p>
      <w:pPr>
        <w:spacing w:before="120" w:after="120"/>
        <w:pBdr>
          <w:bottom w:val="single" w:sz="6" w:space="1" w:color="AAAAAA"/>
        </w:pBdr>
      </w:pPr>
    </w:p>
    <w:p>
      <w:pPr>
        <w:pStyle w:val="Heading2"/>
        <w:spacing w:before="240" w:after="80"/>
      </w:pPr>
      <w:r>
        <w:t>Appendix G: The Technology Stack — COA Database and Verification System</w:t>
      </w:r>
    </w:p>
    <w:p>
      <w:pPr>
        <w:spacing w:after="120"/>
      </w:pPr>
      <w:r>
        <w:t>The technology platform is the core product differentiator. The testing is the service; the database and verification system is the brand. Here is what needs to be built:</w:t>
      </w:r>
    </w:p>
    <w:p>
      <w:pPr>
        <w:pStyle w:val="Heading3"/>
        <w:spacing w:before="160" w:after="80"/>
      </w:pPr>
      <w:r>
        <w:t>COA Database (Public-Facing)</w:t>
      </w:r>
    </w:p>
    <w:p>
      <w:pPr>
        <w:spacing w:after="120"/>
      </w:pPr>
      <w:r>
        <w:rPr>
          <w:b/>
        </w:rPr>
        <w:t>Minimum viable version (Month 1–3):</w:t>
      </w:r>
    </w:p>
    <w:p>
      <w:pPr>
        <w:pStyle w:val="ListBullet"/>
        <w:spacing w:after="40"/>
      </w:pPr>
      <w:r>
        <w:t>Simple web application: search by vendor name, product name, or lot number</w:t>
      </w:r>
    </w:p>
    <w:p>
      <w:pPr>
        <w:pStyle w:val="ListBullet"/>
        <w:spacing w:after="40"/>
      </w:pPr>
      <w:r>
        <w:t>Each COA entry displays: vendor, product, lot/batch number, test date, lab name, test results summary, download full PDF</w:t>
      </w:r>
    </w:p>
    <w:p>
      <w:pPr>
        <w:pStyle w:val="ListBullet"/>
        <w:spacing w:after="40"/>
      </w:pPr>
      <w:r>
        <w:t>QR code on each COA links to this public entry</w:t>
      </w:r>
    </w:p>
    <w:p>
      <w:pPr>
        <w:pStyle w:val="ListBullet"/>
        <w:spacing w:after="40"/>
      </w:pPr>
      <w:r>
        <w:t>Admin panel for uploading new COAs and managing vendor accounts</w:t>
      </w:r>
    </w:p>
    <w:p>
      <w:pPr>
        <w:spacing w:after="120"/>
      </w:pPr>
      <w:r>
        <w:rPr>
          <w:b/>
        </w:rPr>
        <w:t>Technology stack:</w:t>
      </w:r>
      <w:r>
        <w:t xml:space="preserve"> React or Next.js frontend; PostgreSQL database; AWS S3 for PDF storage; QR code generated server-side. Estimated development cost: $15,000–$40,000 for a competent freelancer or small agency.</w:t>
      </w:r>
    </w:p>
    <w:p>
      <w:pPr>
        <w:spacing w:after="120"/>
      </w:pPr>
      <w:r>
        <w:rPr>
          <w:b/>
        </w:rPr>
        <w:t>Fraud prevention features:</w:t>
      </w:r>
    </w:p>
    <w:p>
      <w:pPr>
        <w:pStyle w:val="ListBullet"/>
        <w:spacing w:after="40"/>
      </w:pPr>
      <w:r>
        <w:t>Each COA PDF has a unique hash (SHA-256) stored in the database — tampering with the PDF changes the hash, which mismatch is detectable</w:t>
      </w:r>
    </w:p>
    <w:p>
      <w:pPr>
        <w:pStyle w:val="ListBullet"/>
        <w:spacing w:after="40"/>
      </w:pPr>
      <w:r>
        <w:t>QR code links to database entry that includes the hash — someone scanning the QR on a physical product can verify the PDF hasn't been modified</w:t>
      </w:r>
    </w:p>
    <w:p>
      <w:pPr>
        <w:pStyle w:val="ListBullet"/>
        <w:spacing w:after="40"/>
      </w:pPr>
      <w:r>
        <w:t>Vendor cannot upload their own COAs — COAs are created by your system only when a sample passes through your intake process</w:t>
      </w:r>
    </w:p>
    <w:p>
      <w:pPr>
        <w:spacing w:after="120"/>
      </w:pPr>
      <w:r>
        <w:rPr>
          <w:b/>
        </w:rPr>
        <w:t>Phase 2 enhancement (Month 12–18):</w:t>
      </w:r>
    </w:p>
    <w:p>
      <w:pPr>
        <w:pStyle w:val="ListBullet"/>
        <w:spacing w:after="40"/>
      </w:pPr>
      <w:r>
        <w:t>Blockchain anchoring: record each COA hash on a public blockchain (Ethereum, Polygon, or Hedera) at the time of issuance. This creates an immutable timestamp and record that cannot be altered by anyone, including you. This is the "platinum standard" for fraud prevention.</w:t>
      </w:r>
    </w:p>
    <w:p>
      <w:pPr>
        <w:pStyle w:val="ListBullet"/>
        <w:spacing w:after="40"/>
      </w:pPr>
      <w:r>
        <w:t>API access: allow third-party review sites (Finnrick, review aggregators) to query your COA database programmatically</w:t>
      </w:r>
    </w:p>
    <w:p>
      <w:pPr>
        <w:pStyle w:val="ListBullet"/>
        <w:spacing w:after="40"/>
      </w:pPr>
      <w:r>
        <w:t>Vendor dashboard: vendors can see all their COAs, share links, get embed codes for product pages</w:t>
      </w:r>
    </w:p>
    <w:p>
      <w:pPr>
        <w:pStyle w:val="Heading3"/>
        <w:spacing w:before="160" w:after="80"/>
      </w:pPr>
      <w:r>
        <w:t>Sample Chain of Custody System</w:t>
      </w:r>
    </w:p>
    <w:p>
      <w:pPr>
        <w:spacing w:after="120"/>
      </w:pPr>
      <w:r>
        <w:t>Every sample that enters your system must be tracked from receipt to result to prevent mix-ups and establish legal defensibility:</w:t>
      </w:r>
    </w:p>
    <w:p>
      <w:pPr>
        <w:pStyle w:val="ListNumber"/>
        <w:spacing w:after="40"/>
      </w:pPr>
      <w:r>
        <w:rPr>
          <w:b/>
        </w:rPr>
        <w:t>Sample submission portal:</w:t>
      </w:r>
      <w:r>
        <w:t xml:space="preserve"> Vendor logs in, creates a sample submission request, specifies product, lot number, quantity</w:t>
      </w:r>
    </w:p>
    <w:p>
      <w:pPr>
        <w:pStyle w:val="ListNumber"/>
        <w:spacing w:after="40"/>
      </w:pPr>
      <w:r>
        <w:rPr>
          <w:b/>
        </w:rPr>
        <w:t>Unique sample ID generated:</w:t>
      </w:r>
      <w:r>
        <w:t xml:space="preserve"> Barcode label mailed to vendor (or generated by vendor for affixing to shipment)</w:t>
      </w:r>
    </w:p>
    <w:p>
      <w:pPr>
        <w:pStyle w:val="ListNumber"/>
        <w:spacing w:after="40"/>
      </w:pPr>
      <w:r>
        <w:rPr>
          <w:b/>
        </w:rPr>
        <w:t>Receipt confirmation:</w:t>
      </w:r>
      <w:r>
        <w:t xml:space="preserve"> When sample arrives, staff scans barcode and logs receipt, photos the package before opening, notes condition</w:t>
      </w:r>
    </w:p>
    <w:p>
      <w:pPr>
        <w:pStyle w:val="ListNumber"/>
        <w:spacing w:after="40"/>
      </w:pPr>
      <w:r>
        <w:rPr>
          <w:b/>
        </w:rPr>
        <w:t>Testing workflow:</w:t>
      </w:r>
      <w:r>
        <w:t xml:space="preserve"> Each test stage logged with timestamp and analyst ID</w:t>
      </w:r>
    </w:p>
    <w:p>
      <w:pPr>
        <w:pStyle w:val="ListNumber"/>
        <w:spacing w:after="40"/>
      </w:pPr>
      <w:r>
        <w:rPr>
          <w:b/>
        </w:rPr>
        <w:t>Result entry and QC review:</w:t>
      </w:r>
      <w:r>
        <w:t xml:space="preserve"> Results entered and reviewed by second analyst before COA issued</w:t>
      </w:r>
    </w:p>
    <w:p>
      <w:pPr>
        <w:pStyle w:val="ListNumber"/>
        <w:spacing w:after="40"/>
      </w:pPr>
      <w:r>
        <w:rPr>
          <w:b/>
        </w:rPr>
        <w:t>COA issuance:</w:t>
      </w:r>
      <w:r>
        <w:t xml:space="preserve"> Automatically generated from template, signed electronically by lab director or designee, uploaded to database, QR code generated</w:t>
      </w:r>
    </w:p>
    <w:p>
      <w:pPr>
        <w:spacing w:after="120"/>
      </w:pPr>
      <w:r>
        <w:rPr>
          <w:b/>
        </w:rPr>
        <w:t>Technology:</w:t>
      </w:r>
      <w:r>
        <w:t xml:space="preserve"> LIMS (Laboratory Information Management System). For Phase 1 (outsourced testing), a simpler project management system (Airtable, Notion, custom) may suffice. For Phase 3 (in-house lab), invest in proper LIMS: LabArchives, LabVantage, or open-source alternatives (SENAITE). Cost: $3,000–$100,000/year depending on system.</w:t>
      </w:r>
    </w:p>
    <w:p>
      <w:pPr>
        <w:pStyle w:val="Heading3"/>
        <w:spacing w:before="160" w:after="80"/>
      </w:pPr>
      <w:r>
        <w:t>The Certification Seal</w:t>
      </w:r>
    </w:p>
    <w:p>
      <w:pPr>
        <w:spacing w:after="120"/>
      </w:pPr>
      <w:r>
        <w:t>The certification seal is the brand asset with the most long-term value. Design considerations:</w:t>
      </w:r>
    </w:p>
    <w:p>
      <w:pPr>
        <w:pStyle w:val="ListBullet"/>
        <w:spacing w:after="40"/>
      </w:pPr>
      <w:r>
        <w:t>Must be legally trademarked immediately (USPTO registration)</w:t>
      </w:r>
    </w:p>
    <w:p>
      <w:pPr>
        <w:pStyle w:val="ListBullet"/>
        <w:spacing w:after="40"/>
      </w:pPr>
      <w:r>
        <w:t>Simple, clinical design — not a fitness/supplement aesthetic. Think: NSF's clean circular mark, not a supplement brand's aggressive typography</w:t>
      </w:r>
    </w:p>
    <w:p>
      <w:pPr>
        <w:pStyle w:val="ListBullet"/>
        <w:spacing w:after="40"/>
      </w:pPr>
      <w:r>
        <w:t>Two versions: "COA Tested" (batch-specific) and "Certified Vendor" (annual program, ongoing)</w:t>
      </w:r>
    </w:p>
    <w:p>
      <w:pPr>
        <w:pStyle w:val="ListBullet"/>
        <w:spacing w:after="40"/>
      </w:pPr>
      <w:r>
        <w:t>QR code integration: the seal on a product page or label links to the specific lot's COA entry</w:t>
      </w:r>
    </w:p>
    <w:p>
      <w:pPr>
        <w:spacing w:before="120" w:after="120"/>
        <w:pBdr>
          <w:bottom w:val="single" w:sz="6" w:space="1" w:color="AAAAAA"/>
        </w:pBdr>
      </w:pPr>
    </w:p>
    <w:p>
      <w:pPr>
        <w:pStyle w:val="Heading2"/>
        <w:spacing w:before="240" w:after="80"/>
      </w:pPr>
      <w:r>
        <w:t>Appendix H: Team Building and Organizational Structure</w:t>
      </w:r>
    </w:p>
    <w:p>
      <w:pPr>
        <w:pStyle w:val="Heading3"/>
        <w:spacing w:before="160" w:after="80"/>
      </w:pPr>
      <w:r>
        <w:t>Founding Team Requirements</w:t>
      </w:r>
    </w:p>
    <w:p>
      <w:pPr>
        <w:spacing w:after="120"/>
      </w:pPr>
      <w:r>
        <w:rPr>
          <w:b/>
        </w:rPr>
        <w:t>What you need on Day 1:</w:t>
      </w:r>
    </w:p>
    <w:p>
      <w:pPr>
        <w:pStyle w:val="ListNumber"/>
        <w:spacing w:after="40"/>
      </w:pPr>
      <w:r>
        <w:rPr>
          <w:b/>
        </w:rPr>
        <w:t>Business operator (CEO/founder):</w:t>
      </w:r>
      <w:r>
        <w:t xml:space="preserve"> Business development, vendor relationships, marketing, community presence, finance. Does NOT need to be a chemist. NSF's founders were public health professionals, not analytical chemists.</w:t>
      </w:r>
    </w:p>
    <w:p>
      <w:pPr>
        <w:pStyle w:val="ListNumber"/>
        <w:spacing w:after="40"/>
      </w:pPr>
      <w:r>
        <w:rPr>
          <w:b/>
        </w:rPr>
        <w:t>Scientific advisor or fractional lab director:</w:t>
      </w:r>
      <w:r>
        <w:t xml:space="preserve"> A credentialed PhD or MS chemist who lends credibility, reviews SOPs, signs off on COA formats, and can speak authoritatively about methodology. This can be advisory/part-time in Phase 1 (contract arrangement for $2,000–$5,000/month).</w:t>
      </w:r>
    </w:p>
    <w:p>
      <w:pPr>
        <w:pStyle w:val="ListNumber"/>
        <w:spacing w:after="40"/>
      </w:pPr>
      <w:r>
        <w:rPr>
          <w:b/>
        </w:rPr>
        <w:t>Contract lab partner:</w:t>
      </w:r>
      <w:r>
        <w:t xml:space="preserve"> An existing ISO 17025 lab that does the actual testing in Phase 1. You are the sales channel and brand; they are the lab. Non-exclusive arrangement; you should have 2–3 labs to prevent single-point-of-failure.</w:t>
      </w:r>
    </w:p>
    <w:p>
      <w:pPr>
        <w:spacing w:after="120"/>
      </w:pPr>
      <w:r>
        <w:rPr>
          <w:b/>
        </w:rPr>
        <w:t>What you need by Month 12:</w:t>
      </w:r>
    </w:p>
    <w:p>
      <w:pPr>
        <w:pStyle w:val="ListNumber"/>
        <w:spacing w:after="40"/>
      </w:pPr>
      <w:r>
        <w:rPr>
          <w:b/>
        </w:rPr>
        <w:t>Operations manager:</w:t>
      </w:r>
      <w:r>
        <w:t xml:space="preserve"> Manages sample intake, chain of custody, vendor communication, QC tracking. BS Chemistry or equivalent. Salary: $50,000–$70,000.</w:t>
      </w:r>
    </w:p>
    <w:p>
      <w:pPr>
        <w:spacing w:after="120"/>
      </w:pPr>
      <w:r>
        <w:rPr>
          <w:b/>
        </w:rPr>
        <w:t>What you need for Phase 3 (in-house lab, Year 2–3):</w:t>
      </w:r>
    </w:p>
    <w:p>
      <w:pPr>
        <w:pStyle w:val="ListNumber"/>
        <w:spacing w:after="40"/>
      </w:pPr>
      <w:r>
        <w:rPr>
          <w:b/>
        </w:rPr>
        <w:t>Lab Director (full-time, PhD):</w:t>
      </w:r>
      <w:r>
        <w:t xml:space="preserve"> Runs the lab, signs COAs, holds ISO 17025 technical manager credential. Salary: $141,953–$194,123/year. This is the most difficult hire — PhD-level analytical chemists with HPLC/MS experience are in demand.</w:t>
      </w:r>
    </w:p>
    <w:p>
      <w:pPr>
        <w:pStyle w:val="ListNumber"/>
        <w:spacing w:after="40"/>
      </w:pPr>
      <w:r>
        <w:rPr>
          <w:b/>
        </w:rPr>
        <w:t>Analytical Chemists (1–2, MS-level):</w:t>
      </w:r>
      <w:r>
        <w:t xml:space="preserve"> Run the instruments, maintain the LIMS, report results. Salary: $69,670–$86,620/year each.</w:t>
      </w:r>
    </w:p>
    <w:p>
      <w:pPr>
        <w:pStyle w:val="ListNumber"/>
        <w:spacing w:after="40"/>
      </w:pPr>
      <w:r>
        <w:rPr>
          <w:b/>
        </w:rPr>
        <w:t>Lab Technicians (2–3):</w:t>
      </w:r>
      <w:r>
        <w:t xml:space="preserve"> Sample prep, routine QC, instrument maintenance. Salary: $40,000–$57,790/year each.</w:t>
      </w:r>
    </w:p>
    <w:p>
      <w:pPr>
        <w:spacing w:after="120"/>
      </w:pPr>
      <w:r>
        <w:rPr>
          <w:b/>
        </w:rPr>
        <w:t>What the founding team does NOT need:</w:t>
      </w:r>
    </w:p>
    <w:p>
      <w:pPr>
        <w:pStyle w:val="ListBullet"/>
        <w:spacing w:after="40"/>
      </w:pPr>
      <w:r>
        <w:t>A PhD as a founder. The business challenge is brand-building and vendor relationship development, not chemistry expertise. Hire the expertise; own the brand.</w:t>
      </w:r>
    </w:p>
    <w:p>
      <w:pPr>
        <w:pStyle w:val="ListBullet"/>
        <w:spacing w:after="40"/>
      </w:pPr>
      <w:r>
        <w:t>Large initial team. Phase 1 is 1–2 people: the operator and an operations coordinator. Keep burn low until revenue validates.</w:t>
      </w:r>
    </w:p>
    <w:p>
      <w:pPr>
        <w:pStyle w:val="Heading3"/>
        <w:spacing w:before="160" w:after="80"/>
      </w:pPr>
      <w:r>
        <w:t>Advisory Board</w:t>
      </w:r>
    </w:p>
    <w:p>
      <w:pPr>
        <w:spacing w:after="120"/>
      </w:pPr>
      <w:r>
        <w:t>An advisory board with the right credentials dramatically accelerates brand trust:</w:t>
      </w:r>
    </w:p>
    <w:p>
      <w:pPr>
        <w:pStyle w:val="ListBullet"/>
        <w:spacing w:after="40"/>
      </w:pPr>
      <w:r>
        <w:rPr>
          <w:b/>
        </w:rPr>
        <w:t>Pharmaceutical analytical chemist (PhD):</w:t>
      </w:r>
      <w:r>
        <w:t xml:space="preserve"> Credibility for the scientific methodology</w:t>
      </w:r>
    </w:p>
    <w:p>
      <w:pPr>
        <w:pStyle w:val="ListBullet"/>
        <w:spacing w:after="40"/>
      </w:pPr>
      <w:r>
        <w:rPr>
          <w:b/>
        </w:rPr>
        <w:t>Former FDA official or regulatory attorney:</w:t>
      </w:r>
      <w:r>
        <w:t xml:space="preserve"> Navigates the regulatory environment</w:t>
      </w:r>
    </w:p>
    <w:p>
      <w:pPr>
        <w:pStyle w:val="ListBullet"/>
        <w:spacing w:after="40"/>
      </w:pPr>
      <w:r>
        <w:rPr>
          <w:b/>
        </w:rPr>
        <w:t>Community figure:</w:t>
      </w:r>
      <w:r>
        <w:t xml:space="preserve"> A respected voice in the peptide/biohacker community who will publicly endorse the brand (not a paid spokesperson — a genuine advisor who has tried the testing and believes in it)</w:t>
      </w:r>
    </w:p>
    <w:p>
      <w:pPr>
        <w:pStyle w:val="ListBullet"/>
        <w:spacing w:after="40"/>
      </w:pPr>
      <w:r>
        <w:rPr>
          <w:b/>
        </w:rPr>
        <w:t>Supplement industry veteran:</w:t>
      </w:r>
      <w:r>
        <w:t xml:space="preserve"> Someone who has built a brand in the NSF/Informed Sport ecosystem and understands how to replicate that path</w:t>
      </w:r>
    </w:p>
    <w:p>
      <w:pPr>
        <w:spacing w:after="120"/>
      </w:pPr>
      <w:r>
        <w:t>Advisory board compensation: options/equity (0.1–0.5% each for early advisors) and/or small cash stipend ($500–$1,000/month). The credibility is worth far more than the cost.</w:t>
      </w:r>
    </w:p>
    <w:p>
      <w:pPr>
        <w:spacing w:before="120" w:after="120"/>
        <w:pBdr>
          <w:bottom w:val="single" w:sz="6" w:space="1" w:color="AAAAAA"/>
        </w:pBdr>
      </w:pPr>
    </w:p>
    <w:p>
      <w:pPr>
        <w:pStyle w:val="Heading2"/>
        <w:spacing w:before="240" w:after="80"/>
      </w:pPr>
      <w:r>
        <w:t>Appendix I: Financing Options and Capital Strategy</w:t>
      </w:r>
    </w:p>
    <w:p>
      <w:pPr>
        <w:pStyle w:val="Heading3"/>
        <w:spacing w:before="160" w:after="80"/>
      </w:pPr>
      <w:r>
        <w:t>Bootstrap (Preferred for Phase 1)</w:t>
      </w:r>
    </w:p>
    <w:p>
      <w:pPr>
        <w:spacing w:after="120"/>
      </w:pPr>
      <w:r>
        <w:t>The white-label Phase 1 model is designed for bootstrapping. $150,000–$250,000 launch capital is within reach for most founding teams, especially if:</w:t>
      </w:r>
    </w:p>
    <w:p>
      <w:pPr>
        <w:pStyle w:val="ListBullet"/>
        <w:spacing w:after="40"/>
      </w:pPr>
      <w:r>
        <w:t>The operator has personal savings or business credit</w:t>
      </w:r>
    </w:p>
    <w:p>
      <w:pPr>
        <w:pStyle w:val="ListBullet"/>
        <w:spacing w:after="40"/>
      </w:pPr>
      <w:r>
        <w:t>An early vendor partner pre-pays for a testing subscription (say, 12 months × 20 products × $500 = $120,000 upfront)</w:t>
      </w:r>
    </w:p>
    <w:p>
      <w:pPr>
        <w:pStyle w:val="ListBullet"/>
        <w:spacing w:after="40"/>
      </w:pPr>
      <w:r>
        <w:t>Revenue from Phase 1 funds Phase 2</w:t>
      </w:r>
    </w:p>
    <w:p>
      <w:pPr>
        <w:spacing w:after="120"/>
      </w:pPr>
      <w:r>
        <w:rPr>
          <w:b/>
        </w:rPr>
        <w:t>The pre-sale model:</w:t>
      </w:r>
      <w:r>
        <w:t xml:space="preserve"> Approach 5 respected vendors with an offer: "Lock in founding vendor pricing for 12 months, pay 6 months upfront." A founding cohort of 10 vendors × $12,000 = $120,000 in upfront revenue — enough to fund the Phase 1 launch without outside capital.</w:t>
      </w:r>
    </w:p>
    <w:p>
      <w:pPr>
        <w:pStyle w:val="Heading3"/>
        <w:spacing w:before="160" w:after="80"/>
      </w:pPr>
      <w:r>
        <w:t>Angel Investment (Phase 2–3)</w:t>
      </w:r>
    </w:p>
    <w:p>
      <w:pPr>
        <w:spacing w:after="120"/>
      </w:pPr>
      <w:r>
        <w:t>For the Phase 3 lab build ($500K–$1.5M), angel investment is the natural fit:</w:t>
      </w:r>
    </w:p>
    <w:p>
      <w:pPr>
        <w:pStyle w:val="ListBullet"/>
        <w:spacing w:after="40"/>
      </w:pPr>
      <w:r>
        <w:t>Target: angels with backgrounds in biotech, pharma, supplements, or analytical chemistry</w:t>
      </w:r>
    </w:p>
    <w:p>
      <w:pPr>
        <w:pStyle w:val="ListBullet"/>
        <w:spacing w:after="40"/>
      </w:pPr>
      <w:r>
        <w:t>Investment thesis: the "Informed Sport of peptides" narrative is clean and compelling — there's a clear analog (NSF grew to $7B) and a clear market gap</w:t>
      </w:r>
    </w:p>
    <w:p>
      <w:pPr>
        <w:pStyle w:val="ListBullet"/>
        <w:spacing w:after="40"/>
      </w:pPr>
      <w:r>
        <w:t>Typical angel deal: $500K–$1.5M for 15–25% equity at a $3M–$6M pre-money valuation</w:t>
      </w:r>
    </w:p>
    <w:p>
      <w:pPr>
        <w:spacing w:after="120"/>
      </w:pPr>
      <w:r>
        <w:rPr>
          <w:b/>
        </w:rPr>
        <w:t>What angels will want to see:</w:t>
      </w:r>
    </w:p>
    <w:p>
      <w:pPr>
        <w:pStyle w:val="ListBullet"/>
        <w:spacing w:after="40"/>
      </w:pPr>
      <w:r>
        <w:t>Revenue traction (100+ COAs/month, $40,000+/month revenue in Phase 1)</w:t>
      </w:r>
    </w:p>
    <w:p>
      <w:pPr>
        <w:pStyle w:val="ListBullet"/>
        <w:spacing w:after="40"/>
      </w:pPr>
      <w:r>
        <w:t>ISO 17025 accreditation or clear path to it</w:t>
      </w:r>
    </w:p>
    <w:p>
      <w:pPr>
        <w:pStyle w:val="ListBullet"/>
        <w:spacing w:after="40"/>
      </w:pPr>
      <w:r>
        <w:t>2–3 vendor partnerships with recognizable names in the community</w:t>
      </w:r>
    </w:p>
    <w:p>
      <w:pPr>
        <w:pStyle w:val="ListBullet"/>
        <w:spacing w:after="40"/>
      </w:pPr>
      <w:r>
        <w:t>A clear use of funds: lab equipment list, hiring plan, timeline to profitability</w:t>
      </w:r>
    </w:p>
    <w:p>
      <w:pPr>
        <w:pStyle w:val="Heading3"/>
        <w:spacing w:before="160" w:after="80"/>
      </w:pPr>
      <w:r>
        <w:t>Venture Capital (Phase 4+, Optional)</w:t>
      </w:r>
    </w:p>
    <w:p>
      <w:pPr>
        <w:spacing w:after="120"/>
      </w:pPr>
      <w:r>
        <w:t>VC is not necessary and may not be desirable. The certification body business model is a steady, compounding revenue business — not a venture-scale hypergrowth story. However, if the goal is to become the dominant global standard and expand internationally, a $5M–$15M Series A could accelerate:</w:t>
      </w:r>
    </w:p>
    <w:p>
      <w:pPr>
        <w:pStyle w:val="ListBullet"/>
        <w:spacing w:after="40"/>
      </w:pPr>
      <w:r>
        <w:t>International lab network (EU, UK, Australia)</w:t>
      </w:r>
    </w:p>
    <w:p>
      <w:pPr>
        <w:pStyle w:val="ListBullet"/>
        <w:spacing w:after="40"/>
      </w:pPr>
      <w:r>
        <w:t>Regulatory engagement staff (lobbying for FDA COA standards)</w:t>
      </w:r>
    </w:p>
    <w:p>
      <w:pPr>
        <w:pStyle w:val="ListBullet"/>
        <w:spacing w:after="40"/>
      </w:pPr>
      <w:r>
        <w:t>Marketing at scale</w:t>
      </w:r>
    </w:p>
    <w:p>
      <w:pPr>
        <w:spacing w:after="120"/>
      </w:pPr>
      <w:r>
        <w:t>Most founding teams in this space are better served by staying private and profitable. The certification model generates high-margin recurring revenue — you don't need VC if you can bootstrap to $2M ARR.</w:t>
      </w:r>
    </w:p>
    <w:p>
      <w:pPr>
        <w:pStyle w:val="Heading3"/>
        <w:spacing w:before="160" w:after="80"/>
      </w:pPr>
      <w:r>
        <w:t>Alternative: Strategic Partnership with Existing Lab</w:t>
      </w:r>
    </w:p>
    <w:p>
      <w:pPr>
        <w:spacing w:after="120"/>
      </w:pPr>
      <w:r>
        <w:t>A non-dilutive option: partner with an existing ISO 17025 accredited laboratory that wants to expand into the peptide market but lacks the community relationships and brand:</w:t>
      </w:r>
    </w:p>
    <w:p>
      <w:pPr>
        <w:pStyle w:val="ListBullet"/>
        <w:spacing w:after="40"/>
      </w:pPr>
      <w:r>
        <w:rPr>
          <w:b/>
        </w:rPr>
        <w:t>Structure:</w:t>
      </w:r>
      <w:r>
        <w:t xml:space="preserve"> Revenue-sharing agreement — you bring the clients and brand; they provide the testing</w:t>
      </w:r>
    </w:p>
    <w:p>
      <w:pPr>
        <w:pStyle w:val="ListBullet"/>
        <w:spacing w:after="40"/>
      </w:pPr>
      <w:r>
        <w:rPr>
          <w:b/>
        </w:rPr>
        <w:t>Your take:</w:t>
      </w:r>
      <w:r>
        <w:t xml:space="preserve"> 40–50% of test revenue for client acquisition and branding</w:t>
      </w:r>
    </w:p>
    <w:p>
      <w:pPr>
        <w:pStyle w:val="ListBullet"/>
        <w:spacing w:after="40"/>
      </w:pPr>
      <w:r>
        <w:rPr>
          <w:b/>
        </w:rPr>
        <w:t>Their take:</w:t>
      </w:r>
      <w:r>
        <w:t xml:space="preserve"> 50–60% as the testing provider</w:t>
      </w:r>
    </w:p>
    <w:p>
      <w:pPr>
        <w:pStyle w:val="ListBullet"/>
        <w:spacing w:after="40"/>
      </w:pPr>
      <w:r>
        <w:rPr>
          <w:b/>
        </w:rPr>
        <w:t>Advantage:</w:t>
      </w:r>
      <w:r>
        <w:t xml:space="preserve"> No equipment capital required; instant ISO 17025 credibility (via the partner's accreditation)</w:t>
      </w:r>
    </w:p>
    <w:p>
      <w:pPr>
        <w:pStyle w:val="ListBullet"/>
        <w:spacing w:after="40"/>
      </w:pPr>
      <w:r>
        <w:rPr>
          <w:b/>
        </w:rPr>
        <w:t>Risk:</w:t>
      </w:r>
      <w:r>
        <w:t xml:space="preserve"> Over-dependence on one partner; they could eventually compete directly</w:t>
      </w:r>
    </w:p>
    <w:p>
      <w:pPr>
        <w:spacing w:after="120"/>
      </w:pPr>
      <w:r>
        <w:t>Eurofins, Intertek, and SGS are the largest potential partners — but they are slow-moving and corporate. Better targets: regional pharma analytical labs that want a new revenue stream and are willing to co-brand.</w:t>
      </w:r>
    </w:p>
    <w:p>
      <w:pPr>
        <w:spacing w:before="120" w:after="120"/>
        <w:pBdr>
          <w:bottom w:val="single" w:sz="6" w:space="1" w:color="AAAAAA"/>
        </w:pBdr>
      </w:pPr>
    </w:p>
    <w:p>
      <w:pPr>
        <w:spacing w:after="120"/>
      </w:pPr>
      <w:r>
        <w:rPr>
          <w:i/>
        </w:rPr>
        <w:t>This document represents original research and analysis compiled April 2026 for business planning purposes. It does not constitute legal or investment advice. Consult qualified regulatory counsel before launching any analytical testing business. All historical data sourced as cited; market projections are third-party estimates with inherent uncertainty.</w:t>
      </w:r>
    </w:p>
    <w:p>
      <w:pPr>
        <w:spacing w:after="120"/>
      </w:pPr>
      <w:r>
        <w:rPr>
          <w:i/>
        </w:rPr>
        <w:t>Compiled by: [Your Company] | April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