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237E"/>
          <w:sz w:val="52"/>
        </w:rPr>
        <w:t>ARKHUB: LOST CITY DISCOVERY</w:t>
      </w:r>
    </w:p>
    <w:p>
      <w:pPr>
        <w:jc w:val="center"/>
      </w:pPr>
      <w:r>
        <w:rPr>
          <w:color w:val="555F6E"/>
          <w:sz w:val="28"/>
        </w:rPr>
        <w:t>Archaeological Site Discovery Strategy — Peru</w:t>
      </w:r>
    </w:p>
    <w:p>
      <w:pPr>
        <w:jc w:val="center"/>
      </w:pPr>
      <w:r>
        <w:rPr>
          <w:color w:val="75828F"/>
          <w:sz w:val="22"/>
        </w:rPr>
        <w:t>NS Archaeology Hackathon · March 2026</w:t>
      </w:r>
    </w:p>
    <w:p/>
    <w:p/>
    <w:p>
      <w:pPr>
        <w:pStyle w:val="Heading1"/>
      </w:pPr>
      <w:r>
        <w:rPr>
          <w:color w:val="1A237E"/>
        </w:rPr>
        <w:t>Executive Summary</w:t>
      </w:r>
    </w:p>
    <w:p>
      <w:r>
        <w:t>This document presents a multi-layer analytical strategy for identifying undiscovered archaeological sites in Peru at 1 km² resolution. Using 34 verified known-site coordinates and 118 curated academic papers assembled from OpenAlex and Crossref, we apply six independent predictive layers to generate a composite score for every 1 km² cell across four priority study regions.</w:t>
        <w:br/>
        <w:br/>
        <w:t>The strategy does not require satellite imagery APIs, paid subscriptions, or field access. All analysis runs on free, publicly available data. The output is a ranked GeoJSON of candidate tiles and an interactive HTML discovery map, both generated automatically by the accompanying Python script (discovery_heatmap.py).</w:t>
      </w:r>
    </w:p>
    <w:p>
      <w:r>
        <w:br/>
        <w:t>Key findings from the initial analysis:</w:t>
      </w:r>
    </w:p>
    <w:p>
      <w:pPr>
        <w:pStyle w:val="ListBullet"/>
      </w:pPr>
      <w:r>
        <w:t>320 candidate tiles scored across four study regions</w:t>
      </w:r>
    </w:p>
    <w:p>
      <w:pPr>
        <w:pStyle w:val="ListBullet"/>
      </w:pPr>
      <w:r>
        <w:t>Top candidates cluster in the Palpa–Nazca inter-valley zone (-14.55° to -14.58°S)</w:t>
      </w:r>
    </w:p>
    <w:p>
      <w:pPr>
        <w:pStyle w:val="ListBullet"/>
      </w:pPr>
      <w:r>
        <w:t>All Tier 1 candidates (score ≥ 0.55) are within 0.2–2.7 km of a major river corridor</w:t>
      </w:r>
    </w:p>
    <w:p>
      <w:pPr>
        <w:pStyle w:val="ListBullet"/>
      </w:pPr>
      <w:r>
        <w:t>The Ica–Pisco coastal corridor and Osmore Valley are the most under-surveyed high-potential zones</w:t>
      </w:r>
    </w:p>
    <w:p>
      <w:pPr>
        <w:pStyle w:val="ListBullet"/>
      </w:pPr>
      <w:r>
        <w:t>North coast (Lambayeque–La Libertad) flagged as secondary priority pending additional site data</w:t>
      </w:r>
    </w:p>
    <w:p>
      <w:r>
        <w:br w:type="page"/>
      </w:r>
    </w:p>
    <w:p>
      <w:pPr>
        <w:pStyle w:val="Heading1"/>
      </w:pPr>
      <w:r>
        <w:rPr>
          <w:color w:val="1A237E"/>
        </w:rPr>
        <w:t>1. Data Foundation</w:t>
      </w:r>
    </w:p>
    <w:p>
      <w:pPr>
        <w:pStyle w:val="Heading2"/>
      </w:pPr>
      <w:r>
        <w:rPr>
          <w:color w:val="283EA7"/>
        </w:rPr>
        <w:t>1.1 Known Site Inventory</w:t>
      </w:r>
    </w:p>
    <w:p>
      <w:r>
        <w:t>The analysis is seeded by 34 verified archaeological sites extracted from 118 curated academic papers. Coordinates are manually verified from Wikipedia, the XRONOS database, and primary academic sources. Each site carries a confidence rating (high / medium) and coordinate status (exact / representative / approximate).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237E"/>
          </w:tcPr>
          <w:p>
            <w:r>
              <w:rPr>
                <w:b/>
                <w:color w:val="FFFFFF"/>
              </w:rPr>
              <w:t>Site Name</w:t>
            </w:r>
          </w:p>
        </w:tc>
        <w:tc>
          <w:tcPr>
            <w:tcW w:type="dxa" w:w="2160"/>
            <w:shd w:val="clear" w:color="auto" w:fill="1A237E"/>
          </w:tcPr>
          <w:p>
            <w:r>
              <w:rPr>
                <w:b/>
                <w:color w:val="FFFFFF"/>
              </w:rPr>
              <w:t>Lat/Lon</w:t>
            </w:r>
          </w:p>
        </w:tc>
        <w:tc>
          <w:tcPr>
            <w:tcW w:type="dxa" w:w="2160"/>
            <w:shd w:val="clear" w:color="auto" w:fill="1A237E"/>
          </w:tcPr>
          <w:p>
            <w:r>
              <w:rPr>
                <w:b/>
                <w:color w:val="FFFFFF"/>
              </w:rPr>
              <w:t>Studies</w:t>
            </w:r>
          </w:p>
        </w:tc>
        <w:tc>
          <w:tcPr>
            <w:tcW w:type="dxa" w:w="2160"/>
            <w:shd w:val="clear" w:color="auto" w:fill="1A237E"/>
          </w:tcPr>
          <w:p>
            <w:r>
              <w:rPr>
                <w:b/>
                <w:color w:val="FFFFFF"/>
              </w:rPr>
              <w:t>Confidence</w:t>
            </w:r>
          </w:p>
        </w:tc>
      </w:tr>
      <w:tr>
        <w:tc>
          <w:tcPr>
            <w:tcW w:type="dxa" w:w="2160"/>
            <w:shd w:val="clear" w:color="auto" w:fill="E8EAF6"/>
          </w:tcPr>
          <w:p>
            <w:r>
              <w:t>Nazca Lines</w:t>
            </w:r>
          </w:p>
        </w:tc>
        <w:tc>
          <w:tcPr>
            <w:tcW w:type="dxa" w:w="2160"/>
            <w:shd w:val="clear" w:color="auto" w:fill="E8EAF6"/>
          </w:tcPr>
          <w:p>
            <w:r>
              <w:t>-14.6975, -75.1350</w:t>
            </w:r>
          </w:p>
        </w:tc>
        <w:tc>
          <w:tcPr>
            <w:tcW w:type="dxa" w:w="2160"/>
            <w:shd w:val="clear" w:color="auto" w:fill="E8EAF6"/>
          </w:tcPr>
          <w:p>
            <w:r>
              <w:t>61</w:t>
            </w:r>
          </w:p>
        </w:tc>
        <w:tc>
          <w:tcPr>
            <w:tcW w:type="dxa" w:w="2160"/>
            <w:shd w:val="clear" w:color="auto" w:fill="E8EAF6"/>
          </w:tcPr>
          <w:p>
            <w:r>
              <w:t>High</w:t>
            </w:r>
          </w:p>
        </w:tc>
      </w:tr>
      <w:tr>
        <w:tc>
          <w:tcPr>
            <w:tcW w:type="dxa" w:w="2160"/>
          </w:tcPr>
          <w:p>
            <w:r>
              <w:t>Palpa Lines</w:t>
            </w:r>
          </w:p>
        </w:tc>
        <w:tc>
          <w:tcPr>
            <w:tcW w:type="dxa" w:w="2160"/>
          </w:tcPr>
          <w:p>
            <w:r>
              <w:t>-14.5966, -75.1949</w:t>
            </w:r>
          </w:p>
        </w:tc>
        <w:tc>
          <w:tcPr>
            <w:tcW w:type="dxa" w:w="2160"/>
          </w:tcPr>
          <w:p>
            <w:r>
              <w:t>18</w:t>
            </w:r>
          </w:p>
        </w:tc>
        <w:tc>
          <w:tcPr>
            <w:tcW w:type="dxa" w:w="2160"/>
          </w:tcPr>
          <w:p>
            <w:r>
              <w:t>High</w:t>
            </w:r>
          </w:p>
        </w:tc>
      </w:tr>
      <w:tr>
        <w:tc>
          <w:tcPr>
            <w:tcW w:type="dxa" w:w="2160"/>
            <w:shd w:val="clear" w:color="auto" w:fill="E8EAF6"/>
          </w:tcPr>
          <w:p>
            <w:r>
              <w:t>Ica</w:t>
            </w:r>
          </w:p>
        </w:tc>
        <w:tc>
          <w:tcPr>
            <w:tcW w:type="dxa" w:w="2160"/>
            <w:shd w:val="clear" w:color="auto" w:fill="E8EAF6"/>
          </w:tcPr>
          <w:p>
            <w:r>
              <w:t>-14.0667, -75.7333</w:t>
            </w:r>
          </w:p>
        </w:tc>
        <w:tc>
          <w:tcPr>
            <w:tcW w:type="dxa" w:w="2160"/>
            <w:shd w:val="clear" w:color="auto" w:fill="E8EAF6"/>
          </w:tcPr>
          <w:p>
            <w:r>
              <w:t>9</w:t>
            </w:r>
          </w:p>
        </w:tc>
        <w:tc>
          <w:tcPr>
            <w:tcW w:type="dxa" w:w="2160"/>
            <w:shd w:val="clear" w:color="auto" w:fill="E8EAF6"/>
          </w:tcPr>
          <w:p>
            <w:r>
              <w:t>High</w:t>
            </w:r>
          </w:p>
        </w:tc>
      </w:tr>
      <w:tr>
        <w:tc>
          <w:tcPr>
            <w:tcW w:type="dxa" w:w="2160"/>
          </w:tcPr>
          <w:p>
            <w:r>
              <w:t>Cahuachi</w:t>
            </w:r>
          </w:p>
        </w:tc>
        <w:tc>
          <w:tcPr>
            <w:tcW w:type="dxa" w:w="2160"/>
          </w:tcPr>
          <w:p>
            <w:r>
              <w:t>-14.8186, -75.1167</w:t>
            </w:r>
          </w:p>
        </w:tc>
        <w:tc>
          <w:tcPr>
            <w:tcW w:type="dxa" w:w="2160"/>
          </w:tcPr>
          <w:p>
            <w:r>
              <w:t>7</w:t>
            </w:r>
          </w:p>
        </w:tc>
        <w:tc>
          <w:tcPr>
            <w:tcW w:type="dxa" w:w="2160"/>
          </w:tcPr>
          <w:p>
            <w:r>
              <w:t>High</w:t>
            </w:r>
          </w:p>
        </w:tc>
      </w:tr>
      <w:tr>
        <w:tc>
          <w:tcPr>
            <w:tcW w:type="dxa" w:w="2160"/>
            <w:shd w:val="clear" w:color="auto" w:fill="E8EAF6"/>
          </w:tcPr>
          <w:p>
            <w:r>
              <w:t>Pinchango Alto</w:t>
            </w:r>
          </w:p>
        </w:tc>
        <w:tc>
          <w:tcPr>
            <w:tcW w:type="dxa" w:w="2160"/>
            <w:shd w:val="clear" w:color="auto" w:fill="E8EAF6"/>
          </w:tcPr>
          <w:p>
            <w:r>
              <w:t>-14.4808, -75.1758</w:t>
            </w:r>
          </w:p>
        </w:tc>
        <w:tc>
          <w:tcPr>
            <w:tcW w:type="dxa" w:w="2160"/>
            <w:shd w:val="clear" w:color="auto" w:fill="E8EAF6"/>
          </w:tcPr>
          <w:p>
            <w:r>
              <w:t>5</w:t>
            </w:r>
          </w:p>
        </w:tc>
        <w:tc>
          <w:tcPr>
            <w:tcW w:type="dxa" w:w="2160"/>
            <w:shd w:val="clear" w:color="auto" w:fill="E8EAF6"/>
          </w:tcPr>
          <w:p>
            <w:r>
              <w:t>Medium</w:t>
            </w:r>
          </w:p>
        </w:tc>
      </w:tr>
      <w:tr>
        <w:tc>
          <w:tcPr>
            <w:tcW w:type="dxa" w:w="2160"/>
          </w:tcPr>
          <w:p>
            <w:r>
              <w:t>Acari Valley</w:t>
            </w:r>
          </w:p>
        </w:tc>
        <w:tc>
          <w:tcPr>
            <w:tcW w:type="dxa" w:w="2160"/>
          </w:tcPr>
          <w:p>
            <w:r>
              <w:t>-15.4311, -74.6158</w:t>
            </w:r>
          </w:p>
        </w:tc>
        <w:tc>
          <w:tcPr>
            <w:tcW w:type="dxa" w:w="2160"/>
          </w:tcPr>
          <w:p>
            <w:r>
              <w:t>3</w:t>
            </w:r>
          </w:p>
        </w:tc>
        <w:tc>
          <w:tcPr>
            <w:tcW w:type="dxa" w:w="2160"/>
          </w:tcPr>
          <w:p>
            <w:r>
              <w:t>Medium</w:t>
            </w:r>
          </w:p>
        </w:tc>
      </w:tr>
      <w:tr>
        <w:tc>
          <w:tcPr>
            <w:tcW w:type="dxa" w:w="2160"/>
            <w:shd w:val="clear" w:color="auto" w:fill="E8EAF6"/>
          </w:tcPr>
          <w:p>
            <w:r>
              <w:t>Moquegua</w:t>
            </w:r>
          </w:p>
        </w:tc>
        <w:tc>
          <w:tcPr>
            <w:tcW w:type="dxa" w:w="2160"/>
            <w:shd w:val="clear" w:color="auto" w:fill="E8EAF6"/>
          </w:tcPr>
          <w:p>
            <w:r>
              <w:t>-17.2000, -70.9333</w:t>
            </w:r>
          </w:p>
        </w:tc>
        <w:tc>
          <w:tcPr>
            <w:tcW w:type="dxa" w:w="2160"/>
            <w:shd w:val="clear" w:color="auto" w:fill="E8EAF6"/>
          </w:tcPr>
          <w:p>
            <w:r>
              <w:t>3</w:t>
            </w:r>
          </w:p>
        </w:tc>
        <w:tc>
          <w:tcPr>
            <w:tcW w:type="dxa" w:w="2160"/>
            <w:shd w:val="clear" w:color="auto" w:fill="E8EAF6"/>
          </w:tcPr>
          <w:p>
            <w:r>
              <w:t>High</w:t>
            </w:r>
          </w:p>
        </w:tc>
      </w:tr>
      <w:tr>
        <w:tc>
          <w:tcPr>
            <w:tcW w:type="dxa" w:w="2160"/>
          </w:tcPr>
          <w:p>
            <w:r>
              <w:t>Paracas Peninsula</w:t>
            </w:r>
          </w:p>
        </w:tc>
        <w:tc>
          <w:tcPr>
            <w:tcW w:type="dxa" w:w="2160"/>
          </w:tcPr>
          <w:p>
            <w:r>
              <w:t>-13.8589, -76.3289</w:t>
            </w:r>
          </w:p>
        </w:tc>
        <w:tc>
          <w:tcPr>
            <w:tcW w:type="dxa" w:w="2160"/>
          </w:tcPr>
          <w:p>
            <w:r>
              <w:t>3</w:t>
            </w:r>
          </w:p>
        </w:tc>
        <w:tc>
          <w:tcPr>
            <w:tcW w:type="dxa" w:w="2160"/>
          </w:tcPr>
          <w:p>
            <w:r>
              <w:t>High</w:t>
            </w:r>
          </w:p>
        </w:tc>
      </w:tr>
      <w:tr>
        <w:tc>
          <w:tcPr>
            <w:tcW w:type="dxa" w:w="2160"/>
            <w:shd w:val="clear" w:color="auto" w:fill="E8EAF6"/>
          </w:tcPr>
          <w:p>
            <w:r>
              <w:t>Rio Grande de Nazca</w:t>
            </w:r>
          </w:p>
        </w:tc>
        <w:tc>
          <w:tcPr>
            <w:tcW w:type="dxa" w:w="2160"/>
            <w:shd w:val="clear" w:color="auto" w:fill="E8EAF6"/>
          </w:tcPr>
          <w:p>
            <w:r>
              <w:t>-14.5201, -75.2015</w:t>
            </w:r>
          </w:p>
        </w:tc>
        <w:tc>
          <w:tcPr>
            <w:tcW w:type="dxa" w:w="2160"/>
            <w:shd w:val="clear" w:color="auto" w:fill="E8EAF6"/>
          </w:tcPr>
          <w:p>
            <w:r>
              <w:t>3</w:t>
            </w:r>
          </w:p>
        </w:tc>
        <w:tc>
          <w:tcPr>
            <w:tcW w:type="dxa" w:w="2160"/>
            <w:shd w:val="clear" w:color="auto" w:fill="E8EAF6"/>
          </w:tcPr>
          <w:p>
            <w:r>
              <w:t>Medium</w:t>
            </w:r>
          </w:p>
        </w:tc>
      </w:tr>
      <w:tr>
        <w:tc>
          <w:tcPr>
            <w:tcW w:type="dxa" w:w="2160"/>
          </w:tcPr>
          <w:p>
            <w:r>
              <w:t>Cerro Baul</w:t>
            </w:r>
          </w:p>
        </w:tc>
        <w:tc>
          <w:tcPr>
            <w:tcW w:type="dxa" w:w="2160"/>
          </w:tcPr>
          <w:p>
            <w:r>
              <w:t>-17.1121, -70.8588</w:t>
            </w:r>
          </w:p>
        </w:tc>
        <w:tc>
          <w:tcPr>
            <w:tcW w:type="dxa" w:w="2160"/>
          </w:tcPr>
          <w:p>
            <w:r>
              <w:t>1</w:t>
            </w:r>
          </w:p>
        </w:tc>
        <w:tc>
          <w:tcPr>
            <w:tcW w:type="dxa" w:w="2160"/>
          </w:tcPr>
          <w:p>
            <w:r>
              <w:t>High</w:t>
            </w:r>
          </w:p>
        </w:tc>
      </w:tr>
      <w:tr>
        <w:tc>
          <w:tcPr>
            <w:tcW w:type="dxa" w:w="2160"/>
            <w:shd w:val="clear" w:color="auto" w:fill="E8EAF6"/>
          </w:tcPr>
          <w:p>
            <w:r>
              <w:t>Jauranga</w:t>
            </w:r>
          </w:p>
        </w:tc>
        <w:tc>
          <w:tcPr>
            <w:tcW w:type="dxa" w:w="2160"/>
            <w:shd w:val="clear" w:color="auto" w:fill="E8EAF6"/>
          </w:tcPr>
          <w:p>
            <w:r>
              <w:t>-14.5466, -75.2047</w:t>
            </w:r>
          </w:p>
        </w:tc>
        <w:tc>
          <w:tcPr>
            <w:tcW w:type="dxa" w:w="2160"/>
            <w:shd w:val="clear" w:color="auto" w:fill="E8EAF6"/>
          </w:tcPr>
          <w:p>
            <w:r>
              <w:t>1</w:t>
            </w:r>
          </w:p>
        </w:tc>
        <w:tc>
          <w:tcPr>
            <w:tcW w:type="dxa" w:w="2160"/>
            <w:shd w:val="clear" w:color="auto" w:fill="E8EAF6"/>
          </w:tcPr>
          <w:p>
            <w:r>
              <w:t>High</w:t>
            </w:r>
          </w:p>
        </w:tc>
      </w:tr>
      <w:tr>
        <w:tc>
          <w:tcPr>
            <w:tcW w:type="dxa" w:w="2160"/>
          </w:tcPr>
          <w:p>
            <w:r>
              <w:t>Pernil Alto</w:t>
            </w:r>
          </w:p>
        </w:tc>
        <w:tc>
          <w:tcPr>
            <w:tcW w:type="dxa" w:w="2160"/>
          </w:tcPr>
          <w:p>
            <w:r>
              <w:t>-14.4920, -75.2160</w:t>
            </w:r>
          </w:p>
        </w:tc>
        <w:tc>
          <w:tcPr>
            <w:tcW w:type="dxa" w:w="2160"/>
          </w:tcPr>
          <w:p>
            <w:r>
              <w:t>1</w:t>
            </w:r>
          </w:p>
        </w:tc>
        <w:tc>
          <w:tcPr>
            <w:tcW w:type="dxa" w:w="2160"/>
          </w:tcPr>
          <w:p>
            <w:r>
              <w:t>High</w:t>
            </w:r>
          </w:p>
        </w:tc>
      </w:tr>
      <w:tr>
        <w:tc>
          <w:tcPr>
            <w:tcW w:type="dxa" w:w="2160"/>
            <w:shd w:val="clear" w:color="auto" w:fill="E8EAF6"/>
          </w:tcPr>
          <w:p>
            <w:r>
              <w:t>Pampa Grande</w:t>
            </w:r>
          </w:p>
        </w:tc>
        <w:tc>
          <w:tcPr>
            <w:tcW w:type="dxa" w:w="2160"/>
            <w:shd w:val="clear" w:color="auto" w:fill="E8EAF6"/>
          </w:tcPr>
          <w:p>
            <w:r>
              <w:t>-6.7626,  -79.4740</w:t>
            </w:r>
          </w:p>
        </w:tc>
        <w:tc>
          <w:tcPr>
            <w:tcW w:type="dxa" w:w="2160"/>
            <w:shd w:val="clear" w:color="auto" w:fill="E8EAF6"/>
          </w:tcPr>
          <w:p>
            <w:r>
              <w:t>1</w:t>
            </w:r>
          </w:p>
        </w:tc>
        <w:tc>
          <w:tcPr>
            <w:tcW w:type="dxa" w:w="2160"/>
            <w:shd w:val="clear" w:color="auto" w:fill="E8EAF6"/>
          </w:tcPr>
          <w:p>
            <w:r>
              <w:t>High</w:t>
            </w:r>
          </w:p>
        </w:tc>
      </w:tr>
      <w:tr>
        <w:tc>
          <w:tcPr>
            <w:tcW w:type="dxa" w:w="2160"/>
          </w:tcPr>
          <w:p>
            <w:r>
              <w:t>+ 21 additional sites</w:t>
            </w:r>
          </w:p>
        </w:tc>
        <w:tc>
          <w:tcPr>
            <w:tcW w:type="dxa" w:w="2160"/>
          </w:tcPr>
          <w:p>
            <w:r>
              <w:t>…</w:t>
            </w:r>
          </w:p>
        </w:tc>
        <w:tc>
          <w:tcPr>
            <w:tcW w:type="dxa" w:w="2160"/>
          </w:tcPr>
          <w:p>
            <w:r>
              <w:t>1 each</w:t>
            </w:r>
          </w:p>
        </w:tc>
        <w:tc>
          <w:tcPr>
            <w:tcW w:type="dxa" w:w="2160"/>
          </w:tcPr>
          <w:p>
            <w:r>
              <w:t>High/Med</w:t>
            </w:r>
          </w:p>
        </w:tc>
      </w:tr>
    </w:tbl>
    <w:p/>
    <w:p>
      <w:pPr>
        <w:pStyle w:val="Heading2"/>
      </w:pPr>
      <w:r>
        <w:rPr>
          <w:color w:val="283EA7"/>
        </w:rPr>
        <w:t>1.2 Academic Literature Coverage</w:t>
      </w:r>
    </w:p>
    <w:p>
      <w:r>
        <w:t>Ten distinct search queries were executed across OpenAlex and Crossref, yielding 373 raw papers. After deduplication and keyword curation, 118 papers remain covering remote sensing, geoglyphs, looting detection, settlement surveys, radiocarbon chronology, and LiDAR applications.</w:t>
      </w:r>
    </w:p>
    <w:p>
      <w:pPr>
        <w:pStyle w:val="ListBullet"/>
      </w:pPr>
      <w:r>
        <w:t>Most-studied site: Nazca Lines (61 papers)</w:t>
      </w:r>
    </w:p>
    <w:p>
      <w:pPr>
        <w:pStyle w:val="ListBullet"/>
      </w:pPr>
      <w:r>
        <w:t>Least-studied high-potential zone: Ica–Pisco corridor, upper Nazca tributaries</w:t>
      </w:r>
    </w:p>
    <w:p>
      <w:pPr>
        <w:pStyle w:val="ListBullet"/>
      </w:pPr>
      <w:r>
        <w:t>Notable recent paper: Snyder &amp; Haas (2024) — satellite survey detects up to 20% of sites in coastal valleys</w:t>
      </w:r>
    </w:p>
    <w:p>
      <w:pPr>
        <w:pStyle w:val="ListBullet"/>
      </w:pPr>
      <w:r>
        <w:t>Key method papers: Lasaponara &amp; Masini (2018) space-based looting detection; Reindel &amp; Gruen (2003) 3D Palpa modelling</w:t>
      </w:r>
    </w:p>
    <w:p>
      <w:r>
        <w:br w:type="page"/>
      </w:r>
    </w:p>
    <w:p>
      <w:pPr>
        <w:pStyle w:val="Heading1"/>
      </w:pPr>
      <w:r>
        <w:rPr>
          <w:color w:val="1A237E"/>
        </w:rPr>
        <w:t>2. Discovery Strategy: Six Predictive Layers</w:t>
      </w:r>
    </w:p>
    <w:p>
      <w:r>
        <w:t>No single method reliably locates undiscovered sites. The strategy stacks six independent predictive layers into a composite score. Each layer is a probability surface over the study area. Cells where multiple layers converge — especially Layers 2 and 3 — represent the highest-priority investigation targets.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237E"/>
          </w:tcPr>
          <w:p>
            <w:r>
              <w:rPr>
                <w:b/>
                <w:color w:val="FFFFFF"/>
              </w:rPr>
              <w:t>Layer</w:t>
            </w:r>
          </w:p>
        </w:tc>
        <w:tc>
          <w:tcPr>
            <w:tcW w:type="dxa" w:w="2160"/>
            <w:shd w:val="clear" w:color="auto" w:fill="1A237E"/>
          </w:tcPr>
          <w:p>
            <w:r>
              <w:rPr>
                <w:b/>
                <w:color w:val="FFFFFF"/>
              </w:rPr>
              <w:t>Name</w:t>
            </w:r>
          </w:p>
        </w:tc>
        <w:tc>
          <w:tcPr>
            <w:tcW w:type="dxa" w:w="2160"/>
            <w:shd w:val="clear" w:color="auto" w:fill="1A237E"/>
          </w:tcPr>
          <w:p>
            <w:r>
              <w:rPr>
                <w:b/>
                <w:color w:val="FFFFFF"/>
              </w:rPr>
              <w:t>Weight</w:t>
            </w:r>
          </w:p>
        </w:tc>
        <w:tc>
          <w:tcPr>
            <w:tcW w:type="dxa" w:w="2160"/>
            <w:shd w:val="clear" w:color="auto" w:fill="1A237E"/>
          </w:tcPr>
          <w:p>
            <w:r>
              <w:rPr>
                <w:b/>
                <w:color w:val="FFFFFF"/>
              </w:rPr>
              <w:t>Rationale</w:t>
            </w:r>
          </w:p>
        </w:tc>
      </w:tr>
      <w:tr>
        <w:tc>
          <w:tcPr>
            <w:tcW w:type="dxa" w:w="2160"/>
            <w:shd w:val="clear" w:color="auto" w:fill="E8EAF6"/>
          </w:tcPr>
          <w:p>
            <w:r>
              <w:t>1</w:t>
            </w:r>
          </w:p>
        </w:tc>
        <w:tc>
          <w:tcPr>
            <w:tcW w:type="dxa" w:w="2160"/>
            <w:shd w:val="clear" w:color="auto" w:fill="E8EAF6"/>
          </w:tcPr>
          <w:p>
            <w:r>
              <w:t>KDE Gap Analysis</w:t>
            </w:r>
          </w:p>
        </w:tc>
        <w:tc>
          <w:tcPr>
            <w:tcW w:type="dxa" w:w="2160"/>
            <w:shd w:val="clear" w:color="auto" w:fill="E8EAF6"/>
          </w:tcPr>
          <w:p>
            <w:r>
              <w:t>15%</w:t>
            </w:r>
          </w:p>
        </w:tc>
        <w:tc>
          <w:tcPr>
            <w:tcW w:type="dxa" w:w="2160"/>
            <w:shd w:val="clear" w:color="auto" w:fill="E8EAF6"/>
          </w:tcPr>
          <w:p>
            <w:r>
              <w:t>Strongest near clusters; biased toward known areas</w:t>
            </w:r>
          </w:p>
        </w:tc>
      </w:tr>
      <w:tr>
        <w:tc>
          <w:tcPr>
            <w:tcW w:type="dxa" w:w="2160"/>
          </w:tcPr>
          <w:p>
            <w:r>
              <w:t>2</w:t>
            </w:r>
          </w:p>
        </w:tc>
        <w:tc>
          <w:tcPr>
            <w:tcW w:type="dxa" w:w="2160"/>
          </w:tcPr>
          <w:p>
            <w:r>
              <w:t>Hydro-Geomorphic Model</w:t>
            </w:r>
          </w:p>
        </w:tc>
        <w:tc>
          <w:tcPr>
            <w:tcW w:type="dxa" w:w="2160"/>
          </w:tcPr>
          <w:p>
            <w:r>
              <w:t>25%</w:t>
            </w:r>
          </w:p>
        </w:tc>
        <w:tc>
          <w:tcPr>
            <w:tcW w:type="dxa" w:w="2160"/>
          </w:tcPr>
          <w:p>
            <w:r>
              <w:t>Strongest first-principles predictor — all sites need water</w:t>
            </w:r>
          </w:p>
        </w:tc>
      </w:tr>
      <w:tr>
        <w:tc>
          <w:tcPr>
            <w:tcW w:type="dxa" w:w="2160"/>
            <w:shd w:val="clear" w:color="auto" w:fill="E8EAF6"/>
          </w:tcPr>
          <w:p>
            <w:r>
              <w:t>3</w:t>
            </w:r>
          </w:p>
        </w:tc>
        <w:tc>
          <w:tcPr>
            <w:tcW w:type="dxa" w:w="2160"/>
            <w:shd w:val="clear" w:color="auto" w:fill="E8EAF6"/>
          </w:tcPr>
          <w:p>
            <w:r>
              <w:t>Spectral Anomaly Detection</w:t>
            </w:r>
          </w:p>
        </w:tc>
        <w:tc>
          <w:tcPr>
            <w:tcW w:type="dxa" w:w="2160"/>
            <w:shd w:val="clear" w:color="auto" w:fill="E8EAF6"/>
          </w:tcPr>
          <w:p>
            <w:r>
              <w:t>25%</w:t>
            </w:r>
          </w:p>
        </w:tc>
        <w:tc>
          <w:tcPr>
            <w:tcW w:type="dxa" w:w="2160"/>
            <w:shd w:val="clear" w:color="auto" w:fill="E8EAF6"/>
          </w:tcPr>
          <w:p>
            <w:r>
              <w:t>Direct physical evidence; best in arid desert</w:t>
            </w:r>
          </w:p>
        </w:tc>
      </w:tr>
      <w:tr>
        <w:tc>
          <w:tcPr>
            <w:tcW w:type="dxa" w:w="2160"/>
          </w:tcPr>
          <w:p>
            <w:r>
              <w:t>4</w:t>
            </w:r>
          </w:p>
        </w:tc>
        <w:tc>
          <w:tcPr>
            <w:tcW w:type="dxa" w:w="2160"/>
          </w:tcPr>
          <w:p>
            <w:r>
              <w:t>AI Vision / Geometry</w:t>
            </w:r>
          </w:p>
        </w:tc>
        <w:tc>
          <w:tcPr>
            <w:tcW w:type="dxa" w:w="2160"/>
          </w:tcPr>
          <w:p>
            <w:r>
              <w:t>15%</w:t>
            </w:r>
          </w:p>
        </w:tc>
        <w:tc>
          <w:tcPr>
            <w:tcW w:type="dxa" w:w="2160"/>
          </w:tcPr>
          <w:p>
            <w:r>
              <w:t>High precision on structure detection; noisy at scale</w:t>
            </w:r>
          </w:p>
        </w:tc>
      </w:tr>
      <w:tr>
        <w:tc>
          <w:tcPr>
            <w:tcW w:type="dxa" w:w="2160"/>
            <w:shd w:val="clear" w:color="auto" w:fill="E8EAF6"/>
          </w:tcPr>
          <w:p>
            <w:r>
              <w:t>5</w:t>
            </w:r>
          </w:p>
        </w:tc>
        <w:tc>
          <w:tcPr>
            <w:tcW w:type="dxa" w:w="2160"/>
            <w:shd w:val="clear" w:color="auto" w:fill="E8EAF6"/>
          </w:tcPr>
          <w:p>
            <w:r>
              <w:t>Inter-Site Network</w:t>
            </w:r>
          </w:p>
        </w:tc>
        <w:tc>
          <w:tcPr>
            <w:tcW w:type="dxa" w:w="2160"/>
            <w:shd w:val="clear" w:color="auto" w:fill="E8EAF6"/>
          </w:tcPr>
          <w:p>
            <w:r>
              <w:t>10%</w:t>
            </w:r>
          </w:p>
        </w:tc>
        <w:tc>
          <w:tcPr>
            <w:tcW w:type="dxa" w:w="2160"/>
            <w:shd w:val="clear" w:color="auto" w:fill="E8EAF6"/>
          </w:tcPr>
          <w:p>
            <w:r>
              <w:t>Theoretical; needs validation against ground truth</w:t>
            </w:r>
          </w:p>
        </w:tc>
      </w:tr>
      <w:tr>
        <w:tc>
          <w:tcPr>
            <w:tcW w:type="dxa" w:w="2160"/>
          </w:tcPr>
          <w:p>
            <w:r>
              <w:t>6</w:t>
            </w:r>
          </w:p>
        </w:tc>
        <w:tc>
          <w:tcPr>
            <w:tcW w:type="dxa" w:w="2160"/>
          </w:tcPr>
          <w:p>
            <w:r>
              <w:t>Research Gap Analysis</w:t>
            </w:r>
          </w:p>
        </w:tc>
        <w:tc>
          <w:tcPr>
            <w:tcW w:type="dxa" w:w="2160"/>
          </w:tcPr>
          <w:p>
            <w:r>
              <w:t>10%</w:t>
            </w:r>
          </w:p>
        </w:tc>
        <w:tc>
          <w:tcPr>
            <w:tcW w:type="dxa" w:w="2160"/>
          </w:tcPr>
          <w:p>
            <w:r>
              <w:t>Meta-signal; identifies understudied areas</w:t>
            </w:r>
          </w:p>
        </w:tc>
      </w:tr>
    </w:tbl>
    <w:p/>
    <w:p>
      <w:pPr>
        <w:pStyle w:val="Heading2"/>
      </w:pPr>
      <w:r>
        <w:rPr>
          <w:color w:val="283EA7"/>
        </w:rPr>
        <w:t>Layer 1: KDE Density + Gap Analysis</w:t>
      </w:r>
    </w:p>
    <w:p>
      <w:r>
        <w:t>Apply Kernel Density Estimation to the 34 verified site coordinates using a bandwidth of ~100 km (approximately matching the spacing between major site clusters). This produces a continuous density surface over Peru's south coast. The 'gap score' targets cells that are within 2–15 km of a known site — close enough to be in an established archaeological zone, but far enough to be genuinely undiscovered territory.</w:t>
      </w:r>
    </w:p>
    <w:p>
      <w:pPr>
        <w:pStyle w:val="ListBullet"/>
      </w:pPr>
      <w:r>
        <w:t>Tool: scipy.stats.gaussian_kde, bandwidth=0.08°</w:t>
      </w:r>
    </w:p>
    <w:p>
      <w:pPr>
        <w:pStyle w:val="ListBullet"/>
      </w:pPr>
      <w:r>
        <w:t>Sweet spot: 2–15 km from nearest known site</w:t>
      </w:r>
    </w:p>
    <w:p>
      <w:pPr>
        <w:pStyle w:val="ListBullet"/>
      </w:pPr>
      <w:r>
        <w:t>Excludes: cells with a known site within 0.5 km</w:t>
      </w:r>
    </w:p>
    <w:p>
      <w:pPr>
        <w:pStyle w:val="ListBullet"/>
      </w:pPr>
      <w:r>
        <w:t>Output: density-weighted gap probability per 1 km² cell</w:t>
      </w:r>
    </w:p>
    <w:p>
      <w:pPr>
        <w:pStyle w:val="Heading2"/>
      </w:pPr>
      <w:r>
        <w:rPr>
          <w:color w:val="283EA7"/>
        </w:rPr>
        <w:t>Layer 2: Hydro-Geomorphic Model (Highest Weight)</w:t>
      </w:r>
    </w:p>
    <w:p>
      <w:r>
        <w:t>Ancient Peruvian civilizations — Nazca, Paracas, Wari, Tiwanaku — were hydraulic societies. Every major site clusters near a river or seasonal watercourse. This layer scores cells by proximity to the eleven encoded river corridors of Peru's south coast, including the Rio Grande de Nazca system and its five major tributaries.</w:t>
      </w:r>
    </w:p>
    <w:p>
      <w:pPr>
        <w:pStyle w:val="ListBullet"/>
      </w:pPr>
      <w:r>
        <w:t>Ideal proximity: 0.5–8 km from river centerline</w:t>
      </w:r>
    </w:p>
    <w:p>
      <w:pPr>
        <w:pStyle w:val="ListBullet"/>
      </w:pPr>
      <w:r>
        <w:t>Scoring: linear decay 0–8 km, exponential decay beyond</w:t>
      </w:r>
    </w:p>
    <w:p>
      <w:pPr>
        <w:pStyle w:val="ListBullet"/>
      </w:pPr>
      <w:r>
        <w:t>Rivers encoded: Rio Grande de Nazca, Palpa, Ingenio, Ica, Acari, Majes, Tambo, Osmore, Ilo, Las Trancas, Viscas</w:t>
      </w:r>
    </w:p>
    <w:p>
      <w:pPr>
        <w:pStyle w:val="ListBullet"/>
      </w:pPr>
      <w:r>
        <w:t>Key insight: Upper tributary zones (headwaters of Ingenio, Aja, Las Trancas) are densely settled downstream but completely unsurveyed upstream</w:t>
      </w:r>
    </w:p>
    <w:p>
      <w:pPr>
        <w:pStyle w:val="ListBullet"/>
      </w:pPr>
      <w:r>
        <w:t>Paleo-channels: Former riverbeds visible in SRTM DEM — adding these would upgrade this layer significantly</w:t>
      </w:r>
    </w:p>
    <w:p>
      <w:pPr>
        <w:pStyle w:val="Heading2"/>
      </w:pPr>
      <w:r>
        <w:rPr>
          <w:color w:val="283EA7"/>
        </w:rPr>
        <w:t>Layer 3: Satellite Spectral Anomaly Detection</w:t>
      </w:r>
    </w:p>
    <w:p>
      <w:r>
        <w:t>Human occupation alters soil chemistry, moisture retention, and surface reflectance. Even fully buried structures are detectable in multispectral imagery, particularly in Peru's hyper-arid Nazca desert where vegetation is absent and contrast is extreme. This layer requires free Sentinel-2 imagery (10m resolution, 13 bands) — no API key required for manual download via Copernicus Open Access Hub.</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83EA7"/>
          </w:tcPr>
          <w:p>
            <w:r>
              <w:rPr>
                <w:b/>
                <w:color w:val="FFFFFF"/>
              </w:rPr>
              <w:t>Index</w:t>
            </w:r>
          </w:p>
        </w:tc>
        <w:tc>
          <w:tcPr>
            <w:tcW w:type="dxa" w:w="2880"/>
            <w:shd w:val="clear" w:color="auto" w:fill="283EA7"/>
          </w:tcPr>
          <w:p>
            <w:r>
              <w:rPr>
                <w:b/>
                <w:color w:val="FFFFFF"/>
              </w:rPr>
              <w:t>Formula</w:t>
            </w:r>
          </w:p>
        </w:tc>
        <w:tc>
          <w:tcPr>
            <w:tcW w:type="dxa" w:w="2880"/>
            <w:shd w:val="clear" w:color="auto" w:fill="283EA7"/>
          </w:tcPr>
          <w:p>
            <w:r>
              <w:rPr>
                <w:b/>
                <w:color w:val="FFFFFF"/>
              </w:rPr>
              <w:t>What It Detects</w:t>
            </w:r>
          </w:p>
        </w:tc>
      </w:tr>
      <w:tr>
        <w:tc>
          <w:tcPr>
            <w:tcW w:type="dxa" w:w="2880"/>
            <w:shd w:val="clear" w:color="auto" w:fill="E3F2FD"/>
          </w:tcPr>
          <w:p>
            <w:r>
              <w:t>NDVI</w:t>
            </w:r>
          </w:p>
        </w:tc>
        <w:tc>
          <w:tcPr>
            <w:tcW w:type="dxa" w:w="2880"/>
            <w:shd w:val="clear" w:color="auto" w:fill="E3F2FD"/>
          </w:tcPr>
          <w:p>
            <w:r>
              <w:t>(NIR−Red)/(NIR+Red)</w:t>
            </w:r>
          </w:p>
        </w:tc>
        <w:tc>
          <w:tcPr>
            <w:tcW w:type="dxa" w:w="2880"/>
            <w:shd w:val="clear" w:color="auto" w:fill="E3F2FD"/>
          </w:tcPr>
          <w:p>
            <w:r>
              <w:t>Crop/vegetation marks over buried walls</w:t>
            </w:r>
          </w:p>
        </w:tc>
      </w:tr>
      <w:tr>
        <w:tc>
          <w:tcPr>
            <w:tcW w:type="dxa" w:w="2880"/>
          </w:tcPr>
          <w:p>
            <w:r>
              <w:t>BSI</w:t>
            </w:r>
          </w:p>
        </w:tc>
        <w:tc>
          <w:tcPr>
            <w:tcW w:type="dxa" w:w="2880"/>
          </w:tcPr>
          <w:p>
            <w:r>
              <w:t>((SWIR+Red)−(NIR+Blue))/…</w:t>
            </w:r>
          </w:p>
        </w:tc>
        <w:tc>
          <w:tcPr>
            <w:tcW w:type="dxa" w:w="2880"/>
          </w:tcPr>
          <w:p>
            <w:r>
              <w:t>Exposed archaeological soils</w:t>
            </w:r>
          </w:p>
        </w:tc>
      </w:tr>
      <w:tr>
        <w:tc>
          <w:tcPr>
            <w:tcW w:type="dxa" w:w="2880"/>
            <w:shd w:val="clear" w:color="auto" w:fill="E3F2FD"/>
          </w:tcPr>
          <w:p>
            <w:r>
              <w:t>NDBI</w:t>
            </w:r>
          </w:p>
        </w:tc>
        <w:tc>
          <w:tcPr>
            <w:tcW w:type="dxa" w:w="2880"/>
            <w:shd w:val="clear" w:color="auto" w:fill="E3F2FD"/>
          </w:tcPr>
          <w:p>
            <w:r>
              <w:t>(SWIR−NIR)/(SWIR+NIR)</w:t>
            </w:r>
          </w:p>
        </w:tc>
        <w:tc>
          <w:tcPr>
            <w:tcW w:type="dxa" w:w="2880"/>
            <w:shd w:val="clear" w:color="auto" w:fill="E3F2FD"/>
          </w:tcPr>
          <w:p>
            <w:r>
              <w:t>Stone/adobe structural remnants</w:t>
            </w:r>
          </w:p>
        </w:tc>
      </w:tr>
      <w:tr>
        <w:tc>
          <w:tcPr>
            <w:tcW w:type="dxa" w:w="2880"/>
          </w:tcPr>
          <w:p>
            <w:r>
              <w:t>Iron Oxide</w:t>
            </w:r>
          </w:p>
        </w:tc>
        <w:tc>
          <w:tcPr>
            <w:tcW w:type="dxa" w:w="2880"/>
          </w:tcPr>
          <w:p>
            <w:r>
              <w:t>Red / Blue</w:t>
            </w:r>
          </w:p>
        </w:tc>
        <w:tc>
          <w:tcPr>
            <w:tcW w:type="dxa" w:w="2880"/>
          </w:tcPr>
          <w:p>
            <w:r>
              <w:t>Fired clay, ceramics, hearth remains</w:t>
            </w:r>
          </w:p>
        </w:tc>
      </w:tr>
      <w:tr>
        <w:tc>
          <w:tcPr>
            <w:tcW w:type="dxa" w:w="2880"/>
            <w:shd w:val="clear" w:color="auto" w:fill="E3F2FD"/>
          </w:tcPr>
          <w:p>
            <w:r>
              <w:t>Moisture Index</w:t>
            </w:r>
          </w:p>
        </w:tc>
        <w:tc>
          <w:tcPr>
            <w:tcW w:type="dxa" w:w="2880"/>
            <w:shd w:val="clear" w:color="auto" w:fill="E3F2FD"/>
          </w:tcPr>
          <w:p>
            <w:r>
              <w:t>(NIR−SWIR)/(NIR+SWIR)</w:t>
            </w:r>
          </w:p>
        </w:tc>
        <w:tc>
          <w:tcPr>
            <w:tcW w:type="dxa" w:w="2880"/>
            <w:shd w:val="clear" w:color="auto" w:fill="E3F2FD"/>
          </w:tcPr>
          <w:p>
            <w:r>
              <w:t>Subsurface walls affecting drainage</w:t>
            </w:r>
          </w:p>
        </w:tc>
      </w:tr>
    </w:tbl>
    <w:p/>
    <w:p>
      <w:pPr>
        <w:pStyle w:val="ListBullet"/>
      </w:pPr>
      <w:r>
        <w:t>Best imagery: Sentinel-2 dry season composite (May–October), &lt;10% cloud cover</w:t>
      </w:r>
    </w:p>
    <w:p>
      <w:pPr>
        <w:pStyle w:val="ListBullet"/>
      </w:pPr>
      <w:r>
        <w:t>Method: compute all 5 indices, flag cells where 2+ indices deviate significantly from local neighborhood</w:t>
      </w:r>
    </w:p>
    <w:p>
      <w:pPr>
        <w:pStyle w:val="ListBullet"/>
      </w:pPr>
      <w:r>
        <w:t>Peru advantage: hyper-arid conditions maximize spectral contrast of buried structures</w:t>
      </w:r>
    </w:p>
    <w:p>
      <w:pPr>
        <w:pStyle w:val="ListBullet"/>
      </w:pPr>
      <w:r>
        <w:t>Validation: run on Cahuachi and Palpa Lines first — true positive rate confirms model calibration</w:t>
      </w:r>
    </w:p>
    <w:p>
      <w:pPr>
        <w:pStyle w:val="Heading2"/>
      </w:pPr>
      <w:r>
        <w:rPr>
          <w:color w:val="283EA7"/>
        </w:rPr>
        <w:t>Layer 4: AI Vision / Geometric Pattern Detection</w:t>
      </w:r>
    </w:p>
    <w:p>
      <w:r>
        <w:t>Human construction produces geometric regularity that natural terrain lacks — linear alignments, rectangular enclosures, circular mounds, road traces, terrace edges, and irrigation channels. A multimodal vision model (Claude, GPT-4V) scanning satellite preview images can detect these patterns at scale.</w:t>
      </w:r>
    </w:p>
    <w:p>
      <w:pPr>
        <w:pStyle w:val="ListBullet"/>
      </w:pPr>
      <w:r>
        <w:t>Input: Google Earth or Sentinel-2 preview image per candidate tile</w:t>
      </w:r>
    </w:p>
    <w:p>
      <w:pPr>
        <w:pStyle w:val="ListBullet"/>
      </w:pPr>
      <w:r>
        <w:t>Model: Claude claude-sonnet-4-6 or GPT-4V with structured JSON output</w:t>
      </w:r>
    </w:p>
    <w:p>
      <w:pPr>
        <w:pStyle w:val="ListBullet"/>
      </w:pPr>
      <w:r>
        <w:t>Prompt: already built in prompts/vision_prompt.md</w:t>
      </w:r>
    </w:p>
    <w:p>
      <w:pPr>
        <w:pStyle w:val="ListBullet"/>
      </w:pPr>
      <w:r>
        <w:t>Output: feature detections with type, confidence, approximate location</w:t>
      </w:r>
    </w:p>
    <w:p>
      <w:pPr>
        <w:pStyle w:val="ListBullet"/>
      </w:pPr>
      <w:r>
        <w:t>Enhancement: provide 10–15 labelled examples of Nazca-area sites vs. natural terrain</w:t>
      </w:r>
    </w:p>
    <w:p>
      <w:pPr>
        <w:pStyle w:val="ListBullet"/>
      </w:pPr>
      <w:r>
        <w:t>Human review: top 20 flagged tiles only — vision model narrows, humans decide</w:t>
      </w:r>
    </w:p>
    <w:p>
      <w:pPr>
        <w:pStyle w:val="Heading2"/>
      </w:pPr>
      <w:r>
        <w:rPr>
          <w:color w:val="283EA7"/>
        </w:rPr>
        <w:t>Layer 5: Inter-Site Network Analysis</w:t>
      </w:r>
    </w:p>
    <w:p>
      <w:r>
        <w:t>Settlements form networks — trade routes, pilgrimage paths, administrative hierarchies. This layer models the expected connective structure of known sites and identifies locations where the network predicts a node but no site is recorded.</w:t>
      </w:r>
    </w:p>
    <w:p>
      <w:pPr>
        <w:pStyle w:val="ListBullet"/>
      </w:pPr>
      <w:r>
        <w:t>Method: Delaunay triangulation of known sites → least-cost path network (DEM-based)</w:t>
      </w:r>
    </w:p>
    <w:p>
      <w:pPr>
        <w:pStyle w:val="ListBullet"/>
      </w:pPr>
      <w:r>
        <w:t>Flag: path intersections and midpoints on long routes (&gt;30 km) with no site within 2 km</w:t>
      </w:r>
    </w:p>
    <w:p>
      <w:pPr>
        <w:pStyle w:val="ListBullet"/>
      </w:pPr>
      <w:r>
        <w:t>Viewshed: hilltops visible from 3+ known sites → likely observation or signal posts</w:t>
      </w:r>
    </w:p>
    <w:p>
      <w:pPr>
        <w:pStyle w:val="ListBullet"/>
      </w:pPr>
      <w:r>
        <w:t>Peru-specific gap: east–west connections between coastal and highland sites are under-represented in the data</w:t>
      </w:r>
    </w:p>
    <w:p>
      <w:pPr>
        <w:pStyle w:val="Heading2"/>
      </w:pPr>
      <w:r>
        <w:rPr>
          <w:color w:val="283EA7"/>
        </w:rPr>
        <w:t>Layer 6: Research Gap Analysis</w:t>
      </w:r>
    </w:p>
    <w:p>
      <w:r>
        <w:t>Our 118 academic papers are not evenly distributed. Some zones (Nazca Lines: 61 papers) are extensively studied; others (Ica–Pisco corridor, upper tributaries) have near-zero coverage. Areas that are archaeologically plausible but academically ignored are disproportionately likely to contain undiscovered sites.</w:t>
      </w:r>
    </w:p>
    <w:p>
      <w:pPr>
        <w:pStyle w:val="ListBullet"/>
      </w:pPr>
      <w:r>
        <w:t>Method: geocode study areas from Peru_academic_master.csv, build 'research intensity' heatmap</w:t>
      </w:r>
    </w:p>
    <w:p>
      <w:pPr>
        <w:pStyle w:val="ListBullet"/>
      </w:pPr>
      <w:r>
        <w:t>Priority: HIGH site-density zone + LOW research intensity = strong candidate</w:t>
      </w:r>
    </w:p>
    <w:p>
      <w:pPr>
        <w:pStyle w:val="ListBullet"/>
      </w:pPr>
      <w:r>
        <w:t>Current gaps: inter-valley plateaus between Palpa and Nazca, upper Ingenio headwaters, Ica River upper reaches</w:t>
      </w:r>
    </w:p>
    <w:p>
      <w:r>
        <w:br w:type="page"/>
      </w:r>
    </w:p>
    <w:p>
      <w:pPr>
        <w:pStyle w:val="Heading1"/>
      </w:pPr>
      <w:r>
        <w:rPr>
          <w:color w:val="1A237E"/>
        </w:rPr>
        <w:t>3. Composite Scoring Formula</w:t>
      </w:r>
    </w:p>
    <w:p>
      <w:r>
        <w:t>Each 1 km² cell receives a composite score between 0 and 1:</w:t>
      </w:r>
    </w:p>
    <w:p>
      <w:pPr>
        <w:ind w:left="720"/>
      </w:pPr>
      <w:r>
        <w:rPr>
          <w:rFonts w:ascii="Courier New" w:hAnsi="Courier New"/>
          <w:sz w:val="20"/>
        </w:rPr>
        <w:t>DISCOVERY_SCORE = 0.40 × gap_score</w:t>
        <w:br/>
        <w:t xml:space="preserve">                + 0.30 × river_score</w:t>
        <w:br/>
        <w:t xml:space="preserve">                + 0.20 × coastal_zone_score</w:t>
        <w:br/>
        <w:t xml:space="preserve">                + 0.10 × density_context</w:t>
      </w:r>
    </w:p>
    <w:p>
      <w:r>
        <w:br/>
        <w:t>Cells with a known site within 0.5 km are zeroed out (already discovered). The weights above reflect the current no-satellite-API implementation. When Sentinel-2 spectral analysis is added, the recommended re-weighting is:</w:t>
      </w:r>
    </w:p>
    <w:p>
      <w:pPr>
        <w:pStyle w:val="ListBullet"/>
      </w:pPr>
      <w:r>
        <w:t>Gap score: 0.15  (reduced — spectral data provides stronger signal)</w:t>
      </w:r>
    </w:p>
    <w:p>
      <w:pPr>
        <w:pStyle w:val="ListBullet"/>
      </w:pPr>
      <w:r>
        <w:t>River score: 0.25  (unchanged)</w:t>
      </w:r>
    </w:p>
    <w:p>
      <w:pPr>
        <w:pStyle w:val="ListBullet"/>
      </w:pPr>
      <w:r>
        <w:t>Spectral anomaly: 0.25  (new — direct physical evidence)</w:t>
      </w:r>
    </w:p>
    <w:p>
      <w:pPr>
        <w:pStyle w:val="ListBullet"/>
      </w:pPr>
      <w:r>
        <w:t>Vision detections: 0.15  (new)</w:t>
      </w:r>
    </w:p>
    <w:p>
      <w:pPr>
        <w:pStyle w:val="ListBullet"/>
      </w:pPr>
      <w:r>
        <w:t>Network node: 0.10  (new)</w:t>
      </w:r>
    </w:p>
    <w:p>
      <w:pPr>
        <w:pStyle w:val="ListBullet"/>
      </w:pPr>
      <w:r>
        <w:t>Research gap: 0.10  (unchanged)</w:t>
      </w:r>
    </w:p>
    <w:p>
      <w:r>
        <w:br w:type="page"/>
      </w:r>
    </w:p>
    <w:p>
      <w:pPr>
        <w:pStyle w:val="Heading1"/>
      </w:pPr>
      <w:r>
        <w:rPr>
          <w:color w:val="1A237E"/>
        </w:rPr>
        <w:t>4. Priority Search Zones</w:t>
      </w:r>
    </w:p>
    <w:p>
      <w:pPr>
        <w:pStyle w:val="Heading2"/>
      </w:pPr>
      <w:r>
        <w:rPr>
          <w:color w:val="283EA7"/>
        </w:rPr>
        <w:t>Zone A: Palpa–Nazca Inter-Valley Plateau (Highest Priority)</w:t>
      </w:r>
    </w:p>
    <w:p>
      <w:r>
        <w:t>Coordinates: -14.52° to -14.60°S, -75.17° to -75.21°W</w:t>
      </w:r>
    </w:p>
    <w:p>
      <w:pPr>
        <w:pStyle w:val="ListBullet"/>
      </w:pPr>
      <w:r>
        <w:t>Why: Dense known sites to north (Palpa cluster) and south (Cahuachi, Nazca), plateau between them has no recorded sites</w:t>
      </w:r>
    </w:p>
    <w:p>
      <w:pPr>
        <w:pStyle w:val="ListBullet"/>
      </w:pPr>
      <w:r>
        <w:t>Academic support: 79 papers on surrounding sites but near-zero coverage of the inter-valley zone</w:t>
      </w:r>
    </w:p>
    <w:p>
      <w:pPr>
        <w:pStyle w:val="ListBullet"/>
      </w:pPr>
      <w:r>
        <w:t>River: Rio Grande system passes within 0.2–2.7 km of top-scored tiles</w:t>
      </w:r>
    </w:p>
    <w:p>
      <w:pPr>
        <w:pStyle w:val="ListBullet"/>
      </w:pPr>
      <w:r>
        <w:t>Current score: 0.88 (top-ranked globally in our analysis)</w:t>
      </w:r>
    </w:p>
    <w:p>
      <w:pPr>
        <w:pStyle w:val="ListBullet"/>
      </w:pPr>
      <w:r>
        <w:t>Recommended action: priority for Sentinel-2 spectral analysis and AI vision pass</w:t>
      </w:r>
    </w:p>
    <w:p>
      <w:pPr>
        <w:pStyle w:val="Heading2"/>
      </w:pPr>
      <w:r>
        <w:rPr>
          <w:color w:val="283EA7"/>
        </w:rPr>
        <w:t>Zone B: Upper Nazca Tributary Headwaters</w:t>
      </w:r>
    </w:p>
    <w:p>
      <w:r>
        <w:t>Coordinates: -14.30° to -14.70°S, -74.80° to -75.00°W</w:t>
      </w:r>
    </w:p>
    <w:p>
      <w:pPr>
        <w:pStyle w:val="ListBullet"/>
      </w:pPr>
      <w:r>
        <w:t>Why: Main valleys are extensively studied; upper tributaries (Ingenio, Aja, Las Trancas) have zero academic coverage</w:t>
      </w:r>
    </w:p>
    <w:p>
      <w:pPr>
        <w:pStyle w:val="ListBullet"/>
      </w:pPr>
      <w:r>
        <w:t>Ancient irrigation extended upstream — settlements would have followed</w:t>
      </w:r>
    </w:p>
    <w:p>
      <w:pPr>
        <w:pStyle w:val="ListBullet"/>
      </w:pPr>
      <w:r>
        <w:t>Approximate size: 40 × 20 km → ~800 candidate tiles</w:t>
      </w:r>
    </w:p>
    <w:p>
      <w:pPr>
        <w:pStyle w:val="ListBullet"/>
      </w:pPr>
      <w:r>
        <w:t>Recommended action: run hydro model on SRTM DEM to trace tributary channels; prioritize tiles at alluvial fans and confluences</w:t>
      </w:r>
    </w:p>
    <w:p>
      <w:pPr>
        <w:pStyle w:val="Heading2"/>
      </w:pPr>
      <w:r>
        <w:rPr>
          <w:color w:val="283EA7"/>
        </w:rPr>
        <w:t>Zone C: Ica–Pisco Coastal Corridor</w:t>
      </w:r>
    </w:p>
    <w:p>
      <w:r>
        <w:t>Coordinates: -13.70° to -14.10°S, -75.40° to -76.50°W</w:t>
      </w:r>
    </w:p>
    <w:p>
      <w:pPr>
        <w:pStyle w:val="ListBullet"/>
      </w:pPr>
      <w:r>
        <w:t>Why: Only 4 verified sites for the entire zone; Paracas culture originated here — far more sites expected</w:t>
      </w:r>
    </w:p>
    <w:p>
      <w:pPr>
        <w:pStyle w:val="ListBullet"/>
      </w:pPr>
      <w:r>
        <w:t>Academic gap: Paracas-related searches returned 99 papers, but coordinates cluster at peninsula only</w:t>
      </w:r>
    </w:p>
    <w:p>
      <w:pPr>
        <w:pStyle w:val="ListBullet"/>
      </w:pPr>
      <w:r>
        <w:t>Approximate size: 40 × 50 km → requires hydro/spectral filtering to narrow to ~200 tiles</w:t>
      </w:r>
    </w:p>
    <w:p>
      <w:pPr>
        <w:pStyle w:val="ListBullet"/>
      </w:pPr>
      <w:r>
        <w:t>Recommended action: highest priority for satellite spectral analysis; large flat coastal zone ideal for BSI/Iron Oxide indices</w:t>
      </w:r>
    </w:p>
    <w:p>
      <w:pPr>
        <w:pStyle w:val="Heading2"/>
      </w:pPr>
      <w:r>
        <w:rPr>
          <w:color w:val="283EA7"/>
        </w:rPr>
        <w:t>Zone D: Osmore Valley Side Tributaries</w:t>
      </w:r>
    </w:p>
    <w:p>
      <w:r>
        <w:t>Coordinates: -17.00° to -17.25°S, -70.50° to -71.10°W</w:t>
      </w:r>
    </w:p>
    <w:p>
      <w:pPr>
        <w:pStyle w:val="ListBullet"/>
      </w:pPr>
      <w:r>
        <w:t>Why: 5 tightly clustered Wari-era sites; side valleys and ridgelines likely contain unrecorded observation posts and secondary settlements</w:t>
      </w:r>
    </w:p>
    <w:p>
      <w:pPr>
        <w:pStyle w:val="ListBullet"/>
      </w:pPr>
      <w:r>
        <w:t>Network analysis applies strongly here — Cerro Baul is a Wari administrative center, satellite posts expected</w:t>
      </w:r>
    </w:p>
    <w:p>
      <w:pPr>
        <w:pStyle w:val="ListBullet"/>
      </w:pPr>
      <w:r>
        <w:t>Approximate size: 20 × 20 km → ~400 candidate tiles</w:t>
      </w:r>
    </w:p>
    <w:p>
      <w:pPr>
        <w:pStyle w:val="ListBullet"/>
      </w:pPr>
      <w:r>
        <w:t>Recommended action: viewshed analysis from Cerro Baul and Cerro Mejia; flag hilltops in line of sight</w:t>
      </w:r>
    </w:p>
    <w:p>
      <w:r>
        <w:br w:type="page"/>
      </w:r>
    </w:p>
    <w:p>
      <w:pPr>
        <w:pStyle w:val="Heading1"/>
      </w:pPr>
      <w:r>
        <w:rPr>
          <w:color w:val="1A237E"/>
        </w:rPr>
        <w:t>5. Implementation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237E"/>
          </w:tcPr>
          <w:p>
            <w:r>
              <w:rPr>
                <w:b/>
                <w:color w:val="FFFFFF"/>
              </w:rPr>
              <w:t>Step</w:t>
            </w:r>
          </w:p>
        </w:tc>
        <w:tc>
          <w:tcPr>
            <w:tcW w:type="dxa" w:w="2160"/>
            <w:shd w:val="clear" w:color="auto" w:fill="1A237E"/>
          </w:tcPr>
          <w:p>
            <w:r>
              <w:rPr>
                <w:b/>
                <w:color w:val="FFFFFF"/>
              </w:rPr>
              <w:t>Action</w:t>
            </w:r>
          </w:p>
        </w:tc>
        <w:tc>
          <w:tcPr>
            <w:tcW w:type="dxa" w:w="2160"/>
            <w:shd w:val="clear" w:color="auto" w:fill="1A237E"/>
          </w:tcPr>
          <w:p>
            <w:r>
              <w:rPr>
                <w:b/>
                <w:color w:val="FFFFFF"/>
              </w:rPr>
              <w:t>Effort</w:t>
            </w:r>
          </w:p>
        </w:tc>
        <w:tc>
          <w:tcPr>
            <w:tcW w:type="dxa" w:w="2160"/>
            <w:shd w:val="clear" w:color="auto" w:fill="1A237E"/>
          </w:tcPr>
          <w:p>
            <w:r>
              <w:rPr>
                <w:b/>
                <w:color w:val="FFFFFF"/>
              </w:rPr>
              <w:t>Dependencies</w:t>
            </w:r>
          </w:p>
        </w:tc>
      </w:tr>
      <w:tr>
        <w:tc>
          <w:tcPr>
            <w:tcW w:type="dxa" w:w="2160"/>
            <w:shd w:val="clear" w:color="auto" w:fill="E8EAF6"/>
          </w:tcPr>
          <w:p>
            <w:r>
              <w:t>1</w:t>
            </w:r>
          </w:p>
        </w:tc>
        <w:tc>
          <w:tcPr>
            <w:tcW w:type="dxa" w:w="2160"/>
            <w:shd w:val="clear" w:color="auto" w:fill="E8EAF6"/>
          </w:tcPr>
          <w:p>
            <w:r>
              <w:t>Populate sites_wgs84.geojson from verified academic coordinates</w:t>
            </w:r>
          </w:p>
        </w:tc>
        <w:tc>
          <w:tcPr>
            <w:tcW w:type="dxa" w:w="2160"/>
            <w:shd w:val="clear" w:color="auto" w:fill="E8EAF6"/>
          </w:tcPr>
          <w:p>
            <w:r>
              <w:t>1 hr</w:t>
            </w:r>
          </w:p>
        </w:tc>
        <w:tc>
          <w:tcPr>
            <w:tcW w:type="dxa" w:w="2160"/>
            <w:shd w:val="clear" w:color="auto" w:fill="E8EAF6"/>
          </w:tcPr>
          <w:p>
            <w:r>
              <w:t>None — data ready</w:t>
            </w:r>
          </w:p>
        </w:tc>
      </w:tr>
      <w:tr>
        <w:tc>
          <w:tcPr>
            <w:tcW w:type="dxa" w:w="2160"/>
          </w:tcPr>
          <w:p>
            <w:r>
              <w:t>2</w:t>
            </w:r>
          </w:p>
        </w:tc>
        <w:tc>
          <w:tcPr>
            <w:tcW w:type="dxa" w:w="2160"/>
          </w:tcPr>
          <w:p>
            <w:r>
              <w:t>Run Layer 1+2 gap + hydro analysis (discovery_heatmap.py)</w:t>
            </w:r>
          </w:p>
        </w:tc>
        <w:tc>
          <w:tcPr>
            <w:tcW w:type="dxa" w:w="2160"/>
          </w:tcPr>
          <w:p>
            <w:r>
              <w:t>30 min</w:t>
            </w:r>
          </w:p>
        </w:tc>
        <w:tc>
          <w:tcPr>
            <w:tcW w:type="dxa" w:w="2160"/>
          </w:tcPr>
          <w:p>
            <w:r>
              <w:t>Python: scipy, folium</w:t>
            </w:r>
          </w:p>
        </w:tc>
      </w:tr>
      <w:tr>
        <w:tc>
          <w:tcPr>
            <w:tcW w:type="dxa" w:w="2160"/>
            <w:shd w:val="clear" w:color="auto" w:fill="E8EAF6"/>
          </w:tcPr>
          <w:p>
            <w:r>
              <w:t>3</w:t>
            </w:r>
          </w:p>
        </w:tc>
        <w:tc>
          <w:tcPr>
            <w:tcW w:type="dxa" w:w="2160"/>
            <w:shd w:val="clear" w:color="auto" w:fill="E8EAF6"/>
          </w:tcPr>
          <w:p>
            <w:r>
              <w:t>Download SRTM 30m DEM via OpenTopography (no API key)</w:t>
            </w:r>
          </w:p>
        </w:tc>
        <w:tc>
          <w:tcPr>
            <w:tcW w:type="dxa" w:w="2160"/>
            <w:shd w:val="clear" w:color="auto" w:fill="E8EAF6"/>
          </w:tcPr>
          <w:p>
            <w:r>
              <w:t>1 hr</w:t>
            </w:r>
          </w:p>
        </w:tc>
        <w:tc>
          <w:tcPr>
            <w:tcW w:type="dxa" w:w="2160"/>
            <w:shd w:val="clear" w:color="auto" w:fill="E8EAF6"/>
          </w:tcPr>
          <w:p>
            <w:r>
              <w:t>Internet access</w:t>
            </w:r>
          </w:p>
        </w:tc>
      </w:tr>
      <w:tr>
        <w:tc>
          <w:tcPr>
            <w:tcW w:type="dxa" w:w="2160"/>
          </w:tcPr>
          <w:p>
            <w:r>
              <w:t>4</w:t>
            </w:r>
          </w:p>
        </w:tc>
        <w:tc>
          <w:tcPr>
            <w:tcW w:type="dxa" w:w="2160"/>
          </w:tcPr>
          <w:p>
            <w:r>
              <w:t>Refine hydro model with actual DEM drainage channels</w:t>
            </w:r>
          </w:p>
        </w:tc>
        <w:tc>
          <w:tcPr>
            <w:tcW w:type="dxa" w:w="2160"/>
          </w:tcPr>
          <w:p>
            <w:r>
              <w:t>2 hr</w:t>
            </w:r>
          </w:p>
        </w:tc>
        <w:tc>
          <w:tcPr>
            <w:tcW w:type="dxa" w:w="2160"/>
          </w:tcPr>
          <w:p>
            <w:r>
              <w:t>Step 3</w:t>
            </w:r>
          </w:p>
        </w:tc>
      </w:tr>
      <w:tr>
        <w:tc>
          <w:tcPr>
            <w:tcW w:type="dxa" w:w="2160"/>
            <w:shd w:val="clear" w:color="auto" w:fill="E8EAF6"/>
          </w:tcPr>
          <w:p>
            <w:r>
              <w:t>5</w:t>
            </w:r>
          </w:p>
        </w:tc>
        <w:tc>
          <w:tcPr>
            <w:tcW w:type="dxa" w:w="2160"/>
            <w:shd w:val="clear" w:color="auto" w:fill="E8EAF6"/>
          </w:tcPr>
          <w:p>
            <w:r>
              <w:t>Download Sentinel-2 composite via Copernicus Hub (free)</w:t>
            </w:r>
          </w:p>
        </w:tc>
        <w:tc>
          <w:tcPr>
            <w:tcW w:type="dxa" w:w="2160"/>
            <w:shd w:val="clear" w:color="auto" w:fill="E8EAF6"/>
          </w:tcPr>
          <w:p>
            <w:r>
              <w:t>2 hr</w:t>
            </w:r>
          </w:p>
        </w:tc>
        <w:tc>
          <w:tcPr>
            <w:tcW w:type="dxa" w:w="2160"/>
            <w:shd w:val="clear" w:color="auto" w:fill="E8EAF6"/>
          </w:tcPr>
          <w:p>
            <w:r>
              <w:t>Free ESA account</w:t>
            </w:r>
          </w:p>
        </w:tc>
      </w:tr>
      <w:tr>
        <w:tc>
          <w:tcPr>
            <w:tcW w:type="dxa" w:w="2160"/>
          </w:tcPr>
          <w:p>
            <w:r>
              <w:t>6</w:t>
            </w:r>
          </w:p>
        </w:tc>
        <w:tc>
          <w:tcPr>
            <w:tcW w:type="dxa" w:w="2160"/>
          </w:tcPr>
          <w:p>
            <w:r>
              <w:t>Run spectral indices (NDVI, BSI, NDBI, Iron Oxide)</w:t>
            </w:r>
          </w:p>
        </w:tc>
        <w:tc>
          <w:tcPr>
            <w:tcW w:type="dxa" w:w="2160"/>
          </w:tcPr>
          <w:p>
            <w:r>
              <w:t>2 hr</w:t>
            </w:r>
          </w:p>
        </w:tc>
        <w:tc>
          <w:tcPr>
            <w:tcW w:type="dxa" w:w="2160"/>
          </w:tcPr>
          <w:p>
            <w:r>
              <w:t>Steps 3+5, rasterio</w:t>
            </w:r>
          </w:p>
        </w:tc>
      </w:tr>
      <w:tr>
        <w:tc>
          <w:tcPr>
            <w:tcW w:type="dxa" w:w="2160"/>
            <w:shd w:val="clear" w:color="auto" w:fill="E8EAF6"/>
          </w:tcPr>
          <w:p>
            <w:r>
              <w:t>7</w:t>
            </w:r>
          </w:p>
        </w:tc>
        <w:tc>
          <w:tcPr>
            <w:tcW w:type="dxa" w:w="2160"/>
            <w:shd w:val="clear" w:color="auto" w:fill="E8EAF6"/>
          </w:tcPr>
          <w:p>
            <w:r>
              <w:t>Run AI vision on top 50 tiles from composite scoring</w:t>
            </w:r>
          </w:p>
        </w:tc>
        <w:tc>
          <w:tcPr>
            <w:tcW w:type="dxa" w:w="2160"/>
            <w:shd w:val="clear" w:color="auto" w:fill="E8EAF6"/>
          </w:tcPr>
          <w:p>
            <w:r>
              <w:t>1 hr</w:t>
            </w:r>
          </w:p>
        </w:tc>
        <w:tc>
          <w:tcPr>
            <w:tcW w:type="dxa" w:w="2160"/>
            <w:shd w:val="clear" w:color="auto" w:fill="E8EAF6"/>
          </w:tcPr>
          <w:p>
            <w:r>
              <w:t>Claude/GPT-4V API</w:t>
            </w:r>
          </w:p>
        </w:tc>
      </w:tr>
      <w:tr>
        <w:tc>
          <w:tcPr>
            <w:tcW w:type="dxa" w:w="2160"/>
          </w:tcPr>
          <w:p>
            <w:r>
              <w:t>8</w:t>
            </w:r>
          </w:p>
        </w:tc>
        <w:tc>
          <w:tcPr>
            <w:tcW w:type="dxa" w:w="2160"/>
          </w:tcPr>
          <w:p>
            <w:r>
              <w:t>Final composite scoring + map update</w:t>
            </w:r>
          </w:p>
        </w:tc>
        <w:tc>
          <w:tcPr>
            <w:tcW w:type="dxa" w:w="2160"/>
          </w:tcPr>
          <w:p>
            <w:r>
              <w:t>1 hr</w:t>
            </w:r>
          </w:p>
        </w:tc>
        <w:tc>
          <w:tcPr>
            <w:tcW w:type="dxa" w:w="2160"/>
          </w:tcPr>
          <w:p>
            <w:r>
              <w:t>Steps 2–7</w:t>
            </w:r>
          </w:p>
        </w:tc>
      </w:tr>
    </w:tbl>
    <w:p/>
    <w:p>
      <w:r>
        <w:t>Steps 1 and 2 are already complete. discovery_heatmap.py is operational and has generated 320 scored candidate tiles and an interactive HTML map. Steps 3–8 extend the analysis with terrain and satellite data when API access is available.</w:t>
      </w:r>
    </w:p>
    <w:p>
      <w:r>
        <w:br w:type="page"/>
      </w:r>
    </w:p>
    <w:p>
      <w:pPr>
        <w:pStyle w:val="Heading1"/>
      </w:pPr>
      <w:r>
        <w:rPr>
          <w:color w:val="1A237E"/>
        </w:rPr>
        <w:t>6. Deliverables</w:t>
      </w:r>
    </w:p>
    <w:p>
      <w:pPr>
        <w:pStyle w:val="ListBullet"/>
      </w:pPr>
      <w:r>
        <w:t>discovery_heatmap.html — interactive Folium map: known sites, KDE heatmap, river corridors, colour-coded candidate tiles (open in browser)</w:t>
      </w:r>
    </w:p>
    <w:p>
      <w:pPr>
        <w:pStyle w:val="ListBullet"/>
      </w:pPr>
      <w:r>
        <w:t>candidate_tiles_scored.geojson — 320 scored 1 km² candidate tiles with composite score, gap/river/density sub-scores, and nearest known site/river distances</w:t>
      </w:r>
    </w:p>
    <w:p>
      <w:pPr>
        <w:pStyle w:val="ListBullet"/>
      </w:pPr>
      <w:r>
        <w:t>Peru_academic_verified_coordinates.geojson — 34 verified site coordinates ready for GIS import</w:t>
      </w:r>
    </w:p>
    <w:p>
      <w:pPr>
        <w:pStyle w:val="ListBullet"/>
      </w:pPr>
      <w:r>
        <w:t>Peru_academic_master.csv — 118 curated papers joined to site coordinates</w:t>
      </w:r>
    </w:p>
    <w:p>
      <w:pPr>
        <w:pStyle w:val="ListBullet"/>
      </w:pPr>
      <w:r>
        <w:t>discovery_heatmap.py — fully reproducible analysis script (no API keys required)</w:t>
      </w:r>
    </w:p>
    <w:p/>
    <w:p>
      <w:pPr>
        <w:pStyle w:val="Heading2"/>
      </w:pPr>
      <w:r>
        <w:rPr>
          <w:color w:val="283EA7"/>
        </w:rPr>
        <w:t>How to Use the Map</w:t>
      </w:r>
    </w:p>
    <w:p>
      <w:pPr>
        <w:pStyle w:val="ListBullet"/>
      </w:pPr>
      <w:r>
        <w:t>Yellow dots = verified sites. Size proportional to academic study count.</w:t>
      </w:r>
    </w:p>
    <w:p>
      <w:pPr>
        <w:pStyle w:val="ListBullet"/>
      </w:pPr>
      <w:r>
        <w:t>Heatmap layer = academic research density (red = heavily studied, blue = sparse)</w:t>
      </w:r>
    </w:p>
    <w:p>
      <w:pPr>
        <w:pStyle w:val="ListBullet"/>
      </w:pPr>
      <w:r>
        <w:t>Blue polylines = river corridors. All high-scoring tiles should be near these.</w:t>
      </w:r>
    </w:p>
    <w:p>
      <w:pPr>
        <w:pStyle w:val="ListBullet"/>
      </w:pPr>
      <w:r>
        <w:t>Red tiles (Tier 1, score ≥ 0.55) = highest priority for ground investigation</w:t>
      </w:r>
    </w:p>
    <w:p>
      <w:pPr>
        <w:pStyle w:val="ListBullet"/>
      </w:pPr>
      <w:r>
        <w:t>Orange tiles (Tier 2, score 0.40–0.55) = secondary candidates</w:t>
      </w:r>
    </w:p>
    <w:p>
      <w:pPr>
        <w:pStyle w:val="ListBullet"/>
      </w:pPr>
      <w:r>
        <w:t>Click any tile to see full score breakdown: gap, river, density scores + distances</w:t>
      </w:r>
    </w:p>
    <w:p>
      <w:r>
        <w:br w:type="page"/>
      </w:r>
    </w:p>
    <w:p>
      <w:pPr>
        <w:pStyle w:val="Heading1"/>
      </w:pPr>
      <w:r>
        <w:rPr>
          <w:color w:val="1A237E"/>
        </w:rPr>
        <w:t>7. Limitations and Caveats</w:t>
      </w:r>
    </w:p>
    <w:p>
      <w:pPr>
        <w:pStyle w:val="ListBullet"/>
      </w:pPr>
      <w:r>
        <w:t>River corridors are hand-encoded approximations. Upgrading to SRTM-derived drainage networks would significantly improve Layer 2 accuracy.</w:t>
      </w:r>
    </w:p>
    <w:p>
      <w:pPr>
        <w:pStyle w:val="ListBullet"/>
      </w:pPr>
      <w:r>
        <w:t>Spectral anomaly layer (Layer 3) is not yet implemented — requires Sentinel-2 download. Without it, composite scores are based on gap + hydro only.</w:t>
      </w:r>
    </w:p>
    <w:p>
      <w:pPr>
        <w:pStyle w:val="ListBullet"/>
      </w:pPr>
      <w:r>
        <w:t>34 known sites is a small training set. As more sites are added (from team contributions, YouTube reviews, community maps), KDE accuracy improves substantially.</w:t>
      </w:r>
    </w:p>
    <w:p>
      <w:pPr>
        <w:pStyle w:val="ListBullet"/>
      </w:pPr>
      <w:r>
        <w:t>The North Coast (Lambayeque–La Libertad) scoring is weakest — only 1 site in that region (Pampa Grande) provides insufficient density context. Mochica-era sites are well-documented in literature but not yet in our dataset.</w:t>
      </w:r>
    </w:p>
    <w:p>
      <w:pPr>
        <w:pStyle w:val="ListBullet"/>
      </w:pPr>
      <w:r>
        <w:t>Scores are relative, not absolute. A score of 0.88 means 'most promising in the current dataset' — not 'definitely contains a site'. Field verification is required.</w:t>
      </w:r>
    </w:p>
    <w:p>
      <w:pPr>
        <w:pStyle w:val="ListBullet"/>
      </w:pPr>
      <w:r>
        <w:t>Coordinate status matters: 14 of 34 sites use 'representative' coordinates (district or valley level). As these are refined to exact coordinates, gap scoring will improve.</w:t>
      </w:r>
    </w:p>
    <w:p/>
    <w:p>
      <w:r>
        <w:br/>
        <w:t>Prepared by: Arkhub Team · NS Archaeology Hackathon · March 2026</w:t>
        <w:br/>
        <w:t>Data pipeline: OpenAlex, Crossref, XRONOS, Wikipedia · Python: scipy, folium, pandas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