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B62B8" w14:textId="51499BD5" w:rsidR="003C244A" w:rsidRPr="00D04BA5" w:rsidRDefault="003C244A" w:rsidP="00CD0FD4">
      <w:pPr>
        <w:rPr>
          <w:b/>
          <w:bCs/>
          <w:u w:val="single"/>
        </w:rPr>
      </w:pPr>
      <w:r w:rsidRPr="00D04BA5">
        <w:rPr>
          <w:b/>
          <w:bCs/>
          <w:u w:val="single"/>
        </w:rPr>
        <w:t>Introduction:</w:t>
      </w:r>
    </w:p>
    <w:p w14:paraId="44D100FE" w14:textId="4F0FC329" w:rsidR="002B2A28" w:rsidRPr="003C244A" w:rsidRDefault="003C244A" w:rsidP="003C244A">
      <w:r w:rsidRPr="003C244A">
        <w:t>Since the 20</w:t>
      </w:r>
      <w:r w:rsidRPr="003C244A">
        <w:rPr>
          <w:vertAlign w:val="superscript"/>
        </w:rPr>
        <w:t>th</w:t>
      </w:r>
      <w:r w:rsidRPr="003C244A">
        <w:t xml:space="preserve"> century Titanium (Ti) alloys have commonly been a key part in aircraft design due to </w:t>
      </w:r>
      <w:r w:rsidR="002A421C" w:rsidRPr="003C244A">
        <w:t>their</w:t>
      </w:r>
      <w:r w:rsidRPr="003C244A">
        <w:t xml:space="preserve"> incredible strength-to-weight ratio, intrinsic corrosion resistance, and high melting point. Since then, Ti alloys have expanded to become a critical material in biomedical and automotive industries, making it a special interest to researchers.</w:t>
      </w:r>
      <w:r w:rsidR="002B2A28">
        <w:t xml:space="preserve"> </w:t>
      </w:r>
      <w:r w:rsidR="002B2A28" w:rsidRPr="002B2A28">
        <w:t xml:space="preserve">Commercially pure (C.P.) titanium alloys exhibit two phases at low pressures, with a transition temperature of approximately 882°C [1]. The </w:t>
      </w:r>
      <w:r w:rsidR="002B2A28" w:rsidRPr="00814123">
        <w:t>α-Ti</w:t>
      </w:r>
      <w:r w:rsidR="002B2A28" w:rsidRPr="002B2A28">
        <w:t xml:space="preserve"> phase, stable at lower temperatures, has a hexagonal close-packed (hcp) </w:t>
      </w:r>
      <w:r w:rsidR="0099358E">
        <w:t xml:space="preserve">crystal </w:t>
      </w:r>
      <w:r w:rsidR="002B2A28" w:rsidRPr="002B2A28">
        <w:t xml:space="preserve">structure, while the </w:t>
      </w:r>
      <w:r w:rsidR="002B2A28" w:rsidRPr="00814123">
        <w:t>β-Ti</w:t>
      </w:r>
      <w:r w:rsidR="002B2A28" w:rsidRPr="002B2A28">
        <w:t xml:space="preserve"> phase, which </w:t>
      </w:r>
      <w:r w:rsidR="0099358E">
        <w:t>is stable</w:t>
      </w:r>
      <w:r w:rsidR="002B2A28" w:rsidRPr="002B2A28">
        <w:t xml:space="preserve"> at higher temperatures, adopts a body-centered cubic (bcc) structure.</w:t>
      </w:r>
    </w:p>
    <w:p w14:paraId="21B22203" w14:textId="6AE77345" w:rsidR="003C244A" w:rsidRDefault="003C244A" w:rsidP="003C244A">
      <w:r w:rsidRPr="003C244A">
        <w:t xml:space="preserve">During heat treatment Ti experiences an increase in grain size. Understanding the microstructure, and therefore the mechanical properties, of Ti alloys is important when understanding how it can be used. </w:t>
      </w:r>
      <w:r w:rsidR="005D37B8">
        <w:t>This phenomenon</w:t>
      </w:r>
      <w:r w:rsidR="00B96345">
        <w:t xml:space="preserve"> has been </w:t>
      </w:r>
      <w:r w:rsidR="00D34E38">
        <w:t xml:space="preserve">described by the Hall-Petch relationship [2] which notes the inverse relationship between grain size and yield strength. As grains grow, the barriers to dislocation </w:t>
      </w:r>
      <w:r w:rsidR="00D70B34">
        <w:t xml:space="preserve">movement </w:t>
      </w:r>
      <w:r w:rsidR="00C03FE4">
        <w:t>are</w:t>
      </w:r>
      <w:r w:rsidR="00D70B34">
        <w:t xml:space="preserve"> reduced as the number of grain boundaries </w:t>
      </w:r>
      <w:r w:rsidR="005D37B8">
        <w:t>decrease</w:t>
      </w:r>
      <w:r w:rsidR="00D70B34">
        <w:t xml:space="preserve">, impacting the strength of the material. </w:t>
      </w:r>
      <w:r w:rsidRPr="003C244A">
        <w:t xml:space="preserve">To optimize mechanical properties </w:t>
      </w:r>
      <w:r w:rsidR="005D37B8" w:rsidRPr="003C244A">
        <w:t>th</w:t>
      </w:r>
      <w:r w:rsidR="005D37B8">
        <w:t>is</w:t>
      </w:r>
      <w:r w:rsidR="005D37B8" w:rsidRPr="003C244A">
        <w:t xml:space="preserve"> phenomenon</w:t>
      </w:r>
      <w:r w:rsidRPr="003C244A">
        <w:t xml:space="preserve"> in Ti must be studied. However, experimental grain growth research for Ti alloys is limited. Here, </w:t>
      </w:r>
      <w:r w:rsidR="00DA6648">
        <w:t>i</w:t>
      </w:r>
      <w:r w:rsidR="00814123">
        <w:t xml:space="preserve">sothermal grain growth simulations are </w:t>
      </w:r>
      <w:r w:rsidR="00DA6648">
        <w:t>created</w:t>
      </w:r>
      <w:r w:rsidR="00814123">
        <w:t xml:space="preserve"> </w:t>
      </w:r>
      <w:r w:rsidR="00DA6648" w:rsidRPr="003C244A">
        <w:t xml:space="preserve">using the Phase Field Method (PFM) </w:t>
      </w:r>
      <w:r w:rsidR="00814123">
        <w:t>above and below the transition temperature</w:t>
      </w:r>
      <w:r w:rsidR="00D36523">
        <w:t xml:space="preserve"> to</w:t>
      </w:r>
      <w:r w:rsidR="00814123">
        <w:t xml:space="preserve"> explore temperature </w:t>
      </w:r>
      <w:r w:rsidR="00F85E7D">
        <w:t>dependent</w:t>
      </w:r>
      <w:r w:rsidR="00814123">
        <w:t xml:space="preserve"> trends</w:t>
      </w:r>
      <w:r w:rsidR="00D36523">
        <w:t xml:space="preserve"> across phases</w:t>
      </w:r>
      <w:r w:rsidR="00814123">
        <w:t xml:space="preserve">. </w:t>
      </w:r>
      <w:r w:rsidRPr="003C244A">
        <w:t xml:space="preserve">Simulation results are compared to experimental </w:t>
      </w:r>
      <w:r w:rsidR="00CB27FB">
        <w:t xml:space="preserve">data </w:t>
      </w:r>
      <w:r w:rsidRPr="003C244A">
        <w:t>to ensure model accuracy for future advancements.</w:t>
      </w:r>
      <w:r w:rsidR="007805BE">
        <w:t xml:space="preserve"> </w:t>
      </w:r>
    </w:p>
    <w:p w14:paraId="307AECDF" w14:textId="210864B6" w:rsidR="00B529B9" w:rsidRPr="00D04BA5" w:rsidRDefault="002C348C" w:rsidP="003C244A">
      <w:pPr>
        <w:rPr>
          <w:b/>
          <w:bCs/>
          <w:u w:val="single"/>
        </w:rPr>
      </w:pPr>
      <w:r w:rsidRPr="00D04BA5">
        <w:rPr>
          <w:b/>
          <w:bCs/>
          <w:u w:val="single"/>
        </w:rPr>
        <w:t xml:space="preserve">Methodology: </w:t>
      </w:r>
    </w:p>
    <w:p w14:paraId="4F999338" w14:textId="4486127F" w:rsidR="00B529B9" w:rsidRDefault="00B529B9" w:rsidP="00B529B9">
      <w:r w:rsidRPr="00B529B9">
        <w:t>PFM represents the microstructure of a material using conserved and nonconserved field variables that represent the evolution of physical properties and the microstructure of the material, respectively. For grain growth, the Allen-Cahn equation describes the evolution of the nonconserved order parameters as</w:t>
      </w:r>
      <w:r w:rsidR="007C2E31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δF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B529B9">
        <w:t xml:space="preserve">, where </w:t>
      </w:r>
      <w:r w:rsidRPr="00B529B9">
        <w:rPr>
          <w:i/>
          <w:iCs/>
        </w:rPr>
        <w:t>F</w:t>
      </w:r>
      <w:r w:rsidRPr="00B529B9">
        <w:t xml:space="preserve"> is the free energy functional, </w:t>
      </w:r>
      <w:r w:rsidRPr="00B529B9">
        <w:rPr>
          <w:i/>
          <w:iCs/>
        </w:rPr>
        <w:t>L</w:t>
      </w:r>
      <w:r w:rsidRPr="00B529B9">
        <w:t xml:space="preserve"> is the order parameter mobility, and </w:t>
      </w:r>
      <m:oMath>
        <m:r>
          <w:rPr>
            <w:rFonts w:ascii="Cambria Math" w:hAnsi="Cambria Math"/>
          </w:rPr>
          <m:t>η</m:t>
        </m:r>
      </m:oMath>
      <w:r w:rsidRPr="00B529B9">
        <w:t xml:space="preserve"> is the order parameter variation</w:t>
      </w:r>
      <w:r w:rsidR="007805BE">
        <w:t xml:space="preserve"> </w:t>
      </w:r>
      <w:r w:rsidRPr="00B529B9">
        <w:t xml:space="preserve">[3]. Hence, the free energy functional is defined as </w:t>
      </w:r>
      <m:oMath>
        <m:r>
          <w:rPr>
            <w:rFonts w:ascii="Cambria Math" w:hAnsi="Cambria Math"/>
          </w:rPr>
          <m:t>F= 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loc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add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+k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Pr="00B529B9">
        <w:t xml:space="preserve">, where </w:t>
      </w:r>
      <w:r w:rsidRPr="00B529B9">
        <w:rPr>
          <w:i/>
          <w:iCs/>
        </w:rPr>
        <w:t>k</w:t>
      </w:r>
      <w:r w:rsidRPr="00B529B9">
        <w:t xml:space="preserve"> and </w:t>
      </w:r>
      <w:r w:rsidRPr="00B529B9">
        <w:rPr>
          <w:i/>
          <w:iCs/>
        </w:rPr>
        <w:t>L</w:t>
      </w:r>
      <w:r w:rsidRPr="00B529B9">
        <w:t xml:space="preserve"> are described in terms of </w:t>
      </w:r>
      <w:r w:rsidR="004A6509">
        <w:t>the model parameters.</w:t>
      </w:r>
    </w:p>
    <w:p w14:paraId="360E3E9D" w14:textId="5E740534" w:rsidR="00574DED" w:rsidRDefault="004A6509" w:rsidP="00B529B9">
      <w:r w:rsidRPr="004A6509">
        <w:t xml:space="preserve">The model parameters consist of the </w:t>
      </w:r>
      <w:r w:rsidR="000472A8">
        <w:t>g</w:t>
      </w:r>
      <w:r w:rsidRPr="004A6509">
        <w:t>rain mobility prefactor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A6509">
        <w:t>), activation energy (</w:t>
      </w:r>
      <w:r w:rsidR="00202DB3">
        <w:rPr>
          <w:i/>
          <w:iCs/>
        </w:rPr>
        <w:t>Q</w:t>
      </w:r>
      <w:r w:rsidRPr="004A6509">
        <w:t>), and grain boundary energy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GB</m:t>
            </m:r>
          </m:sub>
        </m:sSub>
      </m:oMath>
      <w:r w:rsidRPr="004A6509">
        <w:t>). These parameters are extrapolated from experimental data</w:t>
      </w:r>
      <w:r w:rsidR="00A977EA">
        <w:t xml:space="preserve"> </w:t>
      </w:r>
      <w:r w:rsidR="0008272E">
        <w:t>[4-7]</w:t>
      </w:r>
      <w:r w:rsidRPr="004A6509">
        <w:t xml:space="preserve">, 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77EA">
        <w:t xml:space="preserve"> </w:t>
      </w:r>
      <w:r w:rsidRPr="004A6509">
        <w:t>specifically determined using the Arrhenius equation</w:t>
      </w:r>
      <w:r w:rsidR="000472A8">
        <w:t xml:space="preserve">: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⁡(-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)</m:t>
        </m:r>
      </m:oMath>
      <w:r w:rsidRPr="004A6509">
        <w:t>. Due to a gap in the literature, M values were determined using the Burke-Turnbull equation [8].</w:t>
      </w:r>
    </w:p>
    <w:p w14:paraId="1E6763D2" w14:textId="5F918EC5" w:rsidR="003F75ED" w:rsidRDefault="00BE0B1D" w:rsidP="00CD0FD4">
      <w:r w:rsidRPr="00BE0B1D">
        <w:lastRenderedPageBreak/>
        <w:t>The grain growth rate is defined using the exponent</w:t>
      </w:r>
      <w:r w:rsidR="009C6A5C">
        <w:rPr>
          <w:i/>
          <w:iCs/>
        </w:rPr>
        <w:t xml:space="preserve"> n</w:t>
      </w:r>
      <w:r w:rsidR="009C6A5C">
        <w:t xml:space="preserve"> in</w:t>
      </w:r>
      <w:r w:rsidRPr="00BE0B1D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=Kt</m:t>
        </m:r>
      </m:oMath>
      <w:r w:rsidRPr="00BE0B1D">
        <w:t xml:space="preserve">, where </w:t>
      </w:r>
      <w:r w:rsidR="009C6A5C" w:rsidRPr="009C6A5C">
        <w:t>K</w:t>
      </w:r>
      <w:r w:rsidR="009C6A5C">
        <w:t xml:space="preserve"> </w:t>
      </w:r>
      <w:r w:rsidRPr="009C6A5C">
        <w:t>is</w:t>
      </w:r>
      <w:r w:rsidRPr="00BE0B1D">
        <w:t xml:space="preserve"> a material constant and </w:t>
      </w:r>
      <m:oMath>
        <m:r>
          <w:rPr>
            <w:rFonts w:ascii="Cambria Math" w:hAnsi="Cambria Math"/>
          </w:rPr>
          <m:t>D</m:t>
        </m:r>
      </m:oMath>
      <w:r w:rsidRPr="00BE0B1D">
        <w:rPr>
          <w:rFonts w:ascii="Arial" w:hAnsi="Arial" w:cs="Arial"/>
        </w:rPr>
        <w:t>​</w:t>
      </w:r>
      <w:r w:rsidR="009C6A5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6A5C">
        <w:rPr>
          <w:rFonts w:eastAsiaTheme="minorEastAsia"/>
        </w:rPr>
        <w:t xml:space="preserve"> </w:t>
      </w:r>
      <w:r w:rsidRPr="00BE0B1D">
        <w:t xml:space="preserve">are the </w:t>
      </w:r>
      <w:r w:rsidR="009C6A5C">
        <w:t>final</w:t>
      </w:r>
      <w:r w:rsidRPr="00BE0B1D">
        <w:t xml:space="preserve"> and initial grain diameters, respectively.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0CFC">
        <w:rPr>
          <w:rFonts w:eastAsiaTheme="minorEastAsia"/>
        </w:rPr>
        <w:t xml:space="preserve"> </w:t>
      </w:r>
      <w:r w:rsidRPr="00BE0B1D">
        <w:t xml:space="preserve">is very small, it can be ignored, simplifying the determination of </w:t>
      </w:r>
      <w:r w:rsidR="00270CFC">
        <w:rPr>
          <w:i/>
          <w:iCs/>
        </w:rPr>
        <w:t xml:space="preserve">n </w:t>
      </w:r>
      <w:r w:rsidRPr="00BE0B1D">
        <w:t>using</w:t>
      </w:r>
      <w:r w:rsidR="00EC5498" w:rsidRPr="003F75ED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=nln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⁡(K)</m:t>
        </m:r>
      </m:oMath>
      <w:r w:rsidR="00EC5498" w:rsidRPr="003F75ED">
        <w:t xml:space="preserve"> </w:t>
      </w:r>
      <w:r w:rsidRPr="00BE0B1D">
        <w:t>[9]. Activation energy for atomic diffusion across grain boundaries is crucial for describing growth, with α-Ti exhibiting a higher activation energy due to its greater packing efficiency in the hcp structure compared to bcc</w:t>
      </w:r>
      <w:r w:rsidR="002A5A93">
        <w:t xml:space="preserve"> in β-Ti</w:t>
      </w:r>
      <w:r w:rsidR="00B90A95">
        <w:t xml:space="preserve">. </w:t>
      </w:r>
    </w:p>
    <w:p w14:paraId="160C29CD" w14:textId="3609D072" w:rsidR="00683506" w:rsidRPr="00361368" w:rsidRDefault="00683506" w:rsidP="00CD0FD4">
      <w:pPr>
        <w:rPr>
          <w:b/>
          <w:bCs/>
          <w:u w:val="single"/>
        </w:rPr>
      </w:pPr>
      <w:r w:rsidRPr="00361368">
        <w:rPr>
          <w:b/>
          <w:bCs/>
          <w:u w:val="single"/>
        </w:rPr>
        <w:t>Discussion of Results:</w:t>
      </w:r>
    </w:p>
    <w:p w14:paraId="7A742F97" w14:textId="14D617F9" w:rsidR="00683506" w:rsidRPr="00142D27" w:rsidRDefault="00DA2491" w:rsidP="00CD0FD4">
      <w:r>
        <w:t xml:space="preserve">Simulated growth output </w:t>
      </w:r>
      <w:r w:rsidR="00D11D4C">
        <w:t xml:space="preserve">closely </w:t>
      </w:r>
      <w:r>
        <w:t xml:space="preserve">matches </w:t>
      </w:r>
      <w:r w:rsidR="004055B3">
        <w:t>experimental results</w:t>
      </w:r>
      <w:r w:rsidR="00D11D4C">
        <w:t>. However, e</w:t>
      </w:r>
      <w:r w:rsidR="00683506">
        <w:t>xperimentally, growth occurs at a higher rate for</w:t>
      </w:r>
      <w:r w:rsidR="00C50BC0">
        <w:t xml:space="preserve"> </w:t>
      </w:r>
      <w:r w:rsidR="00C50BC0">
        <w:t>β-Ti</w:t>
      </w:r>
      <w:r w:rsidR="00A11747">
        <w:t xml:space="preserve"> and reports higher growth exponent values on average.</w:t>
      </w:r>
      <w:r w:rsidR="00C60BB8">
        <w:t xml:space="preserve"> However, relying on experimental</w:t>
      </w:r>
      <w:r w:rsidR="00037EAB">
        <w:t xml:space="preserve"> values for the input parameters yields the opposite result in this model, where </w:t>
      </w:r>
      <w:r w:rsidR="00037EAB">
        <w:t>β-Ti</w:t>
      </w:r>
      <w:r w:rsidR="00037EAB">
        <w:t xml:space="preserve"> experiences a lower </w:t>
      </w:r>
      <w:r w:rsidR="00FF3133">
        <w:t>growth rate on average.</w:t>
      </w:r>
      <w:r w:rsidR="00A17256">
        <w:t xml:space="preserve"> This may be attributed </w:t>
      </w:r>
      <w:r w:rsidR="006971B6">
        <w:t>to the temperatures at which single-phase growth is measure</w:t>
      </w:r>
      <w:r w:rsidR="00825AB2">
        <w:t>d</w:t>
      </w:r>
      <w:r w:rsidR="00DF6474">
        <w:t xml:space="preserve">, as </w:t>
      </w:r>
      <w:r w:rsidR="00DF6474">
        <w:t>β-Ti</w:t>
      </w:r>
      <w:r w:rsidR="00DF6474">
        <w:t xml:space="preserve"> exists at higher temperatures resulting in a higher growth exponent. </w:t>
      </w:r>
      <w:r w:rsidR="00FF3133">
        <w:t xml:space="preserve"> </w:t>
      </w:r>
      <w:r w:rsidR="00AD4649">
        <w:t xml:space="preserve">While growth occurs more readily in </w:t>
      </w:r>
      <w:r w:rsidR="00AD4649">
        <w:t>β-Ti</w:t>
      </w:r>
      <w:r w:rsidR="00AD4649">
        <w:t xml:space="preserve">, </w:t>
      </w:r>
      <w:r w:rsidR="00AD4649" w:rsidRPr="00BE0B1D">
        <w:t>α-Ti</w:t>
      </w:r>
      <w:r w:rsidR="00AD4649">
        <w:t xml:space="preserve">’s favorable input parameters leads to </w:t>
      </w:r>
      <w:r w:rsidR="00FA21E0">
        <w:t xml:space="preserve">rapid growth once thermodynamically favorable. </w:t>
      </w:r>
      <w:r w:rsidR="002A23C8">
        <w:t>While</w:t>
      </w:r>
      <w:r w:rsidR="008316B7">
        <w:t xml:space="preserve"> literature regarding single-phase interface mobility is </w:t>
      </w:r>
      <w:r w:rsidR="004D2B12">
        <w:t>scarce</w:t>
      </w:r>
      <w:r w:rsidR="008316B7">
        <w:t xml:space="preserve"> for </w:t>
      </w:r>
      <w:r w:rsidR="00FC6131">
        <w:t xml:space="preserve">Ti, a sensitivity analysis must be done using stochastic tools to explore </w:t>
      </w:r>
      <w:r w:rsidR="00AC3A72">
        <w:t xml:space="preserve">the input parameter’s </w:t>
      </w:r>
      <w:r w:rsidR="00FE0F2D">
        <w:t xml:space="preserve">relative </w:t>
      </w:r>
      <w:r w:rsidR="007E49E3">
        <w:t>effect</w:t>
      </w:r>
      <w:r w:rsidR="00FE0F2D">
        <w:t xml:space="preserve"> on the growth exponent. </w:t>
      </w:r>
      <w:r w:rsidR="00680979">
        <w:t>Finally, work has been done to mimic the effects of irradiation on isothermal grain growth</w:t>
      </w:r>
      <w:r w:rsidR="00BD0FC2">
        <w:t xml:space="preserve"> </w:t>
      </w:r>
      <w:r w:rsidR="002F5DCE">
        <w:t>with</w:t>
      </w:r>
      <w:r w:rsidR="00BD0FC2">
        <w:t xml:space="preserve"> an additional Allen</w:t>
      </w:r>
      <w:r w:rsidR="00E06D0B">
        <w:t xml:space="preserve">-Cahn-like term to the free energy functional [10]. </w:t>
      </w:r>
      <w:r w:rsidR="0036025B">
        <w:t xml:space="preserve">To </w:t>
      </w:r>
      <w:r w:rsidR="00AD43D4">
        <w:t xml:space="preserve">model </w:t>
      </w:r>
      <w:r w:rsidR="00D46E7F">
        <w:t xml:space="preserve">ion-induced grain growth this term can be introduced by adding “thermal spikes” at or around grain boundaries. These spikes induce atomic diffusion by </w:t>
      </w:r>
      <w:r w:rsidR="00534AC5">
        <w:t xml:space="preserve">increasing the temperature by approximately 1000K, lasting </w:t>
      </w:r>
      <w:r w:rsidR="00D34319">
        <w:t>approximately</w:t>
      </w:r>
      <w:r w:rsidR="00534D1F">
        <w:t xml:space="preserve"> 10</w:t>
      </w:r>
      <w:r w:rsidR="00534D1F">
        <w:rPr>
          <w:vertAlign w:val="superscript"/>
        </w:rPr>
        <w:t>-11</w:t>
      </w:r>
      <w:r w:rsidR="00142D27">
        <w:t xml:space="preserve"> seconds. </w:t>
      </w:r>
    </w:p>
    <w:p w14:paraId="1836DE05" w14:textId="25DEE501" w:rsidR="00CD0FD4" w:rsidRPr="00CD0FD4" w:rsidRDefault="00AA0520" w:rsidP="00CD0FD4">
      <w:pPr>
        <w:rPr>
          <w:b/>
          <w:bCs/>
          <w:u w:val="single"/>
        </w:rPr>
      </w:pPr>
      <w:r>
        <w:rPr>
          <w:b/>
          <w:bCs/>
          <w:u w:val="single"/>
        </w:rPr>
        <w:t>References:</w:t>
      </w:r>
    </w:p>
    <w:p w14:paraId="5FBC31C5" w14:textId="5F49405B" w:rsidR="00CD0FD4" w:rsidRPr="00CD0FD4" w:rsidRDefault="00CD0FD4" w:rsidP="00CD0FD4">
      <w:r w:rsidRPr="00CD0FD4">
        <w:t>[1] Jafari, M., Vaezzadeh, M. &amp; Noroozizadeh, S. Thermal Stability of </w:t>
      </w:r>
      <w:r w:rsidRPr="00CD0FD4">
        <w:rPr>
          <w:i/>
          <w:iCs/>
        </w:rPr>
        <w:t>α</w:t>
      </w:r>
      <w:r w:rsidRPr="00CD0FD4">
        <w:t> Phase of Titanium by Using X-Ray Diffraction. </w:t>
      </w:r>
      <w:r w:rsidRPr="00CD0FD4">
        <w:rPr>
          <w:i/>
          <w:iCs/>
        </w:rPr>
        <w:t>Metall Mater Trans A</w:t>
      </w:r>
      <w:r w:rsidRPr="00CD0FD4">
        <w:t xml:space="preserve"> 41, 3287–3290 (2010). </w:t>
      </w:r>
      <w:hyperlink r:id="rId5" w:history="1">
        <w:r w:rsidRPr="00CD0FD4">
          <w:rPr>
            <w:rStyle w:val="Hyperlink"/>
          </w:rPr>
          <w:t>https://doi.org/10.1007/s11661-010-0393-1</w:t>
        </w:r>
      </w:hyperlink>
    </w:p>
    <w:p w14:paraId="51CE3758" w14:textId="77777777" w:rsidR="00CD0FD4" w:rsidRPr="00CD0FD4" w:rsidRDefault="00CD0FD4" w:rsidP="00CD0FD4">
      <w:r w:rsidRPr="00CD0FD4">
        <w:t>[2] Z.W. Huang, P.L. Yong, H. Zhou, Y.S. Li, Grain size effect on deformation mechanisms and mechanical properties of titanium, Materials Science and Engineering: A, Volume 773, 2020, 138721, ISSN 0921-5093, https://doi.org/10.1016/j.msea.2019.138721.</w:t>
      </w:r>
    </w:p>
    <w:p w14:paraId="6F2E1092" w14:textId="77777777" w:rsidR="00CD0FD4" w:rsidRPr="00CD0FD4" w:rsidRDefault="00CD0FD4" w:rsidP="00CD0FD4">
      <w:r w:rsidRPr="00CD0FD4">
        <w:t>[3] Long-Qing Chen, A novel computer simulation technique for modeling grain growth, Scripta Metallurgica et Materialia, Volume 32, Issue 1, 1995, Pages 115-120, ISSN 0956-716X, https://doi.org/10.1016/S0956-716X(99)80022-3.</w:t>
      </w:r>
    </w:p>
    <w:p w14:paraId="553E9691" w14:textId="77777777" w:rsidR="00CD0FD4" w:rsidRPr="00CD0FD4" w:rsidRDefault="00CD0FD4" w:rsidP="00CD0FD4">
      <w:r w:rsidRPr="00CD0FD4">
        <w:t xml:space="preserve">[4] Héléna Verbeeck, Vincent Feyen, Pushkar Prakash Dhekne, Nele Moelans, Scale-bridging phase-field approach for nucleation and microstructure evolution applied to the </w:t>
      </w:r>
      <w:r w:rsidRPr="00CD0FD4">
        <w:rPr>
          <w:lang w:val="el-GR"/>
        </w:rPr>
        <w:t xml:space="preserve">β </w:t>
      </w:r>
      <w:r w:rsidRPr="00CD0FD4">
        <w:lastRenderedPageBreak/>
        <w:t xml:space="preserve">to </w:t>
      </w:r>
      <w:r w:rsidRPr="00CD0FD4">
        <w:rPr>
          <w:lang w:val="el-GR"/>
        </w:rPr>
        <w:t xml:space="preserve">α </w:t>
      </w:r>
      <w:r w:rsidRPr="00CD0FD4">
        <w:t xml:space="preserve">phase transformation in pure titanium, Materials &amp; Design, Volume 239, 2024, 112768, ISSN 0264-1275, </w:t>
      </w:r>
      <w:hyperlink r:id="rId6" w:history="1">
        <w:r w:rsidRPr="00CD0FD4">
          <w:rPr>
            <w:rStyle w:val="Hyperlink"/>
          </w:rPr>
          <w:t>https://doi.org/10.1016/j.matdes.2024.112768</w:t>
        </w:r>
      </w:hyperlink>
      <w:r w:rsidRPr="00CD0FD4">
        <w:t>.</w:t>
      </w:r>
    </w:p>
    <w:p w14:paraId="5D23174F" w14:textId="77777777" w:rsidR="00CD0FD4" w:rsidRPr="00CD0FD4" w:rsidRDefault="00CD0FD4" w:rsidP="00CD0FD4">
      <w:r w:rsidRPr="00CD0FD4">
        <w:t>[5] Najafkhani, F., Kheiri, S., Pourbahari, B. </w:t>
      </w:r>
      <w:r w:rsidRPr="00CD0FD4">
        <w:rPr>
          <w:i/>
          <w:iCs/>
        </w:rPr>
        <w:t>et al.</w:t>
      </w:r>
      <w:r w:rsidRPr="00CD0FD4">
        <w:t> Recent advances in the kinetics of normal/abnormal grain growth: a review. </w:t>
      </w:r>
      <w:r w:rsidRPr="00CD0FD4">
        <w:rPr>
          <w:i/>
          <w:iCs/>
        </w:rPr>
        <w:t>Archiv.Civ.Mech.Eng</w:t>
      </w:r>
      <w:r w:rsidRPr="00CD0FD4">
        <w:t xml:space="preserve"> 21, 29 (2021). </w:t>
      </w:r>
      <w:hyperlink r:id="rId7" w:history="1">
        <w:r w:rsidRPr="00CD0FD4">
          <w:rPr>
            <w:rStyle w:val="Hyperlink"/>
          </w:rPr>
          <w:t>https://doi.org/10.1007/s43452-021-00185-8</w:t>
        </w:r>
      </w:hyperlink>
    </w:p>
    <w:p w14:paraId="26421B5A" w14:textId="77777777" w:rsidR="00CD0FD4" w:rsidRPr="00CD0FD4" w:rsidRDefault="00CD0FD4" w:rsidP="00CD0FD4">
      <w:r w:rsidRPr="00CD0FD4">
        <w:t>[6] Wang, H., Bao, Q.L., Zhou, G. </w:t>
      </w:r>
      <w:r w:rsidRPr="00CD0FD4">
        <w:rPr>
          <w:i/>
          <w:iCs/>
        </w:rPr>
        <w:t>et al.</w:t>
      </w:r>
      <w:r w:rsidRPr="00CD0FD4">
        <w:t> Dynamic recrystallization initiated by direct grain reorientation at high-angle grain boundary in α-titanium. </w:t>
      </w:r>
      <w:r w:rsidRPr="00CD0FD4">
        <w:rPr>
          <w:i/>
          <w:iCs/>
        </w:rPr>
        <w:t>Journal of Materials Research</w:t>
      </w:r>
      <w:r w:rsidRPr="00CD0FD4">
        <w:t xml:space="preserve"> 34, 1608–1621 (2019). </w:t>
      </w:r>
      <w:hyperlink r:id="rId8" w:history="1">
        <w:r w:rsidRPr="00CD0FD4">
          <w:rPr>
            <w:rStyle w:val="Hyperlink"/>
          </w:rPr>
          <w:t>https://doi.org/10.1557/jmr.2019.125</w:t>
        </w:r>
      </w:hyperlink>
    </w:p>
    <w:p w14:paraId="51200384" w14:textId="77777777" w:rsidR="00CD0FD4" w:rsidRPr="00CD0FD4" w:rsidRDefault="00CD0FD4" w:rsidP="00CD0FD4">
      <w:r w:rsidRPr="00CD0FD4">
        <w:t xml:space="preserve">[7] Di Qiu, Pengyang Zhao, Chen Shen, Weijie Lu, Di Zhang, Matous Mrovec, Yunzhi Wang, Predicting grain boundary structure and energy in BCC metals by integrated atomistic and phase-field modeling, Acta Materialia, Volume 164, 2019, Pages 799-809, ISSN 1359-6454, </w:t>
      </w:r>
      <w:hyperlink r:id="rId9" w:history="1">
        <w:r w:rsidRPr="00CD0FD4">
          <w:rPr>
            <w:rStyle w:val="Hyperlink"/>
          </w:rPr>
          <w:t>https://doi.org/10.1016/j.actamat.2018.11.023</w:t>
        </w:r>
      </w:hyperlink>
      <w:r w:rsidRPr="00CD0FD4">
        <w:t>.</w:t>
      </w:r>
    </w:p>
    <w:p w14:paraId="5433C528" w14:textId="77777777" w:rsidR="00CD0FD4" w:rsidRPr="00CD0FD4" w:rsidRDefault="00CD0FD4" w:rsidP="00CD0FD4">
      <w:r w:rsidRPr="00CD0FD4">
        <w:t>[8] J. Burke, D. Turnbull, Recrystallization and grain growth, Prog. Met. Phys. 3 (1952) 220–292, https://doi.org/10.1016/0502-8205(52)90009-9.</w:t>
      </w:r>
    </w:p>
    <w:p w14:paraId="611F6014" w14:textId="77777777" w:rsidR="00CD0FD4" w:rsidRPr="00CD0FD4" w:rsidRDefault="00CD0FD4" w:rsidP="00CD0FD4">
      <w:r w:rsidRPr="00CD0FD4">
        <w:t>[9] Xu Y, Tang D, Song Y, Pan X. Prediction model for the austenite grain growth in a hot rolled dual phase steel. Mater Des. 2012;36:275–8</w:t>
      </w:r>
    </w:p>
    <w:p w14:paraId="0BB5C339" w14:textId="77777777" w:rsidR="00CD0FD4" w:rsidRPr="00CD0FD4" w:rsidRDefault="00CD0FD4" w:rsidP="00CD0FD4">
      <w:r w:rsidRPr="00CD0FD4">
        <w:t>[10] ] D.E. Alexander, G.S. Was, Thermal-spike treatment of ion-induced grain growth: Theory and experimental comparison, Phys. Rev. B 47 (1993) 2983–2994.</w:t>
      </w:r>
    </w:p>
    <w:p w14:paraId="357D387F" w14:textId="77777777" w:rsidR="00E74059" w:rsidRDefault="00E74059"/>
    <w:sectPr w:rsidR="00E7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C730A"/>
    <w:multiLevelType w:val="hybridMultilevel"/>
    <w:tmpl w:val="38FA46BC"/>
    <w:lvl w:ilvl="0" w:tplc="303A7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7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4C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A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E8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EA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2B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A3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05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E4017B"/>
    <w:multiLevelType w:val="hybridMultilevel"/>
    <w:tmpl w:val="1208FC98"/>
    <w:lvl w:ilvl="0" w:tplc="1924E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E8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4F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0B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4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0CD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42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42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4C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6D2795"/>
    <w:multiLevelType w:val="hybridMultilevel"/>
    <w:tmpl w:val="502E699E"/>
    <w:lvl w:ilvl="0" w:tplc="298A0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2C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4B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E8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63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0F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A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E4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EF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3B5D69"/>
    <w:multiLevelType w:val="hybridMultilevel"/>
    <w:tmpl w:val="9E34AAC0"/>
    <w:lvl w:ilvl="0" w:tplc="2468F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63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385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CC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28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05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2C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761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21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35614718">
    <w:abstractNumId w:val="1"/>
  </w:num>
  <w:num w:numId="2" w16cid:durableId="551229694">
    <w:abstractNumId w:val="0"/>
  </w:num>
  <w:num w:numId="3" w16cid:durableId="2146042227">
    <w:abstractNumId w:val="2"/>
  </w:num>
  <w:num w:numId="4" w16cid:durableId="1256939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48"/>
    <w:rsid w:val="00037EAB"/>
    <w:rsid w:val="000472A8"/>
    <w:rsid w:val="0008272E"/>
    <w:rsid w:val="000859C9"/>
    <w:rsid w:val="00142D27"/>
    <w:rsid w:val="001648F1"/>
    <w:rsid w:val="00202DB3"/>
    <w:rsid w:val="002477CA"/>
    <w:rsid w:val="00270CFC"/>
    <w:rsid w:val="00272CC8"/>
    <w:rsid w:val="00284F13"/>
    <w:rsid w:val="00291DB3"/>
    <w:rsid w:val="002A23C8"/>
    <w:rsid w:val="002A421C"/>
    <w:rsid w:val="002A5A93"/>
    <w:rsid w:val="002B2A28"/>
    <w:rsid w:val="002C348C"/>
    <w:rsid w:val="002E2ECD"/>
    <w:rsid w:val="002F5DCE"/>
    <w:rsid w:val="0036025B"/>
    <w:rsid w:val="00361368"/>
    <w:rsid w:val="00366D4A"/>
    <w:rsid w:val="003B269D"/>
    <w:rsid w:val="003C244A"/>
    <w:rsid w:val="003F75ED"/>
    <w:rsid w:val="004055B3"/>
    <w:rsid w:val="00413A41"/>
    <w:rsid w:val="004A6509"/>
    <w:rsid w:val="004C3276"/>
    <w:rsid w:val="004D2B12"/>
    <w:rsid w:val="004E235B"/>
    <w:rsid w:val="00534AC5"/>
    <w:rsid w:val="00534D1F"/>
    <w:rsid w:val="00534EC8"/>
    <w:rsid w:val="00574DED"/>
    <w:rsid w:val="005D37B8"/>
    <w:rsid w:val="00680979"/>
    <w:rsid w:val="00683506"/>
    <w:rsid w:val="006971B6"/>
    <w:rsid w:val="007805BE"/>
    <w:rsid w:val="007A45A1"/>
    <w:rsid w:val="007C2E31"/>
    <w:rsid w:val="007D2B23"/>
    <w:rsid w:val="007E49E3"/>
    <w:rsid w:val="007F7157"/>
    <w:rsid w:val="00814123"/>
    <w:rsid w:val="00825AB2"/>
    <w:rsid w:val="008316B7"/>
    <w:rsid w:val="008D6181"/>
    <w:rsid w:val="0099358E"/>
    <w:rsid w:val="009C6A5C"/>
    <w:rsid w:val="00A11747"/>
    <w:rsid w:val="00A17256"/>
    <w:rsid w:val="00A977EA"/>
    <w:rsid w:val="00AA0520"/>
    <w:rsid w:val="00AC3A72"/>
    <w:rsid w:val="00AD43D4"/>
    <w:rsid w:val="00AD4649"/>
    <w:rsid w:val="00B12A28"/>
    <w:rsid w:val="00B13C40"/>
    <w:rsid w:val="00B20C61"/>
    <w:rsid w:val="00B529B9"/>
    <w:rsid w:val="00B90A95"/>
    <w:rsid w:val="00B92679"/>
    <w:rsid w:val="00B96345"/>
    <w:rsid w:val="00BD0FC2"/>
    <w:rsid w:val="00BE0B1D"/>
    <w:rsid w:val="00C00DD3"/>
    <w:rsid w:val="00C03FE4"/>
    <w:rsid w:val="00C50BC0"/>
    <w:rsid w:val="00C60BB8"/>
    <w:rsid w:val="00CB27FB"/>
    <w:rsid w:val="00CD0FD4"/>
    <w:rsid w:val="00CF39F4"/>
    <w:rsid w:val="00D04BA5"/>
    <w:rsid w:val="00D11D4C"/>
    <w:rsid w:val="00D2306B"/>
    <w:rsid w:val="00D34319"/>
    <w:rsid w:val="00D34E38"/>
    <w:rsid w:val="00D36523"/>
    <w:rsid w:val="00D46E7F"/>
    <w:rsid w:val="00D70B34"/>
    <w:rsid w:val="00D754E3"/>
    <w:rsid w:val="00DA2491"/>
    <w:rsid w:val="00DA6648"/>
    <w:rsid w:val="00DF6474"/>
    <w:rsid w:val="00E06D0B"/>
    <w:rsid w:val="00E74059"/>
    <w:rsid w:val="00EC5498"/>
    <w:rsid w:val="00EC6848"/>
    <w:rsid w:val="00F313BC"/>
    <w:rsid w:val="00F85E7D"/>
    <w:rsid w:val="00F95627"/>
    <w:rsid w:val="00F95F7C"/>
    <w:rsid w:val="00FA017A"/>
    <w:rsid w:val="00FA21E0"/>
    <w:rsid w:val="00FC6131"/>
    <w:rsid w:val="00FD7516"/>
    <w:rsid w:val="00FE0F2D"/>
    <w:rsid w:val="00F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4109"/>
  <w15:chartTrackingRefBased/>
  <w15:docId w15:val="{7BFBAB98-BB2D-49C7-A8FC-0D96E66C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F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FD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C6A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8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1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6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0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57/jmr.2019.1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43452-021-00185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matdes.2024.11276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07/s11661-010-0393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actamat.2018.11.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3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long</dc:creator>
  <cp:keywords/>
  <dc:description/>
  <cp:lastModifiedBy>aiden long</cp:lastModifiedBy>
  <cp:revision>94</cp:revision>
  <dcterms:created xsi:type="dcterms:W3CDTF">2025-03-15T17:51:00Z</dcterms:created>
  <dcterms:modified xsi:type="dcterms:W3CDTF">2025-03-20T01:20:00Z</dcterms:modified>
</cp:coreProperties>
</file>