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acute-pain EEG validation ledger</w:t>
      </w:r>
    </w:p>
    <w:p>
      <w:r>
        <w:rPr>
          <w:b/>
        </w:rPr>
        <w:t>Run date:</w:t>
      </w:r>
      <w:r>
        <w:t xml:space="preserve"> 2026-10-26</w:t>
      </w:r>
    </w:p>
    <w:p>
      <w:r>
        <w:rPr>
          <w:b/>
        </w:rPr>
        <w:t>Status:</w:t>
      </w:r>
      <w:r>
        <w:t xml:space="preserve"> Published benchmark arithmetic reproduced; raw trial-level EEG validation not completed.</w:t>
      </w:r>
    </w:p>
    <w:p>
      <w:r>
        <w:rPr>
          <w:b/>
        </w:rPr>
        <w:t>Main published source:</w:t>
      </w:r>
      <w:r>
        <w:t xml:space="preserve"> Sun et al., </w:t>
      </w:r>
      <w:r>
        <w:rPr>
          <w:i/>
        </w:rPr>
        <w:t>Detecting acute pain signals from human EEG</w:t>
      </w:r>
      <w:r>
        <w:t>, J Neurosci Methods 347 (2020), 108964: https://pmc.ncbi.nlm.nih.gov/articles/PMC7744433/</w:t>
      </w:r>
    </w:p>
    <w:p>
      <w:r>
        <w:rPr>
          <w:b/>
        </w:rPr>
        <w:t>Large public laser-evoked potential collection:</w:t>
      </w:r>
      <w:r>
        <w:t xml:space="preserve"> Zhao et al. (2025), </w:t>
      </w:r>
      <w:r>
        <w:rPr>
          <w:i/>
        </w:rPr>
        <w:t>A comprehensive EEG dataset of laser-evoked potentials for pain research</w:t>
      </w:r>
      <w:r>
        <w:t>: https://pmc.ncbi.nlm.nih.gov/articles/PMC12405539/</w:t>
      </w:r>
    </w:p>
    <w:p>
      <w:pPr>
        <w:pStyle w:val="Heading1"/>
        <w:keepNext/>
      </w:pPr>
      <w:r>
        <w:t>Executive result</w:t>
      </w:r>
    </w:p>
    <w:p>
      <w:r>
        <w:t>There are three distinct evidence levels in this analysis:</w:t>
      </w:r>
    </w:p>
    <w:p>
      <w:pPr>
        <w:pStyle w:val="ListBullet"/>
      </w:pPr>
      <w:r>
        <w:rPr>
          <w:b/>
        </w:rPr>
        <w:t>Computed now:</w:t>
      </w:r>
      <w:r>
        <w:t xml:space="preserve"> independent calculations on the 16 AUC/accuracy rows printed in Table 2 of Sun et al. The values are rounded to two decimals and represent repeated modality/subject train-test settings on only two chronic-pain participants exposed to acute painful pinprick and non-painful monofilament stimuli.</w:t>
      </w:r>
    </w:p>
    <w:p>
      <w:pPr>
        <w:pStyle w:val="ListBullet"/>
      </w:pPr>
      <w:r>
        <w:rPr>
          <w:b/>
        </w:rPr>
        <w:t>Reported by source, not recalculated:</w:t>
      </w:r>
      <w:r>
        <w:t xml:space="preserve"> results the paper reports from its 50-person healthy-volunteer laser dataset, including latency differences and AUC group summaries.</w:t>
      </w:r>
    </w:p>
    <w:p>
      <w:pPr>
        <w:pStyle w:val="ListBullet"/>
      </w:pPr>
      <w:r>
        <w:rPr>
          <w:b/>
        </w:rPr>
        <w:t>Not run:</w:t>
      </w:r>
      <w:r>
        <w:t xml:space="preserve"> any of the project's proposed EEG-to-0–10 pain-intensity formulas applied to raw or trial-level features. The raw dataset fetch failed in this runtime with </w:t>
      </w:r>
      <w:r>
        <w:rPr>
          <w:rFonts w:ascii="Consolas" w:hAnsi="Consolas"/>
          <w:sz w:val="16"/>
        </w:rPr>
        <w:t>Temporary failure in name resolution</w:t>
      </w:r>
      <w:r>
        <w:t>; zero raw EEG files and zero trial-level feature rows were loaded.</w:t>
      </w:r>
    </w:p>
    <w:p>
      <w:r>
        <w:t>It would be scientifically wrong to claim the proposed intensity formulae are validated on the basis of a published AUC table that evaluates binary onset/detection, not 0–10 intensity regression.</w:t>
      </w:r>
    </w:p>
    <w:p>
      <w:pPr>
        <w:pStyle w:val="Heading1"/>
        <w:keepNext/>
      </w:pPr>
      <w:r>
        <w:t>A. Recalculated published Table 2 summary</w:t>
      </w:r>
    </w:p>
    <w:tbl>
      <w:tblPr>
        <w:tblStyle w:val="LightShading-Accent1"/>
        <w:tblW w:type="auto" w:w="0"/>
        <w:jc w:val="center"/>
        <w:tblLook w:firstColumn="1" w:firstRow="1" w:lastColumn="0" w:lastRow="0" w:noHBand="0" w:noVBand="1" w:val="04A0"/>
      </w:tblPr>
      <w:tblGrid>
        <w:gridCol w:w="2079"/>
        <w:gridCol w:w="2079"/>
        <w:gridCol w:w="2079"/>
        <w:gridCol w:w="2079"/>
        <w:gridCol w:w="2079"/>
      </w:tblGrid>
      <w:tr>
        <w:trPr>
          <w:tblHeader w:val="true"/>
        </w:trPr>
        <w:tc>
          <w:tcPr>
            <w:tcW w:type="dxa" w:w="2079"/>
            <w:vAlign w:val="center"/>
            <w:shd w:fill="23385B"/>
          </w:tcPr>
          <w:p>
            <w:pPr>
              <w:spacing w:after="20" w:before="20"/>
            </w:pPr>
            <w:r>
              <w:rPr>
                <w:b/>
                <w:color w:val="FFFFFF"/>
                <w:sz w:val="14"/>
              </w:rPr>
              <w:t>Measure</w:t>
            </w:r>
          </w:p>
        </w:tc>
        <w:tc>
          <w:tcPr>
            <w:tcW w:type="dxa" w:w="2079"/>
            <w:vAlign w:val="center"/>
            <w:shd w:fill="23385B"/>
          </w:tcPr>
          <w:p>
            <w:pPr>
              <w:spacing w:after="20" w:before="20"/>
            </w:pPr>
            <w:r>
              <w:rPr>
                <w:b/>
                <w:color w:val="FFFFFF"/>
                <w:sz w:val="14"/>
              </w:rPr>
              <w:t>Mean</w:t>
            </w:r>
          </w:p>
        </w:tc>
        <w:tc>
          <w:tcPr>
            <w:tcW w:type="dxa" w:w="2079"/>
            <w:vAlign w:val="center"/>
            <w:shd w:fill="23385B"/>
          </w:tcPr>
          <w:p>
            <w:pPr>
              <w:spacing w:after="20" w:before="20"/>
            </w:pPr>
            <w:r>
              <w:rPr>
                <w:b/>
                <w:color w:val="FFFFFF"/>
                <w:sz w:val="14"/>
              </w:rPr>
              <w:t>Sample SD</w:t>
            </w:r>
          </w:p>
        </w:tc>
        <w:tc>
          <w:tcPr>
            <w:tcW w:type="dxa" w:w="2079"/>
            <w:vAlign w:val="center"/>
            <w:shd w:fill="23385B"/>
          </w:tcPr>
          <w:p>
            <w:pPr>
              <w:spacing w:after="20" w:before="20"/>
            </w:pPr>
            <w:r>
              <w:rPr>
                <w:b/>
                <w:color w:val="FFFFFF"/>
                <w:sz w:val="14"/>
              </w:rPr>
              <w:t>Median</w:t>
            </w:r>
          </w:p>
        </w:tc>
        <w:tc>
          <w:tcPr>
            <w:tcW w:type="dxa" w:w="2079"/>
            <w:vAlign w:val="center"/>
            <w:shd w:fill="23385B"/>
          </w:tcPr>
          <w:p>
            <w:pPr>
              <w:spacing w:after="20" w:before="20"/>
            </w:pPr>
            <w:r>
              <w:rPr>
                <w:b/>
                <w:color w:val="FFFFFF"/>
                <w:sz w:val="14"/>
              </w:rPr>
              <w:t>Range</w:t>
            </w:r>
          </w:p>
        </w:tc>
      </w:tr>
      <w:tr>
        <w:tc>
          <w:tcPr>
            <w:tcW w:type="dxa" w:w="2079"/>
            <w:vAlign w:val="center"/>
          </w:tcPr>
          <w:p>
            <w:pPr>
              <w:spacing w:after="20" w:before="20"/>
            </w:pPr>
            <w:r>
              <w:rPr>
                <w:sz w:val="14"/>
              </w:rPr>
              <w:t>SSM unsupervised event-detection AUC</w:t>
            </w:r>
          </w:p>
        </w:tc>
        <w:tc>
          <w:tcPr>
            <w:tcW w:type="dxa" w:w="2079"/>
            <w:vAlign w:val="center"/>
          </w:tcPr>
          <w:p>
            <w:pPr>
              <w:spacing w:after="20" w:before="20"/>
            </w:pPr>
            <w:r>
              <w:rPr>
                <w:sz w:val="14"/>
              </w:rPr>
              <w:t>0.711</w:t>
            </w:r>
          </w:p>
        </w:tc>
        <w:tc>
          <w:tcPr>
            <w:tcW w:type="dxa" w:w="2079"/>
            <w:vAlign w:val="center"/>
          </w:tcPr>
          <w:p>
            <w:pPr>
              <w:spacing w:after="20" w:before="20"/>
            </w:pPr>
            <w:r>
              <w:rPr>
                <w:sz w:val="14"/>
              </w:rPr>
              <w:t>0.068</w:t>
            </w:r>
          </w:p>
        </w:tc>
        <w:tc>
          <w:tcPr>
            <w:tcW w:type="dxa" w:w="2079"/>
            <w:vAlign w:val="center"/>
          </w:tcPr>
          <w:p>
            <w:pPr>
              <w:spacing w:after="20" w:before="20"/>
            </w:pPr>
            <w:r>
              <w:rPr>
                <w:sz w:val="14"/>
              </w:rPr>
              <w:t>0.710</w:t>
            </w:r>
          </w:p>
        </w:tc>
        <w:tc>
          <w:tcPr>
            <w:tcW w:type="dxa" w:w="2079"/>
            <w:vAlign w:val="center"/>
          </w:tcPr>
          <w:p>
            <w:pPr>
              <w:spacing w:after="20" w:before="20"/>
            </w:pPr>
            <w:r>
              <w:rPr>
                <w:sz w:val="14"/>
              </w:rPr>
              <w:t>0.60–0.81</w:t>
            </w:r>
          </w:p>
        </w:tc>
      </w:tr>
      <w:tr>
        <w:tc>
          <w:tcPr>
            <w:tcW w:type="dxa" w:w="2079"/>
            <w:vAlign w:val="center"/>
          </w:tcPr>
          <w:p>
            <w:pPr>
              <w:spacing w:after="20" w:before="20"/>
            </w:pPr>
            <w:r>
              <w:rPr>
                <w:sz w:val="14"/>
              </w:rPr>
              <w:t>SVM supervised peak AUC</w:t>
            </w:r>
          </w:p>
        </w:tc>
        <w:tc>
          <w:tcPr>
            <w:tcW w:type="dxa" w:w="2079"/>
            <w:vAlign w:val="center"/>
          </w:tcPr>
          <w:p>
            <w:pPr>
              <w:spacing w:after="20" w:before="20"/>
            </w:pPr>
            <w:r>
              <w:rPr>
                <w:sz w:val="14"/>
              </w:rPr>
              <w:t>0.614</w:t>
            </w:r>
          </w:p>
        </w:tc>
        <w:tc>
          <w:tcPr>
            <w:tcW w:type="dxa" w:w="2079"/>
            <w:vAlign w:val="center"/>
          </w:tcPr>
          <w:p>
            <w:pPr>
              <w:spacing w:after="20" w:before="20"/>
            </w:pPr>
            <w:r>
              <w:rPr>
                <w:sz w:val="14"/>
              </w:rPr>
              <w:t>0.120</w:t>
            </w:r>
          </w:p>
        </w:tc>
        <w:tc>
          <w:tcPr>
            <w:tcW w:type="dxa" w:w="2079"/>
            <w:vAlign w:val="center"/>
          </w:tcPr>
          <w:p>
            <w:pPr>
              <w:spacing w:after="20" w:before="20"/>
            </w:pPr>
            <w:r>
              <w:rPr>
                <w:sz w:val="14"/>
              </w:rPr>
              <w:t>0.590</w:t>
            </w:r>
          </w:p>
        </w:tc>
        <w:tc>
          <w:tcPr>
            <w:tcW w:type="dxa" w:w="2079"/>
            <w:vAlign w:val="center"/>
          </w:tcPr>
          <w:p>
            <w:pPr>
              <w:spacing w:after="20" w:before="20"/>
            </w:pPr>
            <w:r>
              <w:rPr>
                <w:sz w:val="14"/>
              </w:rPr>
              <w:t>0.43–0.83</w:t>
            </w:r>
          </w:p>
        </w:tc>
      </w:tr>
      <w:tr>
        <w:tc>
          <w:tcPr>
            <w:tcW w:type="dxa" w:w="2079"/>
            <w:vAlign w:val="center"/>
          </w:tcPr>
          <w:p>
            <w:pPr>
              <w:spacing w:after="20" w:before="20"/>
            </w:pPr>
            <w:r>
              <w:rPr>
                <w:sz w:val="14"/>
              </w:rPr>
              <w:t>SVM peak accuracy</w:t>
            </w:r>
          </w:p>
        </w:tc>
        <w:tc>
          <w:tcPr>
            <w:tcW w:type="dxa" w:w="2079"/>
            <w:vAlign w:val="center"/>
          </w:tcPr>
          <w:p>
            <w:pPr>
              <w:spacing w:after="20" w:before="20"/>
            </w:pPr>
            <w:r>
              <w:rPr>
                <w:sz w:val="14"/>
              </w:rPr>
              <w:t>0.602</w:t>
            </w:r>
          </w:p>
        </w:tc>
        <w:tc>
          <w:tcPr>
            <w:tcW w:type="dxa" w:w="2079"/>
            <w:vAlign w:val="center"/>
          </w:tcPr>
          <w:p>
            <w:pPr>
              <w:spacing w:after="20" w:before="20"/>
            </w:pPr>
            <w:r>
              <w:rPr>
                <w:sz w:val="14"/>
              </w:rPr>
              <w:t>0.069</w:t>
            </w:r>
          </w:p>
        </w:tc>
        <w:tc>
          <w:tcPr>
            <w:tcW w:type="dxa" w:w="2079"/>
            <w:vAlign w:val="center"/>
          </w:tcPr>
          <w:p>
            <w:pPr>
              <w:spacing w:after="20" w:before="20"/>
            </w:pPr>
            <w:r>
              <w:rPr>
                <w:sz w:val="14"/>
              </w:rPr>
              <w:t>0.605</w:t>
            </w:r>
          </w:p>
        </w:tc>
        <w:tc>
          <w:tcPr>
            <w:tcW w:type="dxa" w:w="2079"/>
            <w:vAlign w:val="center"/>
          </w:tcPr>
          <w:p>
            <w:pPr>
              <w:spacing w:after="20" w:before="20"/>
            </w:pPr>
            <w:r>
              <w:rPr>
                <w:sz w:val="14"/>
              </w:rPr>
              <w:t>0.50–0.73</w:t>
            </w:r>
          </w:p>
        </w:tc>
      </w:tr>
      <w:tr>
        <w:tc>
          <w:tcPr>
            <w:tcW w:type="dxa" w:w="2079"/>
            <w:vAlign w:val="center"/>
          </w:tcPr>
          <w:p>
            <w:pPr>
              <w:spacing w:after="20" w:before="20"/>
            </w:pPr>
            <w:r>
              <w:rPr>
                <w:sz w:val="14"/>
              </w:rPr>
              <w:t>SSM minus SVM AUC</w:t>
            </w:r>
          </w:p>
        </w:tc>
        <w:tc>
          <w:tcPr>
            <w:tcW w:type="dxa" w:w="2079"/>
            <w:vAlign w:val="center"/>
          </w:tcPr>
          <w:p>
            <w:pPr>
              <w:spacing w:after="20" w:before="20"/>
            </w:pPr>
            <w:r>
              <w:rPr>
                <w:sz w:val="14"/>
              </w:rPr>
              <w:t>0.096</w:t>
            </w:r>
          </w:p>
        </w:tc>
        <w:tc>
          <w:tcPr>
            <w:tcW w:type="dxa" w:w="2079"/>
            <w:vAlign w:val="center"/>
          </w:tcPr>
          <w:p>
            <w:pPr>
              <w:spacing w:after="20" w:before="20"/>
            </w:pPr>
            <w:r>
              <w:rPr>
                <w:sz w:val="14"/>
              </w:rPr>
              <w:t>0.124</w:t>
            </w:r>
          </w:p>
        </w:tc>
        <w:tc>
          <w:tcPr>
            <w:tcW w:type="dxa" w:w="2079"/>
            <w:vAlign w:val="center"/>
          </w:tcPr>
          <w:p>
            <w:pPr>
              <w:spacing w:after="20" w:before="20"/>
            </w:pPr>
            <w:r>
              <w:rPr>
                <w:sz w:val="14"/>
              </w:rPr>
              <w:t>0.115</w:t>
            </w:r>
          </w:p>
        </w:tc>
        <w:tc>
          <w:tcPr>
            <w:tcW w:type="dxa" w:w="2079"/>
            <w:vAlign w:val="center"/>
          </w:tcPr>
          <w:p>
            <w:pPr>
              <w:spacing w:after="20" w:before="20"/>
            </w:pPr>
            <w:r>
              <w:rPr>
                <w:sz w:val="14"/>
              </w:rPr>
              <w:t>-0.18–0.28</w:t>
            </w:r>
          </w:p>
        </w:tc>
      </w:tr>
    </w:tbl>
    <w:p>
      <w:pPr>
        <w:spacing w:after="40"/>
      </w:pPr>
    </w:p>
    <w:p>
      <w:r>
        <w:t>SSM exceeded SVM AUC in 13/16 configurations; SVM exceeded SSM in 3/16; ties: 0. Every SSM row was above AUC 0.5; SVM had 12 rows above, 1 equal to, and 3 below 0.5. AUC &gt;0.5 indicates discrimination across the two classes under these test settings, not calibrated pain intensity.</w:t>
      </w:r>
    </w:p>
    <w:p>
      <w:pPr>
        <w:pStyle w:val="Heading2"/>
        <w:keepNext/>
      </w:pPr>
      <w:r>
        <w:t>Row-level paired tests (exploratory only)</w:t>
      </w:r>
    </w:p>
    <w:tbl>
      <w:tblPr>
        <w:tblStyle w:val="LightShading-Accent1"/>
        <w:tblW w:type="auto" w:w="0"/>
        <w:jc w:val="center"/>
        <w:tblLook w:firstColumn="1" w:firstRow="1" w:lastColumn="0" w:lastRow="0" w:noHBand="0" w:noVBand="1" w:val="04A0"/>
      </w:tblPr>
      <w:tblGrid>
        <w:gridCol w:w="2599"/>
        <w:gridCol w:w="2599"/>
        <w:gridCol w:w="2599"/>
        <w:gridCol w:w="2599"/>
      </w:tblGrid>
      <w:tr>
        <w:trPr>
          <w:tblHeader w:val="true"/>
        </w:trPr>
        <w:tc>
          <w:tcPr>
            <w:tcW w:type="dxa" w:w="2599"/>
            <w:vAlign w:val="center"/>
            <w:shd w:fill="23385B"/>
          </w:tcPr>
          <w:p>
            <w:pPr>
              <w:spacing w:after="20" w:before="20"/>
            </w:pPr>
            <w:r>
              <w:rPr>
                <w:b/>
                <w:color w:val="FFFFFF"/>
                <w:sz w:val="14"/>
              </w:rPr>
              <w:t>Test</w:t>
            </w:r>
          </w:p>
        </w:tc>
        <w:tc>
          <w:tcPr>
            <w:tcW w:type="dxa" w:w="2599"/>
            <w:vAlign w:val="center"/>
            <w:shd w:fill="23385B"/>
          </w:tcPr>
          <w:p>
            <w:pPr>
              <w:spacing w:after="20" w:before="20"/>
            </w:pPr>
            <w:r>
              <w:rPr>
                <w:b/>
                <w:color w:val="FFFFFF"/>
                <w:sz w:val="14"/>
              </w:rPr>
              <w:t>Statistic</w:t>
            </w:r>
          </w:p>
        </w:tc>
        <w:tc>
          <w:tcPr>
            <w:tcW w:type="dxa" w:w="2599"/>
            <w:vAlign w:val="center"/>
            <w:shd w:fill="23385B"/>
          </w:tcPr>
          <w:p>
            <w:pPr>
              <w:spacing w:after="20" w:before="20"/>
            </w:pPr>
            <w:r>
              <w:rPr>
                <w:b/>
                <w:color w:val="FFFFFF"/>
                <w:sz w:val="14"/>
              </w:rPr>
              <w:t>p-value</w:t>
            </w:r>
          </w:p>
        </w:tc>
        <w:tc>
          <w:tcPr>
            <w:tcW w:type="dxa" w:w="2599"/>
            <w:vAlign w:val="center"/>
            <w:shd w:fill="23385B"/>
          </w:tcPr>
          <w:p>
            <w:pPr>
              <w:spacing w:after="20" w:before="20"/>
            </w:pPr>
            <w:r>
              <w:rPr>
                <w:b/>
                <w:color w:val="FFFFFF"/>
                <w:sz w:val="14"/>
              </w:rPr>
              <w:t>Limitation</w:t>
            </w:r>
          </w:p>
        </w:tc>
      </w:tr>
      <w:tr>
        <w:tc>
          <w:tcPr>
            <w:tcW w:type="dxa" w:w="2599"/>
            <w:vAlign w:val="center"/>
          </w:tcPr>
          <w:p>
            <w:pPr>
              <w:spacing w:after="20" w:before="20"/>
            </w:pPr>
            <w:r>
              <w:rPr>
                <w:sz w:val="14"/>
              </w:rPr>
              <w:t>Paired t-test</w:t>
            </w:r>
          </w:p>
        </w:tc>
        <w:tc>
          <w:tcPr>
            <w:tcW w:type="dxa" w:w="2599"/>
            <w:vAlign w:val="center"/>
          </w:tcPr>
          <w:p>
            <w:pPr>
              <w:spacing w:after="20" w:before="20"/>
            </w:pPr>
            <w:r>
              <w:rPr>
                <w:sz w:val="14"/>
              </w:rPr>
              <w:t>t=3.115, df=15</w:t>
            </w:r>
          </w:p>
        </w:tc>
        <w:tc>
          <w:tcPr>
            <w:tcW w:type="dxa" w:w="2599"/>
            <w:vAlign w:val="center"/>
          </w:tcPr>
          <w:p>
            <w:pPr>
              <w:spacing w:after="20" w:before="20"/>
            </w:pPr>
            <w:r>
              <w:rPr>
                <w:sz w:val="14"/>
              </w:rPr>
              <w:t>0.0071</w:t>
            </w:r>
          </w:p>
        </w:tc>
        <w:tc>
          <w:tcPr>
            <w:tcW w:type="dxa" w:w="2599"/>
            <w:vAlign w:val="center"/>
          </w:tcPr>
          <w:p>
            <w:pPr>
              <w:spacing w:after="20" w:before="20"/>
            </w:pPr>
            <w:r>
              <w:rPr>
                <w:sz w:val="14"/>
              </w:rPr>
              <w:t>Rows are not independent; configurations recycle the same two patients.</w:t>
            </w:r>
          </w:p>
        </w:tc>
      </w:tr>
      <w:tr>
        <w:tc>
          <w:tcPr>
            <w:tcW w:type="dxa" w:w="2599"/>
            <w:vAlign w:val="center"/>
          </w:tcPr>
          <w:p>
            <w:pPr>
              <w:spacing w:after="20" w:before="20"/>
            </w:pPr>
            <w:r>
              <w:rPr>
                <w:sz w:val="14"/>
              </w:rPr>
              <w:t>Wilcoxon signed-rank, approximate</w:t>
            </w:r>
          </w:p>
        </w:tc>
        <w:tc>
          <w:tcPr>
            <w:tcW w:type="dxa" w:w="2599"/>
            <w:vAlign w:val="center"/>
          </w:tcPr>
          <w:p>
            <w:pPr>
              <w:spacing w:after="20" w:before="20"/>
            </w:pPr>
            <w:r>
              <w:rPr>
                <w:sz w:val="14"/>
              </w:rPr>
              <w:t>W=18.5</w:t>
            </w:r>
          </w:p>
        </w:tc>
        <w:tc>
          <w:tcPr>
            <w:tcW w:type="dxa" w:w="2599"/>
            <w:vAlign w:val="center"/>
          </w:tcPr>
          <w:p>
            <w:pPr>
              <w:spacing w:after="20" w:before="20"/>
            </w:pPr>
            <w:r>
              <w:rPr>
                <w:sz w:val="14"/>
              </w:rPr>
              <w:t>0.0105</w:t>
            </w:r>
          </w:p>
        </w:tc>
        <w:tc>
          <w:tcPr>
            <w:tcW w:type="dxa" w:w="2599"/>
            <w:vAlign w:val="center"/>
          </w:tcPr>
          <w:p>
            <w:pPr>
              <w:spacing w:after="20" w:before="20"/>
            </w:pPr>
            <w:r>
              <w:rPr>
                <w:sz w:val="14"/>
              </w:rPr>
              <w:t>Similar to paper-reported p=0.0113; rounded values explain small difference. Not population-level inference.</w:t>
            </w:r>
          </w:p>
        </w:tc>
      </w:tr>
      <w:tr>
        <w:tc>
          <w:tcPr>
            <w:tcW w:type="dxa" w:w="2599"/>
            <w:vAlign w:val="center"/>
          </w:tcPr>
          <w:p>
            <w:pPr>
              <w:spacing w:after="20" w:before="20"/>
            </w:pPr>
            <w:r>
              <w:rPr>
                <w:sz w:val="14"/>
              </w:rPr>
              <w:t>Exact sign test, two-sided</w:t>
            </w:r>
          </w:p>
        </w:tc>
        <w:tc>
          <w:tcPr>
            <w:tcW w:type="dxa" w:w="2599"/>
            <w:vAlign w:val="center"/>
          </w:tcPr>
          <w:p>
            <w:pPr>
              <w:spacing w:after="20" w:before="20"/>
            </w:pPr>
            <w:r>
              <w:rPr>
                <w:sz w:val="14"/>
              </w:rPr>
              <w:t>13 wins vs 3 losses</w:t>
            </w:r>
          </w:p>
        </w:tc>
        <w:tc>
          <w:tcPr>
            <w:tcW w:type="dxa" w:w="2599"/>
            <w:vAlign w:val="center"/>
          </w:tcPr>
          <w:p>
            <w:pPr>
              <w:spacing w:after="20" w:before="20"/>
            </w:pPr>
            <w:r>
              <w:rPr>
                <w:sz w:val="14"/>
              </w:rPr>
              <w:t>0.0213</w:t>
            </w:r>
          </w:p>
        </w:tc>
        <w:tc>
          <w:tcPr>
            <w:tcW w:type="dxa" w:w="2599"/>
            <w:vAlign w:val="center"/>
          </w:tcPr>
          <w:p>
            <w:pPr>
              <w:spacing w:after="20" w:before="20"/>
            </w:pPr>
            <w:r>
              <w:rPr>
                <w:sz w:val="14"/>
              </w:rPr>
              <w:t>Dependence caveat remains.</w:t>
            </w:r>
          </w:p>
        </w:tc>
      </w:tr>
      <w:tr>
        <w:tc>
          <w:tcPr>
            <w:tcW w:type="dxa" w:w="2599"/>
            <w:vAlign w:val="center"/>
          </w:tcPr>
          <w:p>
            <w:pPr>
              <w:spacing w:after="20" w:before="20"/>
            </w:pPr>
            <w:r>
              <w:rPr>
                <w:sz w:val="14"/>
              </w:rPr>
              <w:t>Exact sign test, one-sided SSM greater</w:t>
            </w:r>
          </w:p>
        </w:tc>
        <w:tc>
          <w:tcPr>
            <w:tcW w:type="dxa" w:w="2599"/>
            <w:vAlign w:val="center"/>
          </w:tcPr>
          <w:p>
            <w:pPr>
              <w:spacing w:after="20" w:before="20"/>
            </w:pPr>
            <w:r>
              <w:rPr>
                <w:sz w:val="14"/>
              </w:rPr>
              <w:t>13 wins vs 3 losses</w:t>
            </w:r>
          </w:p>
        </w:tc>
        <w:tc>
          <w:tcPr>
            <w:tcW w:type="dxa" w:w="2599"/>
            <w:vAlign w:val="center"/>
          </w:tcPr>
          <w:p>
            <w:pPr>
              <w:spacing w:after="20" w:before="20"/>
            </w:pPr>
            <w:r>
              <w:rPr>
                <w:sz w:val="14"/>
              </w:rPr>
              <w:t>0.0106</w:t>
            </w:r>
          </w:p>
        </w:tc>
        <w:tc>
          <w:tcPr>
            <w:tcW w:type="dxa" w:w="2599"/>
            <w:vAlign w:val="center"/>
          </w:tcPr>
          <w:p>
            <w:pPr>
              <w:spacing w:after="20" w:before="20"/>
            </w:pPr>
            <w:r>
              <w:rPr>
                <w:sz w:val="14"/>
              </w:rPr>
              <w:t>Directional sensitivity only.</w:t>
            </w:r>
          </w:p>
        </w:tc>
      </w:tr>
      <w:tr>
        <w:tc>
          <w:tcPr>
            <w:tcW w:type="dxa" w:w="2599"/>
            <w:vAlign w:val="center"/>
          </w:tcPr>
          <w:p>
            <w:pPr>
              <w:spacing w:after="20" w:before="20"/>
            </w:pPr>
            <w:r>
              <w:rPr>
                <w:sz w:val="14"/>
              </w:rPr>
              <w:t>Pearson correlation between method AUCs</w:t>
            </w:r>
          </w:p>
        </w:tc>
        <w:tc>
          <w:tcPr>
            <w:tcW w:type="dxa" w:w="2599"/>
            <w:vAlign w:val="center"/>
          </w:tcPr>
          <w:p>
            <w:pPr>
              <w:spacing w:after="20" w:before="20"/>
            </w:pPr>
            <w:r>
              <w:rPr>
                <w:sz w:val="14"/>
              </w:rPr>
              <w:t>r=0.233</w:t>
            </w:r>
          </w:p>
        </w:tc>
        <w:tc>
          <w:tcPr>
            <w:tcW w:type="dxa" w:w="2599"/>
            <w:vAlign w:val="center"/>
          </w:tcPr>
          <w:p>
            <w:pPr>
              <w:spacing w:after="20" w:before="20"/>
            </w:pPr>
            <w:r>
              <w:rPr>
                <w:sz w:val="14"/>
              </w:rPr>
              <w:t>0.3859</w:t>
            </w:r>
          </w:p>
        </w:tc>
        <w:tc>
          <w:tcPr>
            <w:tcW w:type="dxa" w:w="2599"/>
            <w:vAlign w:val="center"/>
          </w:tcPr>
          <w:p>
            <w:pPr>
              <w:spacing w:after="20" w:before="20"/>
            </w:pPr>
            <w:r>
              <w:rPr>
                <w:sz w:val="14"/>
              </w:rPr>
              <w:t>Cross-row descriptive only.</w:t>
            </w:r>
          </w:p>
        </w:tc>
      </w:tr>
      <w:tr>
        <w:tc>
          <w:tcPr>
            <w:tcW w:type="dxa" w:w="2599"/>
            <w:vAlign w:val="center"/>
          </w:tcPr>
          <w:p>
            <w:pPr>
              <w:spacing w:after="20" w:before="20"/>
            </w:pPr>
            <w:r>
              <w:rPr>
                <w:sz w:val="14"/>
              </w:rPr>
              <w:t>Spearman correlation between method AUCs</w:t>
            </w:r>
          </w:p>
        </w:tc>
        <w:tc>
          <w:tcPr>
            <w:tcW w:type="dxa" w:w="2599"/>
            <w:vAlign w:val="center"/>
          </w:tcPr>
          <w:p>
            <w:pPr>
              <w:spacing w:after="20" w:before="20"/>
            </w:pPr>
            <w:r>
              <w:rPr>
                <w:sz w:val="14"/>
              </w:rPr>
              <w:t>rho=0.252</w:t>
            </w:r>
          </w:p>
        </w:tc>
        <w:tc>
          <w:tcPr>
            <w:tcW w:type="dxa" w:w="2599"/>
            <w:vAlign w:val="center"/>
          </w:tcPr>
          <w:p>
            <w:pPr>
              <w:spacing w:after="20" w:before="20"/>
            </w:pPr>
            <w:r>
              <w:rPr>
                <w:sz w:val="14"/>
              </w:rPr>
              <w:t>0.3467</w:t>
            </w:r>
          </w:p>
        </w:tc>
        <w:tc>
          <w:tcPr>
            <w:tcW w:type="dxa" w:w="2599"/>
            <w:vAlign w:val="center"/>
          </w:tcPr>
          <w:p>
            <w:pPr>
              <w:spacing w:after="20" w:before="20"/>
            </w:pPr>
            <w:r>
              <w:rPr>
                <w:sz w:val="14"/>
              </w:rPr>
              <w:t>Cross-row descriptive only.</w:t>
            </w:r>
          </w:p>
        </w:tc>
      </w:tr>
    </w:tbl>
    <w:p>
      <w:pPr>
        <w:spacing w:after="40"/>
      </w:pPr>
    </w:p>
    <w:p>
      <w:r>
        <w:t xml:space="preserve">A conventional row-level 95% t interval for the mean AUC difference is [0.030, 0.162], and leave-one-row-out mean differences range from 0.084 to 0.115. </w:t>
      </w:r>
      <w:r>
        <w:rPr>
          <w:b/>
        </w:rPr>
        <w:t>The interval is shown only as a numerical sensitivity calculation. It is not a valid patient-level confidence interval because the 16 rows are dependent repeated settings.</w:t>
      </w:r>
    </w:p>
    <w:p>
      <w:pPr>
        <w:pStyle w:val="Heading1"/>
        <w:keepNext/>
      </w:pPr>
      <w:r>
        <w:t>B. Stratified analysis by train/test relation</w:t>
      </w:r>
    </w:p>
    <w:tbl>
      <w:tblPr>
        <w:tblStyle w:val="LightShading-Accent1"/>
        <w:tblW w:type="auto" w:w="0"/>
        <w:jc w:val="center"/>
        <w:tblLook w:firstColumn="1" w:firstRow="1" w:lastColumn="0" w:lastRow="0" w:noHBand="0" w:noVBand="1" w:val="04A0"/>
      </w:tblPr>
      <w:tblGrid>
        <w:gridCol w:w="1733"/>
        <w:gridCol w:w="1733"/>
        <w:gridCol w:w="1733"/>
        <w:gridCol w:w="1733"/>
        <w:gridCol w:w="1733"/>
        <w:gridCol w:w="1733"/>
      </w:tblGrid>
      <w:tr>
        <w:trPr>
          <w:tblHeader w:val="true"/>
        </w:trPr>
        <w:tc>
          <w:tcPr>
            <w:tcW w:type="dxa" w:w="1733"/>
            <w:vAlign w:val="center"/>
            <w:shd w:fill="23385B"/>
          </w:tcPr>
          <w:p>
            <w:pPr>
              <w:spacing w:after="20" w:before="20"/>
            </w:pPr>
            <w:r>
              <w:rPr>
                <w:b/>
                <w:color w:val="FFFFFF"/>
                <w:sz w:val="14"/>
              </w:rPr>
              <w:t>Group</w:t>
            </w:r>
          </w:p>
        </w:tc>
        <w:tc>
          <w:tcPr>
            <w:tcW w:type="dxa" w:w="1733"/>
            <w:vAlign w:val="center"/>
            <w:shd w:fill="23385B"/>
          </w:tcPr>
          <w:p>
            <w:pPr>
              <w:spacing w:after="20" w:before="20"/>
            </w:pPr>
            <w:r>
              <w:rPr>
                <w:b/>
                <w:color w:val="FFFFFF"/>
                <w:sz w:val="14"/>
              </w:rPr>
              <w:t>n</w:t>
            </w:r>
          </w:p>
        </w:tc>
        <w:tc>
          <w:tcPr>
            <w:tcW w:type="dxa" w:w="1733"/>
            <w:vAlign w:val="center"/>
            <w:shd w:fill="23385B"/>
          </w:tcPr>
          <w:p>
            <w:pPr>
              <w:spacing w:after="20" w:before="20"/>
            </w:pPr>
            <w:r>
              <w:rPr>
                <w:b/>
                <w:color w:val="FFFFFF"/>
                <w:sz w:val="14"/>
              </w:rPr>
              <w:t>SSM mean AUC</w:t>
            </w:r>
          </w:p>
        </w:tc>
        <w:tc>
          <w:tcPr>
            <w:tcW w:type="dxa" w:w="1733"/>
            <w:vAlign w:val="center"/>
            <w:shd w:fill="23385B"/>
          </w:tcPr>
          <w:p>
            <w:pPr>
              <w:spacing w:after="20" w:before="20"/>
            </w:pPr>
            <w:r>
              <w:rPr>
                <w:b/>
                <w:color w:val="FFFFFF"/>
                <w:sz w:val="14"/>
              </w:rPr>
              <w:t>SVM mean AUC</w:t>
            </w:r>
          </w:p>
        </w:tc>
        <w:tc>
          <w:tcPr>
            <w:tcW w:type="dxa" w:w="1733"/>
            <w:vAlign w:val="center"/>
            <w:shd w:fill="23385B"/>
          </w:tcPr>
          <w:p>
            <w:pPr>
              <w:spacing w:after="20" w:before="20"/>
            </w:pPr>
            <w:r>
              <w:rPr>
                <w:b/>
                <w:color w:val="FFFFFF"/>
                <w:sz w:val="14"/>
              </w:rPr>
              <w:t>Mean SSM−SVM</w:t>
            </w:r>
          </w:p>
        </w:tc>
        <w:tc>
          <w:tcPr>
            <w:tcW w:type="dxa" w:w="1733"/>
            <w:vAlign w:val="center"/>
            <w:shd w:fill="23385B"/>
          </w:tcPr>
          <w:p>
            <w:pPr>
              <w:spacing w:after="20" w:before="20"/>
            </w:pPr>
            <w:r>
              <w:rPr>
                <w:b/>
                <w:color w:val="FFFFFF"/>
                <w:sz w:val="14"/>
              </w:rPr>
              <w:t>SSM wins</w:t>
            </w:r>
          </w:p>
        </w:tc>
      </w:tr>
      <w:tr>
        <w:tc>
          <w:tcPr>
            <w:tcW w:type="dxa" w:w="1733"/>
            <w:vAlign w:val="center"/>
          </w:tcPr>
          <w:p>
            <w:pPr>
              <w:spacing w:after="20" w:before="20"/>
            </w:pPr>
            <w:r>
              <w:rPr>
                <w:sz w:val="14"/>
              </w:rPr>
              <w:t>within subject</w:t>
            </w:r>
          </w:p>
        </w:tc>
        <w:tc>
          <w:tcPr>
            <w:tcW w:type="dxa" w:w="1733"/>
            <w:vAlign w:val="center"/>
          </w:tcPr>
          <w:p>
            <w:pPr>
              <w:spacing w:after="20" w:before="20"/>
            </w:pPr>
            <w:r>
              <w:rPr>
                <w:sz w:val="14"/>
              </w:rPr>
              <w:t>8</w:t>
            </w:r>
          </w:p>
        </w:tc>
        <w:tc>
          <w:tcPr>
            <w:tcW w:type="dxa" w:w="1733"/>
            <w:vAlign w:val="center"/>
          </w:tcPr>
          <w:p>
            <w:pPr>
              <w:spacing w:after="20" w:before="20"/>
            </w:pPr>
            <w:r>
              <w:rPr>
                <w:sz w:val="14"/>
              </w:rPr>
              <w:t>0.714</w:t>
            </w:r>
          </w:p>
        </w:tc>
        <w:tc>
          <w:tcPr>
            <w:tcW w:type="dxa" w:w="1733"/>
            <w:vAlign w:val="center"/>
          </w:tcPr>
          <w:p>
            <w:pPr>
              <w:spacing w:after="20" w:before="20"/>
            </w:pPr>
            <w:r>
              <w:rPr>
                <w:sz w:val="14"/>
              </w:rPr>
              <w:t>0.674</w:t>
            </w:r>
          </w:p>
        </w:tc>
        <w:tc>
          <w:tcPr>
            <w:tcW w:type="dxa" w:w="1733"/>
            <w:vAlign w:val="center"/>
          </w:tcPr>
          <w:p>
            <w:pPr>
              <w:spacing w:after="20" w:before="20"/>
            </w:pPr>
            <w:r>
              <w:rPr>
                <w:sz w:val="14"/>
              </w:rPr>
              <w:t>0.040</w:t>
            </w:r>
          </w:p>
        </w:tc>
        <w:tc>
          <w:tcPr>
            <w:tcW w:type="dxa" w:w="1733"/>
            <w:vAlign w:val="center"/>
          </w:tcPr>
          <w:p>
            <w:pPr>
              <w:spacing w:after="20" w:before="20"/>
            </w:pPr>
            <w:r>
              <w:rPr>
                <w:sz w:val="14"/>
              </w:rPr>
              <w:t>5/8</w:t>
            </w:r>
          </w:p>
        </w:tc>
      </w:tr>
      <w:tr>
        <w:tc>
          <w:tcPr>
            <w:tcW w:type="dxa" w:w="1733"/>
            <w:vAlign w:val="center"/>
          </w:tcPr>
          <w:p>
            <w:pPr>
              <w:spacing w:after="20" w:before="20"/>
            </w:pPr>
            <w:r>
              <w:rPr>
                <w:sz w:val="14"/>
              </w:rPr>
              <w:t>cross subject</w:t>
            </w:r>
          </w:p>
        </w:tc>
        <w:tc>
          <w:tcPr>
            <w:tcW w:type="dxa" w:w="1733"/>
            <w:vAlign w:val="center"/>
          </w:tcPr>
          <w:p>
            <w:pPr>
              <w:spacing w:after="20" w:before="20"/>
            </w:pPr>
            <w:r>
              <w:rPr>
                <w:sz w:val="14"/>
              </w:rPr>
              <w:t>8</w:t>
            </w:r>
          </w:p>
        </w:tc>
        <w:tc>
          <w:tcPr>
            <w:tcW w:type="dxa" w:w="1733"/>
            <w:vAlign w:val="center"/>
          </w:tcPr>
          <w:p>
            <w:pPr>
              <w:spacing w:after="20" w:before="20"/>
            </w:pPr>
            <w:r>
              <w:rPr>
                <w:sz w:val="14"/>
              </w:rPr>
              <w:t>0.708</w:t>
            </w:r>
          </w:p>
        </w:tc>
        <w:tc>
          <w:tcPr>
            <w:tcW w:type="dxa" w:w="1733"/>
            <w:vAlign w:val="center"/>
          </w:tcPr>
          <w:p>
            <w:pPr>
              <w:spacing w:after="20" w:before="20"/>
            </w:pPr>
            <w:r>
              <w:rPr>
                <w:sz w:val="14"/>
              </w:rPr>
              <w:t>0.555</w:t>
            </w:r>
          </w:p>
        </w:tc>
        <w:tc>
          <w:tcPr>
            <w:tcW w:type="dxa" w:w="1733"/>
            <w:vAlign w:val="center"/>
          </w:tcPr>
          <w:p>
            <w:pPr>
              <w:spacing w:after="20" w:before="20"/>
            </w:pPr>
            <w:r>
              <w:rPr>
                <w:sz w:val="14"/>
              </w:rPr>
              <w:t>0.152</w:t>
            </w:r>
          </w:p>
        </w:tc>
        <w:tc>
          <w:tcPr>
            <w:tcW w:type="dxa" w:w="1733"/>
            <w:vAlign w:val="center"/>
          </w:tcPr>
          <w:p>
            <w:pPr>
              <w:spacing w:after="20" w:before="20"/>
            </w:pPr>
            <w:r>
              <w:rPr>
                <w:sz w:val="14"/>
              </w:rPr>
              <w:t>8/8</w:t>
            </w:r>
          </w:p>
        </w:tc>
      </w:tr>
      <w:tr>
        <w:tc>
          <w:tcPr>
            <w:tcW w:type="dxa" w:w="1733"/>
            <w:vAlign w:val="center"/>
          </w:tcPr>
          <w:p>
            <w:pPr>
              <w:spacing w:after="20" w:before="20"/>
            </w:pPr>
            <w:r>
              <w:rPr>
                <w:sz w:val="14"/>
              </w:rPr>
              <w:t>same stimulation site modality</w:t>
            </w:r>
          </w:p>
        </w:tc>
        <w:tc>
          <w:tcPr>
            <w:tcW w:type="dxa" w:w="1733"/>
            <w:vAlign w:val="center"/>
          </w:tcPr>
          <w:p>
            <w:pPr>
              <w:spacing w:after="20" w:before="20"/>
            </w:pPr>
            <w:r>
              <w:rPr>
                <w:sz w:val="14"/>
              </w:rPr>
              <w:t>8</w:t>
            </w:r>
          </w:p>
        </w:tc>
        <w:tc>
          <w:tcPr>
            <w:tcW w:type="dxa" w:w="1733"/>
            <w:vAlign w:val="center"/>
          </w:tcPr>
          <w:p>
            <w:pPr>
              <w:spacing w:after="20" w:before="20"/>
            </w:pPr>
            <w:r>
              <w:rPr>
                <w:sz w:val="14"/>
              </w:rPr>
              <w:t>0.714</w:t>
            </w:r>
          </w:p>
        </w:tc>
        <w:tc>
          <w:tcPr>
            <w:tcW w:type="dxa" w:w="1733"/>
            <w:vAlign w:val="center"/>
          </w:tcPr>
          <w:p>
            <w:pPr>
              <w:spacing w:after="20" w:before="20"/>
            </w:pPr>
            <w:r>
              <w:rPr>
                <w:sz w:val="14"/>
              </w:rPr>
              <w:t>0.634</w:t>
            </w:r>
          </w:p>
        </w:tc>
        <w:tc>
          <w:tcPr>
            <w:tcW w:type="dxa" w:w="1733"/>
            <w:vAlign w:val="center"/>
          </w:tcPr>
          <w:p>
            <w:pPr>
              <w:spacing w:after="20" w:before="20"/>
            </w:pPr>
            <w:r>
              <w:rPr>
                <w:sz w:val="14"/>
              </w:rPr>
              <w:t>0.080</w:t>
            </w:r>
          </w:p>
        </w:tc>
        <w:tc>
          <w:tcPr>
            <w:tcW w:type="dxa" w:w="1733"/>
            <w:vAlign w:val="center"/>
          </w:tcPr>
          <w:p>
            <w:pPr>
              <w:spacing w:after="20" w:before="20"/>
            </w:pPr>
            <w:r>
              <w:rPr>
                <w:sz w:val="14"/>
              </w:rPr>
              <w:t>5/8</w:t>
            </w:r>
          </w:p>
        </w:tc>
      </w:tr>
      <w:tr>
        <w:tc>
          <w:tcPr>
            <w:tcW w:type="dxa" w:w="1733"/>
            <w:vAlign w:val="center"/>
          </w:tcPr>
          <w:p>
            <w:pPr>
              <w:spacing w:after="20" w:before="20"/>
            </w:pPr>
            <w:r>
              <w:rPr>
                <w:sz w:val="14"/>
              </w:rPr>
              <w:t>cross stimulation site modality</w:t>
            </w:r>
          </w:p>
        </w:tc>
        <w:tc>
          <w:tcPr>
            <w:tcW w:type="dxa" w:w="1733"/>
            <w:vAlign w:val="center"/>
          </w:tcPr>
          <w:p>
            <w:pPr>
              <w:spacing w:after="20" w:before="20"/>
            </w:pPr>
            <w:r>
              <w:rPr>
                <w:sz w:val="14"/>
              </w:rPr>
              <w:t>8</w:t>
            </w:r>
          </w:p>
        </w:tc>
        <w:tc>
          <w:tcPr>
            <w:tcW w:type="dxa" w:w="1733"/>
            <w:vAlign w:val="center"/>
          </w:tcPr>
          <w:p>
            <w:pPr>
              <w:spacing w:after="20" w:before="20"/>
            </w:pPr>
            <w:r>
              <w:rPr>
                <w:sz w:val="14"/>
              </w:rPr>
              <w:t>0.708</w:t>
            </w:r>
          </w:p>
        </w:tc>
        <w:tc>
          <w:tcPr>
            <w:tcW w:type="dxa" w:w="1733"/>
            <w:vAlign w:val="center"/>
          </w:tcPr>
          <w:p>
            <w:pPr>
              <w:spacing w:after="20" w:before="20"/>
            </w:pPr>
            <w:r>
              <w:rPr>
                <w:sz w:val="14"/>
              </w:rPr>
              <w:t>0.595</w:t>
            </w:r>
          </w:p>
        </w:tc>
        <w:tc>
          <w:tcPr>
            <w:tcW w:type="dxa" w:w="1733"/>
            <w:vAlign w:val="center"/>
          </w:tcPr>
          <w:p>
            <w:pPr>
              <w:spacing w:after="20" w:before="20"/>
            </w:pPr>
            <w:r>
              <w:rPr>
                <w:sz w:val="14"/>
              </w:rPr>
              <w:t>0.113</w:t>
            </w:r>
          </w:p>
        </w:tc>
        <w:tc>
          <w:tcPr>
            <w:tcW w:type="dxa" w:w="1733"/>
            <w:vAlign w:val="center"/>
          </w:tcPr>
          <w:p>
            <w:pPr>
              <w:spacing w:after="20" w:before="20"/>
            </w:pPr>
            <w:r>
              <w:rPr>
                <w:sz w:val="14"/>
              </w:rPr>
              <w:t>8/8</w:t>
            </w:r>
          </w:p>
        </w:tc>
      </w:tr>
      <w:tr>
        <w:tc>
          <w:tcPr>
            <w:tcW w:type="dxa" w:w="1733"/>
            <w:vAlign w:val="center"/>
          </w:tcPr>
          <w:p>
            <w:pPr>
              <w:spacing w:after="20" w:before="20"/>
            </w:pPr>
            <w:r>
              <w:rPr>
                <w:sz w:val="14"/>
              </w:rPr>
              <w:t>within subject and same site</w:t>
            </w:r>
          </w:p>
        </w:tc>
        <w:tc>
          <w:tcPr>
            <w:tcW w:type="dxa" w:w="1733"/>
            <w:vAlign w:val="center"/>
          </w:tcPr>
          <w:p>
            <w:pPr>
              <w:spacing w:after="20" w:before="20"/>
            </w:pPr>
            <w:r>
              <w:rPr>
                <w:sz w:val="14"/>
              </w:rPr>
              <w:t>4</w:t>
            </w:r>
          </w:p>
        </w:tc>
        <w:tc>
          <w:tcPr>
            <w:tcW w:type="dxa" w:w="1733"/>
            <w:vAlign w:val="center"/>
          </w:tcPr>
          <w:p>
            <w:pPr>
              <w:spacing w:after="20" w:before="20"/>
            </w:pPr>
            <w:r>
              <w:rPr>
                <w:sz w:val="14"/>
              </w:rPr>
              <w:t>0.720</w:t>
            </w:r>
          </w:p>
        </w:tc>
        <w:tc>
          <w:tcPr>
            <w:tcW w:type="dxa" w:w="1733"/>
            <w:vAlign w:val="center"/>
          </w:tcPr>
          <w:p>
            <w:pPr>
              <w:spacing w:after="20" w:before="20"/>
            </w:pPr>
            <w:r>
              <w:rPr>
                <w:sz w:val="14"/>
              </w:rPr>
              <w:t>0.767</w:t>
            </w:r>
          </w:p>
        </w:tc>
        <w:tc>
          <w:tcPr>
            <w:tcW w:type="dxa" w:w="1733"/>
            <w:vAlign w:val="center"/>
          </w:tcPr>
          <w:p>
            <w:pPr>
              <w:spacing w:after="20" w:before="20"/>
            </w:pPr>
            <w:r>
              <w:rPr>
                <w:sz w:val="14"/>
              </w:rPr>
              <w:t>-0.047</w:t>
            </w:r>
          </w:p>
        </w:tc>
        <w:tc>
          <w:tcPr>
            <w:tcW w:type="dxa" w:w="1733"/>
            <w:vAlign w:val="center"/>
          </w:tcPr>
          <w:p>
            <w:pPr>
              <w:spacing w:after="20" w:before="20"/>
            </w:pPr>
            <w:r>
              <w:rPr>
                <w:sz w:val="14"/>
              </w:rPr>
              <w:t>1/4</w:t>
            </w:r>
          </w:p>
        </w:tc>
      </w:tr>
      <w:tr>
        <w:tc>
          <w:tcPr>
            <w:tcW w:type="dxa" w:w="1733"/>
            <w:vAlign w:val="center"/>
          </w:tcPr>
          <w:p>
            <w:pPr>
              <w:spacing w:after="20" w:before="20"/>
            </w:pPr>
            <w:r>
              <w:rPr>
                <w:sz w:val="14"/>
              </w:rPr>
              <w:t>within subject cross site</w:t>
            </w:r>
          </w:p>
        </w:tc>
        <w:tc>
          <w:tcPr>
            <w:tcW w:type="dxa" w:w="1733"/>
            <w:vAlign w:val="center"/>
          </w:tcPr>
          <w:p>
            <w:pPr>
              <w:spacing w:after="20" w:before="20"/>
            </w:pPr>
            <w:r>
              <w:rPr>
                <w:sz w:val="14"/>
              </w:rPr>
              <w:t>4</w:t>
            </w:r>
          </w:p>
        </w:tc>
        <w:tc>
          <w:tcPr>
            <w:tcW w:type="dxa" w:w="1733"/>
            <w:vAlign w:val="center"/>
          </w:tcPr>
          <w:p>
            <w:pPr>
              <w:spacing w:after="20" w:before="20"/>
            </w:pPr>
            <w:r>
              <w:rPr>
                <w:sz w:val="14"/>
              </w:rPr>
              <w:t>0.708</w:t>
            </w:r>
          </w:p>
        </w:tc>
        <w:tc>
          <w:tcPr>
            <w:tcW w:type="dxa" w:w="1733"/>
            <w:vAlign w:val="center"/>
          </w:tcPr>
          <w:p>
            <w:pPr>
              <w:spacing w:after="20" w:before="20"/>
            </w:pPr>
            <w:r>
              <w:rPr>
                <w:sz w:val="14"/>
              </w:rPr>
              <w:t>0.580</w:t>
            </w:r>
          </w:p>
        </w:tc>
        <w:tc>
          <w:tcPr>
            <w:tcW w:type="dxa" w:w="1733"/>
            <w:vAlign w:val="center"/>
          </w:tcPr>
          <w:p>
            <w:pPr>
              <w:spacing w:after="20" w:before="20"/>
            </w:pPr>
            <w:r>
              <w:rPr>
                <w:sz w:val="14"/>
              </w:rPr>
              <w:t>0.128</w:t>
            </w:r>
          </w:p>
        </w:tc>
        <w:tc>
          <w:tcPr>
            <w:tcW w:type="dxa" w:w="1733"/>
            <w:vAlign w:val="center"/>
          </w:tcPr>
          <w:p>
            <w:pPr>
              <w:spacing w:after="20" w:before="20"/>
            </w:pPr>
            <w:r>
              <w:rPr>
                <w:sz w:val="14"/>
              </w:rPr>
              <w:t>4/4</w:t>
            </w:r>
          </w:p>
        </w:tc>
      </w:tr>
      <w:tr>
        <w:tc>
          <w:tcPr>
            <w:tcW w:type="dxa" w:w="1733"/>
            <w:vAlign w:val="center"/>
          </w:tcPr>
          <w:p>
            <w:pPr>
              <w:spacing w:after="20" w:before="20"/>
            </w:pPr>
            <w:r>
              <w:rPr>
                <w:sz w:val="14"/>
              </w:rPr>
              <w:t>cross subject same site</w:t>
            </w:r>
          </w:p>
        </w:tc>
        <w:tc>
          <w:tcPr>
            <w:tcW w:type="dxa" w:w="1733"/>
            <w:vAlign w:val="center"/>
          </w:tcPr>
          <w:p>
            <w:pPr>
              <w:spacing w:after="20" w:before="20"/>
            </w:pPr>
            <w:r>
              <w:rPr>
                <w:sz w:val="14"/>
              </w:rPr>
              <w:t>4</w:t>
            </w:r>
          </w:p>
        </w:tc>
        <w:tc>
          <w:tcPr>
            <w:tcW w:type="dxa" w:w="1733"/>
            <w:vAlign w:val="center"/>
          </w:tcPr>
          <w:p>
            <w:pPr>
              <w:spacing w:after="20" w:before="20"/>
            </w:pPr>
            <w:r>
              <w:rPr>
                <w:sz w:val="14"/>
              </w:rPr>
              <w:t>0.707</w:t>
            </w:r>
          </w:p>
        </w:tc>
        <w:tc>
          <w:tcPr>
            <w:tcW w:type="dxa" w:w="1733"/>
            <w:vAlign w:val="center"/>
          </w:tcPr>
          <w:p>
            <w:pPr>
              <w:spacing w:after="20" w:before="20"/>
            </w:pPr>
            <w:r>
              <w:rPr>
                <w:sz w:val="14"/>
              </w:rPr>
              <w:t>0.500</w:t>
            </w:r>
          </w:p>
        </w:tc>
        <w:tc>
          <w:tcPr>
            <w:tcW w:type="dxa" w:w="1733"/>
            <w:vAlign w:val="center"/>
          </w:tcPr>
          <w:p>
            <w:pPr>
              <w:spacing w:after="20" w:before="20"/>
            </w:pPr>
            <w:r>
              <w:rPr>
                <w:sz w:val="14"/>
              </w:rPr>
              <w:t>0.207</w:t>
            </w:r>
          </w:p>
        </w:tc>
        <w:tc>
          <w:tcPr>
            <w:tcW w:type="dxa" w:w="1733"/>
            <w:vAlign w:val="center"/>
          </w:tcPr>
          <w:p>
            <w:pPr>
              <w:spacing w:after="20" w:before="20"/>
            </w:pPr>
            <w:r>
              <w:rPr>
                <w:sz w:val="14"/>
              </w:rPr>
              <w:t>4/4</w:t>
            </w:r>
          </w:p>
        </w:tc>
      </w:tr>
      <w:tr>
        <w:tc>
          <w:tcPr>
            <w:tcW w:type="dxa" w:w="1733"/>
            <w:vAlign w:val="center"/>
          </w:tcPr>
          <w:p>
            <w:pPr>
              <w:spacing w:after="20" w:before="20"/>
            </w:pPr>
            <w:r>
              <w:rPr>
                <w:sz w:val="14"/>
              </w:rPr>
              <w:t>cross subject cross site</w:t>
            </w:r>
          </w:p>
        </w:tc>
        <w:tc>
          <w:tcPr>
            <w:tcW w:type="dxa" w:w="1733"/>
            <w:vAlign w:val="center"/>
          </w:tcPr>
          <w:p>
            <w:pPr>
              <w:spacing w:after="20" w:before="20"/>
            </w:pPr>
            <w:r>
              <w:rPr>
                <w:sz w:val="14"/>
              </w:rPr>
              <w:t>4</w:t>
            </w:r>
          </w:p>
        </w:tc>
        <w:tc>
          <w:tcPr>
            <w:tcW w:type="dxa" w:w="1733"/>
            <w:vAlign w:val="center"/>
          </w:tcPr>
          <w:p>
            <w:pPr>
              <w:spacing w:after="20" w:before="20"/>
            </w:pPr>
            <w:r>
              <w:rPr>
                <w:sz w:val="14"/>
              </w:rPr>
              <w:t>0.708</w:t>
            </w:r>
          </w:p>
        </w:tc>
        <w:tc>
          <w:tcPr>
            <w:tcW w:type="dxa" w:w="1733"/>
            <w:vAlign w:val="center"/>
          </w:tcPr>
          <w:p>
            <w:pPr>
              <w:spacing w:after="20" w:before="20"/>
            </w:pPr>
            <w:r>
              <w:rPr>
                <w:sz w:val="14"/>
              </w:rPr>
              <w:t>0.610</w:t>
            </w:r>
          </w:p>
        </w:tc>
        <w:tc>
          <w:tcPr>
            <w:tcW w:type="dxa" w:w="1733"/>
            <w:vAlign w:val="center"/>
          </w:tcPr>
          <w:p>
            <w:pPr>
              <w:spacing w:after="20" w:before="20"/>
            </w:pPr>
            <w:r>
              <w:rPr>
                <w:sz w:val="14"/>
              </w:rPr>
              <w:t>0.097</w:t>
            </w:r>
          </w:p>
        </w:tc>
        <w:tc>
          <w:tcPr>
            <w:tcW w:type="dxa" w:w="1733"/>
            <w:vAlign w:val="center"/>
          </w:tcPr>
          <w:p>
            <w:pPr>
              <w:spacing w:after="20" w:before="20"/>
            </w:pPr>
            <w:r>
              <w:rPr>
                <w:sz w:val="14"/>
              </w:rPr>
              <w:t>4/4</w:t>
            </w:r>
          </w:p>
        </w:tc>
      </w:tr>
    </w:tbl>
    <w:p>
      <w:pPr>
        <w:spacing w:after="40"/>
      </w:pPr>
    </w:p>
    <w:p>
      <w:r>
        <w:t>These strata are descriptive only. Each subgroup has four or eight rows, but not four/eight independent subjects. The factorized row-level CSV preserves the exact train/test labels so these summaries can be audited.</w:t>
      </w:r>
    </w:p>
    <w:p>
      <w:pPr>
        <w:pStyle w:val="Heading1"/>
        <w:keepNext/>
      </w:pPr>
      <w:r>
        <w:t>C. Source-reported findings from the separate 50-volunteer acute laser dataset</w:t>
      </w:r>
    </w:p>
    <w:p>
      <w:r>
        <w:t>The paper describes 51 recruited healthy volunteers and analyzes the motor condition for 50, with 60 laser trials in the condition and Level 3 vs Level 1 as its main binary contrast. It used source-localized responses from eight ROIs (bilateral precentral, postcentral, ACC and insula) and an SSM detection score. It did not fit a 0–10 regression model in the analysis reported here.</w:t>
      </w:r>
    </w:p>
    <w:tbl>
      <w:tblPr>
        <w:tblStyle w:val="LightShading-Accent1"/>
        <w:tblW w:type="auto" w:w="0"/>
        <w:jc w:val="center"/>
        <w:tblLook w:firstColumn="1" w:firstRow="1" w:lastColumn="0" w:lastRow="0" w:noHBand="0" w:noVBand="1" w:val="04A0"/>
      </w:tblPr>
      <w:tblGrid>
        <w:gridCol w:w="3465"/>
        <w:gridCol w:w="3465"/>
        <w:gridCol w:w="3465"/>
      </w:tblGrid>
      <w:tr>
        <w:trPr>
          <w:tblHeader w:val="true"/>
        </w:trPr>
        <w:tc>
          <w:tcPr>
            <w:tcW w:type="dxa" w:w="3465"/>
            <w:vAlign w:val="center"/>
            <w:shd w:fill="23385B"/>
          </w:tcPr>
          <w:p>
            <w:pPr>
              <w:spacing w:after="20" w:before="20"/>
            </w:pPr>
            <w:r>
              <w:rPr>
                <w:b/>
                <w:color w:val="FFFFFF"/>
                <w:sz w:val="14"/>
              </w:rPr>
              <w:t>Source-reported result</w:t>
            </w:r>
          </w:p>
        </w:tc>
        <w:tc>
          <w:tcPr>
            <w:tcW w:type="dxa" w:w="3465"/>
            <w:vAlign w:val="center"/>
            <w:shd w:fill="23385B"/>
          </w:tcPr>
          <w:p>
            <w:pPr>
              <w:spacing w:after="20" w:before="20"/>
            </w:pPr>
            <w:r>
              <w:rPr>
                <w:b/>
                <w:color w:val="FFFFFF"/>
                <w:sz w:val="14"/>
              </w:rPr>
              <w:t>Number</w:t>
            </w:r>
          </w:p>
        </w:tc>
        <w:tc>
          <w:tcPr>
            <w:tcW w:type="dxa" w:w="3465"/>
            <w:vAlign w:val="center"/>
            <w:shd w:fill="23385B"/>
          </w:tcPr>
          <w:p>
            <w:pPr>
              <w:spacing w:after="20" w:before="20"/>
            </w:pPr>
            <w:r>
              <w:rPr>
                <w:b/>
                <w:color w:val="FFFFFF"/>
                <w:sz w:val="14"/>
              </w:rPr>
              <w:t>Status and meaning</w:t>
            </w:r>
          </w:p>
        </w:tc>
      </w:tr>
      <w:tr>
        <w:tc>
          <w:tcPr>
            <w:tcW w:type="dxa" w:w="3465"/>
            <w:vAlign w:val="center"/>
          </w:tcPr>
          <w:p>
            <w:pPr>
              <w:spacing w:after="20" w:before="20"/>
            </w:pPr>
            <w:r>
              <w:rPr>
                <w:sz w:val="14"/>
              </w:rPr>
              <w:t>Group without clear evoked potentials</w:t>
            </w:r>
          </w:p>
        </w:tc>
        <w:tc>
          <w:tcPr>
            <w:tcW w:type="dxa" w:w="3465"/>
            <w:vAlign w:val="center"/>
          </w:tcPr>
          <w:p>
            <w:pPr>
              <w:spacing w:after="20" w:before="20"/>
            </w:pPr>
            <w:r>
              <w:rPr>
                <w:sz w:val="14"/>
              </w:rPr>
              <w:t>18/50</w:t>
            </w:r>
          </w:p>
        </w:tc>
        <w:tc>
          <w:tcPr>
            <w:tcW w:type="dxa" w:w="3465"/>
            <w:vAlign w:val="center"/>
          </w:tcPr>
          <w:p>
            <w:pPr>
              <w:spacing w:after="20" w:before="20"/>
            </w:pPr>
            <w:r>
              <w:rPr>
                <w:sz w:val="14"/>
              </w:rPr>
              <w:t>Reported by authors.</w:t>
            </w:r>
          </w:p>
        </w:tc>
      </w:tr>
      <w:tr>
        <w:tc>
          <w:tcPr>
            <w:tcW w:type="dxa" w:w="3465"/>
            <w:vAlign w:val="center"/>
          </w:tcPr>
          <w:p>
            <w:pPr>
              <w:spacing w:after="20" w:before="20"/>
            </w:pPr>
            <w:r>
              <w:rPr>
                <w:sz w:val="14"/>
              </w:rPr>
              <w:t>Group with clear evoked potentials</w:t>
            </w:r>
          </w:p>
        </w:tc>
        <w:tc>
          <w:tcPr>
            <w:tcW w:type="dxa" w:w="3465"/>
            <w:vAlign w:val="center"/>
          </w:tcPr>
          <w:p>
            <w:pPr>
              <w:spacing w:after="20" w:before="20"/>
            </w:pPr>
            <w:r>
              <w:rPr>
                <w:sz w:val="14"/>
              </w:rPr>
              <w:t>32/50</w:t>
            </w:r>
          </w:p>
        </w:tc>
        <w:tc>
          <w:tcPr>
            <w:tcW w:type="dxa" w:w="3465"/>
            <w:vAlign w:val="center"/>
          </w:tcPr>
          <w:p>
            <w:pPr>
              <w:spacing w:after="20" w:before="20"/>
            </w:pPr>
            <w:r>
              <w:rPr>
                <w:sz w:val="14"/>
              </w:rPr>
              <w:t>Reported by authors.</w:t>
            </w:r>
          </w:p>
        </w:tc>
      </w:tr>
      <w:tr>
        <w:tc>
          <w:tcPr>
            <w:tcW w:type="dxa" w:w="3465"/>
            <w:vAlign w:val="center"/>
          </w:tcPr>
          <w:p>
            <w:pPr>
              <w:spacing w:after="20" w:before="20"/>
            </w:pPr>
            <w:r>
              <w:rPr>
                <w:sz w:val="14"/>
              </w:rPr>
              <w:t>Mean AUC for no-clear-ERP group</w:t>
            </w:r>
          </w:p>
        </w:tc>
        <w:tc>
          <w:tcPr>
            <w:tcW w:type="dxa" w:w="3465"/>
            <w:vAlign w:val="center"/>
          </w:tcPr>
          <w:p>
            <w:pPr>
              <w:spacing w:after="20" w:before="20"/>
            </w:pPr>
            <w:r>
              <w:rPr>
                <w:sz w:val="14"/>
              </w:rPr>
              <w:t>0.49</w:t>
            </w:r>
          </w:p>
        </w:tc>
        <w:tc>
          <w:tcPr>
            <w:tcW w:type="dxa" w:w="3465"/>
            <w:vAlign w:val="center"/>
          </w:tcPr>
          <w:p>
            <w:pPr>
              <w:spacing w:after="20" w:before="20"/>
            </w:pPr>
            <w:r>
              <w:rPr>
                <w:sz w:val="14"/>
              </w:rPr>
              <w:t>Reported by authors.</w:t>
            </w:r>
          </w:p>
        </w:tc>
      </w:tr>
      <w:tr>
        <w:tc>
          <w:tcPr>
            <w:tcW w:type="dxa" w:w="3465"/>
            <w:vAlign w:val="center"/>
          </w:tcPr>
          <w:p>
            <w:pPr>
              <w:spacing w:after="20" w:before="20"/>
            </w:pPr>
            <w:r>
              <w:rPr>
                <w:sz w:val="14"/>
              </w:rPr>
              <w:t>Mean AUC for clear-ERP group</w:t>
            </w:r>
          </w:p>
        </w:tc>
        <w:tc>
          <w:tcPr>
            <w:tcW w:type="dxa" w:w="3465"/>
            <w:vAlign w:val="center"/>
          </w:tcPr>
          <w:p>
            <w:pPr>
              <w:spacing w:after="20" w:before="20"/>
            </w:pPr>
            <w:r>
              <w:rPr>
                <w:sz w:val="14"/>
              </w:rPr>
              <w:t>0.64</w:t>
            </w:r>
          </w:p>
        </w:tc>
        <w:tc>
          <w:tcPr>
            <w:tcW w:type="dxa" w:w="3465"/>
            <w:vAlign w:val="center"/>
          </w:tcPr>
          <w:p>
            <w:pPr>
              <w:spacing w:after="20" w:before="20"/>
            </w:pPr>
            <w:r>
              <w:rPr>
                <w:sz w:val="14"/>
              </w:rPr>
              <w:t>Reported by authors.</w:t>
            </w:r>
          </w:p>
        </w:tc>
      </w:tr>
      <w:tr>
        <w:tc>
          <w:tcPr>
            <w:tcW w:type="dxa" w:w="3465"/>
            <w:vAlign w:val="center"/>
          </w:tcPr>
          <w:p>
            <w:pPr>
              <w:spacing w:after="20" w:before="20"/>
            </w:pPr>
            <w:r>
              <w:rPr>
                <w:sz w:val="14"/>
              </w:rPr>
              <w:t>Group comparison p-value</w:t>
            </w:r>
          </w:p>
        </w:tc>
        <w:tc>
          <w:tcPr>
            <w:tcW w:type="dxa" w:w="3465"/>
            <w:vAlign w:val="center"/>
          </w:tcPr>
          <w:p>
            <w:pPr>
              <w:spacing w:after="20" w:before="20"/>
            </w:pPr>
            <w:r>
              <w:rPr>
                <w:sz w:val="14"/>
              </w:rPr>
              <w:t>1.9×10⁻⁵</w:t>
            </w:r>
          </w:p>
        </w:tc>
        <w:tc>
          <w:tcPr>
            <w:tcW w:type="dxa" w:w="3465"/>
            <w:vAlign w:val="center"/>
          </w:tcPr>
          <w:p>
            <w:pPr>
              <w:spacing w:after="20" w:before="20"/>
            </w:pPr>
            <w:r>
              <w:rPr>
                <w:sz w:val="14"/>
              </w:rPr>
              <w:t>Source-reported rank-sum test; see direction discrepancy below.</w:t>
            </w:r>
          </w:p>
        </w:tc>
      </w:tr>
      <w:tr>
        <w:tc>
          <w:tcPr>
            <w:tcW w:type="dxa" w:w="3465"/>
            <w:vAlign w:val="center"/>
          </w:tcPr>
          <w:p>
            <w:pPr>
              <w:spacing w:after="20" w:before="20"/>
            </w:pPr>
            <w:r>
              <w:rPr>
                <w:sz w:val="14"/>
              </w:rPr>
              <w:t>Median detection latency, Level 3</w:t>
            </w:r>
          </w:p>
        </w:tc>
        <w:tc>
          <w:tcPr>
            <w:tcW w:type="dxa" w:w="3465"/>
            <w:vAlign w:val="center"/>
          </w:tcPr>
          <w:p>
            <w:pPr>
              <w:spacing w:after="20" w:before="20"/>
            </w:pPr>
            <w:r>
              <w:rPr>
                <w:sz w:val="14"/>
              </w:rPr>
              <w:t>180 ms</w:t>
            </w:r>
          </w:p>
        </w:tc>
        <w:tc>
          <w:tcPr>
            <w:tcW w:type="dxa" w:w="3465"/>
            <w:vAlign w:val="center"/>
          </w:tcPr>
          <w:p>
            <w:pPr>
              <w:spacing w:after="20" w:before="20"/>
            </w:pPr>
            <w:r>
              <w:rPr>
                <w:sz w:val="14"/>
              </w:rPr>
              <w:t>Source-reported.</w:t>
            </w:r>
          </w:p>
        </w:tc>
      </w:tr>
      <w:tr>
        <w:tc>
          <w:tcPr>
            <w:tcW w:type="dxa" w:w="3465"/>
            <w:vAlign w:val="center"/>
          </w:tcPr>
          <w:p>
            <w:pPr>
              <w:spacing w:after="20" w:before="20"/>
            </w:pPr>
            <w:r>
              <w:rPr>
                <w:sz w:val="14"/>
              </w:rPr>
              <w:t>Median detection latency, Level 1</w:t>
            </w:r>
          </w:p>
        </w:tc>
        <w:tc>
          <w:tcPr>
            <w:tcW w:type="dxa" w:w="3465"/>
            <w:vAlign w:val="center"/>
          </w:tcPr>
          <w:p>
            <w:pPr>
              <w:spacing w:after="20" w:before="20"/>
            </w:pPr>
            <w:r>
              <w:rPr>
                <w:sz w:val="14"/>
              </w:rPr>
              <w:t>202 ms</w:t>
            </w:r>
          </w:p>
        </w:tc>
        <w:tc>
          <w:tcPr>
            <w:tcW w:type="dxa" w:w="3465"/>
            <w:vAlign w:val="center"/>
          </w:tcPr>
          <w:p>
            <w:pPr>
              <w:spacing w:after="20" w:before="20"/>
            </w:pPr>
            <w:r>
              <w:rPr>
                <w:sz w:val="14"/>
              </w:rPr>
              <w:t>Source-reported.</w:t>
            </w:r>
          </w:p>
        </w:tc>
      </w:tr>
      <w:tr>
        <w:tc>
          <w:tcPr>
            <w:tcW w:type="dxa" w:w="3465"/>
            <w:vAlign w:val="center"/>
          </w:tcPr>
          <w:p>
            <w:pPr>
              <w:spacing w:after="20" w:before="20"/>
            </w:pPr>
            <w:r>
              <w:rPr>
                <w:sz w:val="14"/>
              </w:rPr>
              <w:t>Difference between medians</w:t>
            </w:r>
          </w:p>
        </w:tc>
        <w:tc>
          <w:tcPr>
            <w:tcW w:type="dxa" w:w="3465"/>
            <w:vAlign w:val="center"/>
          </w:tcPr>
          <w:p>
            <w:pPr>
              <w:spacing w:after="20" w:before="20"/>
            </w:pPr>
            <w:r>
              <w:rPr>
                <w:sz w:val="14"/>
              </w:rPr>
              <w:t>−22 ms</w:t>
            </w:r>
          </w:p>
        </w:tc>
        <w:tc>
          <w:tcPr>
            <w:tcW w:type="dxa" w:w="3465"/>
            <w:vAlign w:val="center"/>
          </w:tcPr>
          <w:p>
            <w:pPr>
              <w:spacing w:after="20" w:before="20"/>
            </w:pPr>
            <w:r>
              <w:rPr>
                <w:sz w:val="14"/>
              </w:rPr>
              <w:t>Arithmetic difference: Level 3 shorter.</w:t>
            </w:r>
          </w:p>
        </w:tc>
      </w:tr>
      <w:tr>
        <w:tc>
          <w:tcPr>
            <w:tcW w:type="dxa" w:w="3465"/>
            <w:vAlign w:val="center"/>
          </w:tcPr>
          <w:p>
            <w:pPr>
              <w:spacing w:after="20" w:before="20"/>
            </w:pPr>
            <w:r>
              <w:rPr>
                <w:sz w:val="14"/>
              </w:rPr>
              <w:t>Latency contrast p-value</w:t>
            </w:r>
          </w:p>
        </w:tc>
        <w:tc>
          <w:tcPr>
            <w:tcW w:type="dxa" w:w="3465"/>
            <w:vAlign w:val="center"/>
          </w:tcPr>
          <w:p>
            <w:pPr>
              <w:spacing w:after="20" w:before="20"/>
            </w:pPr>
            <w:r>
              <w:rPr>
                <w:sz w:val="14"/>
              </w:rPr>
              <w:t>1.5×10⁻⁵</w:t>
            </w:r>
          </w:p>
        </w:tc>
        <w:tc>
          <w:tcPr>
            <w:tcW w:type="dxa" w:w="3465"/>
            <w:vAlign w:val="center"/>
          </w:tcPr>
          <w:p>
            <w:pPr>
              <w:spacing w:after="20" w:before="20"/>
            </w:pPr>
            <w:r>
              <w:rPr>
                <w:sz w:val="14"/>
              </w:rPr>
              <w:t>Source-reported rank-sum test.</w:t>
            </w:r>
          </w:p>
        </w:tc>
      </w:tr>
      <w:tr>
        <w:tc>
          <w:tcPr>
            <w:tcW w:type="dxa" w:w="3465"/>
            <w:vAlign w:val="center"/>
          </w:tcPr>
          <w:p>
            <w:pPr>
              <w:spacing w:after="20" w:before="20"/>
            </w:pPr>
            <w:r>
              <w:rPr>
                <w:sz w:val="14"/>
              </w:rPr>
              <w:t>Detection latency vs reaction time</w:t>
            </w:r>
          </w:p>
        </w:tc>
        <w:tc>
          <w:tcPr>
            <w:tcW w:type="dxa" w:w="3465"/>
            <w:vAlign w:val="center"/>
          </w:tcPr>
          <w:p>
            <w:pPr>
              <w:spacing w:after="20" w:before="20"/>
            </w:pPr>
            <w:r>
              <w:rPr>
                <w:sz w:val="14"/>
              </w:rPr>
              <w:t>Spearman rho=0.29, p=0.06</w:t>
            </w:r>
          </w:p>
        </w:tc>
        <w:tc>
          <w:tcPr>
            <w:tcW w:type="dxa" w:w="3465"/>
            <w:vAlign w:val="center"/>
          </w:tcPr>
          <w:p>
            <w:pPr>
              <w:spacing w:after="20" w:before="20"/>
            </w:pPr>
            <w:r>
              <w:rPr>
                <w:sz w:val="14"/>
              </w:rPr>
              <w:t>Weak association; not significant at the conventional 0.05 threshold.</w:t>
            </w:r>
          </w:p>
        </w:tc>
      </w:tr>
      <w:tr>
        <w:tc>
          <w:tcPr>
            <w:tcW w:type="dxa" w:w="3465"/>
            <w:vAlign w:val="center"/>
          </w:tcPr>
          <w:p>
            <w:pPr>
              <w:spacing w:after="20" w:before="20"/>
            </w:pPr>
            <w:r>
              <w:rPr>
                <w:sz w:val="14"/>
              </w:rPr>
              <w:t>Cross-subject SSM average AUC</w:t>
            </w:r>
          </w:p>
        </w:tc>
        <w:tc>
          <w:tcPr>
            <w:tcW w:type="dxa" w:w="3465"/>
            <w:vAlign w:val="center"/>
          </w:tcPr>
          <w:p>
            <w:pPr>
              <w:spacing w:after="20" w:before="20"/>
            </w:pPr>
            <w:r>
              <w:rPr>
                <w:sz w:val="14"/>
              </w:rPr>
              <w:t>0.62</w:t>
            </w:r>
          </w:p>
        </w:tc>
        <w:tc>
          <w:tcPr>
            <w:tcW w:type="dxa" w:w="3465"/>
            <w:vAlign w:val="center"/>
          </w:tcPr>
          <w:p>
            <w:pPr>
              <w:spacing w:after="20" w:before="20"/>
            </w:pPr>
            <w:r>
              <w:rPr>
                <w:sz w:val="14"/>
              </w:rPr>
              <w:t>Source-reported; comparable to within-subject average AUC 0.64.</w:t>
            </w:r>
          </w:p>
        </w:tc>
      </w:tr>
      <w:tr>
        <w:tc>
          <w:tcPr>
            <w:tcW w:type="dxa" w:w="3465"/>
            <w:vAlign w:val="center"/>
          </w:tcPr>
          <w:p>
            <w:pPr>
              <w:spacing w:after="20" w:before="20"/>
            </w:pPr>
            <w:r>
              <w:rPr>
                <w:sz w:val="14"/>
              </w:rPr>
              <w:t>Selected cross-subject model tests</w:t>
            </w:r>
          </w:p>
        </w:tc>
        <w:tc>
          <w:tcPr>
            <w:tcW w:type="dxa" w:w="3465"/>
            <w:vAlign w:val="center"/>
          </w:tcPr>
          <w:p>
            <w:pPr>
              <w:spacing w:after="20" w:before="20"/>
            </w:pPr>
            <w:r>
              <w:rPr>
                <w:sz w:val="14"/>
              </w:rPr>
              <w:t>16 subjects with AUC&gt;0.65</w:t>
            </w:r>
          </w:p>
        </w:tc>
        <w:tc>
          <w:tcPr>
            <w:tcW w:type="dxa" w:w="3465"/>
            <w:vAlign w:val="center"/>
          </w:tcPr>
          <w:p>
            <w:pPr>
              <w:spacing w:after="20" w:before="20"/>
            </w:pPr>
            <w:r>
              <w:rPr>
                <w:sz w:val="14"/>
              </w:rPr>
              <w:t>Reported for best of seven models selected from higher-performing subjects; possible selection optimism.</w:t>
            </w:r>
          </w:p>
        </w:tc>
      </w:tr>
      <w:tr>
        <w:tc>
          <w:tcPr>
            <w:tcW w:type="dxa" w:w="3465"/>
            <w:vAlign w:val="center"/>
          </w:tcPr>
          <w:p>
            <w:pPr>
              <w:spacing w:after="20" w:before="20"/>
            </w:pPr>
            <w:r>
              <w:rPr>
                <w:sz w:val="14"/>
              </w:rPr>
              <w:t>Contralateral ROI latency tests</w:t>
            </w:r>
          </w:p>
        </w:tc>
        <w:tc>
          <w:tcPr>
            <w:tcW w:type="dxa" w:w="3465"/>
            <w:vAlign w:val="center"/>
          </w:tcPr>
          <w:p>
            <w:pPr>
              <w:spacing w:after="20" w:before="20"/>
            </w:pPr>
            <w:r>
              <w:rPr>
                <w:sz w:val="14"/>
              </w:rPr>
              <w:t>ACC–M1 p=1.2×10⁻⁵; S1–M1 p=0.02; ACC–insula p=5×10⁻⁴</w:t>
            </w:r>
          </w:p>
        </w:tc>
        <w:tc>
          <w:tcPr>
            <w:tcW w:type="dxa" w:w="3465"/>
            <w:vAlign w:val="center"/>
          </w:tcPr>
          <w:p>
            <w:pPr>
              <w:spacing w:after="20" w:before="20"/>
            </w:pPr>
            <w:r>
              <w:rPr>
                <w:sz w:val="14"/>
              </w:rPr>
              <w:t>Source-reported rank-sum results; not pain-intensity model validation.</w:t>
            </w:r>
          </w:p>
        </w:tc>
      </w:tr>
    </w:tbl>
    <w:p>
      <w:pPr>
        <w:spacing w:after="40"/>
      </w:pPr>
    </w:p>
    <w:p>
      <w:r>
        <w:rPr>
          <w:b/>
        </w:rPr>
        <w:t>Source inconsistency requiring attention:</w:t>
      </w:r>
      <w:r>
        <w:t xml:space="preserve"> the Results text says the clear-ERP group AUC was higher than the no-clear-ERP group (means 0.64 vs 0.49), but the Figure 3 caption says AUC was greater in Group 1 than Group 2 while also listing means 0.49 and 0.64. I have preserved and flagged the contradiction instead of silently choosing one direction. The paper's figure or source data should resolve it before this result is used.</w:t>
      </w:r>
    </w:p>
    <w:p>
      <w:pPr>
        <w:pStyle w:val="Heading1"/>
        <w:keepNext/>
      </w:pPr>
      <w:r>
        <w:t>D. Published acute-stimulus ratings from two chronic-pain patients</w:t>
      </w:r>
    </w:p>
    <w:tbl>
      <w:tblPr>
        <w:tblStyle w:val="LightShading-Accent1"/>
        <w:tblW w:type="auto" w:w="0"/>
        <w:jc w:val="center"/>
        <w:tblLook w:firstColumn="1" w:firstRow="1" w:lastColumn="0" w:lastRow="0" w:noHBand="0" w:noVBand="1" w:val="04A0"/>
      </w:tblPr>
      <w:tblGrid>
        <w:gridCol w:w="2599"/>
        <w:gridCol w:w="2599"/>
        <w:gridCol w:w="2599"/>
        <w:gridCol w:w="2599"/>
      </w:tblGrid>
      <w:tr>
        <w:trPr>
          <w:tblHeader w:val="true"/>
        </w:trPr>
        <w:tc>
          <w:tcPr>
            <w:tcW w:type="dxa" w:w="2599"/>
            <w:vAlign w:val="center"/>
            <w:shd w:fill="23385B"/>
          </w:tcPr>
          <w:p>
            <w:pPr>
              <w:spacing w:after="20" w:before="20"/>
            </w:pPr>
            <w:r>
              <w:rPr>
                <w:b/>
                <w:color w:val="FFFFFF"/>
                <w:sz w:val="14"/>
              </w:rPr>
              <w:t>Patient/site</w:t>
            </w:r>
          </w:p>
        </w:tc>
        <w:tc>
          <w:tcPr>
            <w:tcW w:type="dxa" w:w="2599"/>
            <w:vAlign w:val="center"/>
            <w:shd w:fill="23385B"/>
          </w:tcPr>
          <w:p>
            <w:pPr>
              <w:spacing w:after="20" w:before="20"/>
            </w:pPr>
            <w:r>
              <w:rPr>
                <w:b/>
                <w:color w:val="FFFFFF"/>
                <w:sz w:val="14"/>
              </w:rPr>
              <w:t>Painful pinprick median NRS (IQR)</w:t>
            </w:r>
          </w:p>
        </w:tc>
        <w:tc>
          <w:tcPr>
            <w:tcW w:type="dxa" w:w="2599"/>
            <w:vAlign w:val="center"/>
            <w:shd w:fill="23385B"/>
          </w:tcPr>
          <w:p>
            <w:pPr>
              <w:spacing w:after="20" w:before="20"/>
            </w:pPr>
            <w:r>
              <w:rPr>
                <w:b/>
                <w:color w:val="FFFFFF"/>
                <w:sz w:val="14"/>
              </w:rPr>
              <w:t>Non-painful monofilament median NRS (IQR)</w:t>
            </w:r>
          </w:p>
        </w:tc>
        <w:tc>
          <w:tcPr>
            <w:tcW w:type="dxa" w:w="2599"/>
            <w:vAlign w:val="center"/>
            <w:shd w:fill="23385B"/>
          </w:tcPr>
          <w:p>
            <w:pPr>
              <w:spacing w:after="20" w:before="20"/>
            </w:pPr>
            <w:r>
              <w:rPr>
                <w:b/>
                <w:color w:val="FFFFFF"/>
                <w:sz w:val="14"/>
              </w:rPr>
              <w:t>Difference in published medians</w:t>
            </w:r>
          </w:p>
        </w:tc>
      </w:tr>
      <w:tr>
        <w:tc>
          <w:tcPr>
            <w:tcW w:type="dxa" w:w="2599"/>
            <w:vAlign w:val="center"/>
          </w:tcPr>
          <w:p>
            <w:pPr>
              <w:spacing w:after="20" w:before="20"/>
            </w:pPr>
            <w:r>
              <w:rPr>
                <w:sz w:val="14"/>
              </w:rPr>
              <w:t>Patient 1, hand</w:t>
            </w:r>
          </w:p>
        </w:tc>
        <w:tc>
          <w:tcPr>
            <w:tcW w:type="dxa" w:w="2599"/>
            <w:vAlign w:val="center"/>
          </w:tcPr>
          <w:p>
            <w:pPr>
              <w:spacing w:after="20" w:before="20"/>
            </w:pPr>
            <w:r>
              <w:rPr>
                <w:sz w:val="14"/>
              </w:rPr>
              <w:t>1 (1,1)</w:t>
            </w:r>
          </w:p>
        </w:tc>
        <w:tc>
          <w:tcPr>
            <w:tcW w:type="dxa" w:w="2599"/>
            <w:vAlign w:val="center"/>
          </w:tcPr>
          <w:p>
            <w:pPr>
              <w:spacing w:after="20" w:before="20"/>
            </w:pPr>
            <w:r>
              <w:rPr>
                <w:sz w:val="14"/>
              </w:rPr>
              <w:t>1 (1,1)</w:t>
            </w:r>
          </w:p>
        </w:tc>
        <w:tc>
          <w:tcPr>
            <w:tcW w:type="dxa" w:w="2599"/>
            <w:vAlign w:val="center"/>
          </w:tcPr>
          <w:p>
            <w:pPr>
              <w:spacing w:after="20" w:before="20"/>
            </w:pPr>
            <w:r>
              <w:rPr>
                <w:sz w:val="14"/>
              </w:rPr>
              <w:t>0.0</w:t>
            </w:r>
          </w:p>
        </w:tc>
      </w:tr>
      <w:tr>
        <w:tc>
          <w:tcPr>
            <w:tcW w:type="dxa" w:w="2599"/>
            <w:vAlign w:val="center"/>
          </w:tcPr>
          <w:p>
            <w:pPr>
              <w:spacing w:after="20" w:before="20"/>
            </w:pPr>
            <w:r>
              <w:rPr>
                <w:sz w:val="14"/>
              </w:rPr>
              <w:t>Patient 1, back</w:t>
            </w:r>
          </w:p>
        </w:tc>
        <w:tc>
          <w:tcPr>
            <w:tcW w:type="dxa" w:w="2599"/>
            <w:vAlign w:val="center"/>
          </w:tcPr>
          <w:p>
            <w:pPr>
              <w:spacing w:after="20" w:before="20"/>
            </w:pPr>
            <w:r>
              <w:rPr>
                <w:sz w:val="14"/>
              </w:rPr>
              <w:t>1.5 (1,2)</w:t>
            </w:r>
          </w:p>
        </w:tc>
        <w:tc>
          <w:tcPr>
            <w:tcW w:type="dxa" w:w="2599"/>
            <w:vAlign w:val="center"/>
          </w:tcPr>
          <w:p>
            <w:pPr>
              <w:spacing w:after="20" w:before="20"/>
            </w:pPr>
            <w:r>
              <w:rPr>
                <w:sz w:val="14"/>
              </w:rPr>
              <w:t>1 (1,1)</w:t>
            </w:r>
          </w:p>
        </w:tc>
        <w:tc>
          <w:tcPr>
            <w:tcW w:type="dxa" w:w="2599"/>
            <w:vAlign w:val="center"/>
          </w:tcPr>
          <w:p>
            <w:pPr>
              <w:spacing w:after="20" w:before="20"/>
            </w:pPr>
            <w:r>
              <w:rPr>
                <w:sz w:val="14"/>
              </w:rPr>
              <w:t>+0.5</w:t>
            </w:r>
          </w:p>
        </w:tc>
      </w:tr>
      <w:tr>
        <w:tc>
          <w:tcPr>
            <w:tcW w:type="dxa" w:w="2599"/>
            <w:vAlign w:val="center"/>
          </w:tcPr>
          <w:p>
            <w:pPr>
              <w:spacing w:after="20" w:before="20"/>
            </w:pPr>
            <w:r>
              <w:rPr>
                <w:sz w:val="14"/>
              </w:rPr>
              <w:t>Patient 2, hand</w:t>
            </w:r>
          </w:p>
        </w:tc>
        <w:tc>
          <w:tcPr>
            <w:tcW w:type="dxa" w:w="2599"/>
            <w:vAlign w:val="center"/>
          </w:tcPr>
          <w:p>
            <w:pPr>
              <w:spacing w:after="20" w:before="20"/>
            </w:pPr>
            <w:r>
              <w:rPr>
                <w:sz w:val="14"/>
              </w:rPr>
              <w:t>3 (2,4)</w:t>
            </w:r>
          </w:p>
        </w:tc>
        <w:tc>
          <w:tcPr>
            <w:tcW w:type="dxa" w:w="2599"/>
            <w:vAlign w:val="center"/>
          </w:tcPr>
          <w:p>
            <w:pPr>
              <w:spacing w:after="20" w:before="20"/>
            </w:pPr>
            <w:r>
              <w:rPr>
                <w:sz w:val="14"/>
              </w:rPr>
              <w:t>2 (1,2)</w:t>
            </w:r>
          </w:p>
        </w:tc>
        <w:tc>
          <w:tcPr>
            <w:tcW w:type="dxa" w:w="2599"/>
            <w:vAlign w:val="center"/>
          </w:tcPr>
          <w:p>
            <w:pPr>
              <w:spacing w:after="20" w:before="20"/>
            </w:pPr>
            <w:r>
              <w:rPr>
                <w:sz w:val="14"/>
              </w:rPr>
              <w:t>+1.0</w:t>
            </w:r>
          </w:p>
        </w:tc>
      </w:tr>
      <w:tr>
        <w:tc>
          <w:tcPr>
            <w:tcW w:type="dxa" w:w="2599"/>
            <w:vAlign w:val="center"/>
          </w:tcPr>
          <w:p>
            <w:pPr>
              <w:spacing w:after="20" w:before="20"/>
            </w:pPr>
            <w:r>
              <w:rPr>
                <w:sz w:val="14"/>
              </w:rPr>
              <w:t>Patient 2, back</w:t>
            </w:r>
          </w:p>
        </w:tc>
        <w:tc>
          <w:tcPr>
            <w:tcW w:type="dxa" w:w="2599"/>
            <w:vAlign w:val="center"/>
          </w:tcPr>
          <w:p>
            <w:pPr>
              <w:spacing w:after="20" w:before="20"/>
            </w:pPr>
            <w:r>
              <w:rPr>
                <w:sz w:val="14"/>
              </w:rPr>
              <w:t>4 (3,5)</w:t>
            </w:r>
          </w:p>
        </w:tc>
        <w:tc>
          <w:tcPr>
            <w:tcW w:type="dxa" w:w="2599"/>
            <w:vAlign w:val="center"/>
          </w:tcPr>
          <w:p>
            <w:pPr>
              <w:spacing w:after="20" w:before="20"/>
            </w:pPr>
            <w:r>
              <w:rPr>
                <w:sz w:val="14"/>
              </w:rPr>
              <w:t>2 (2,3)</w:t>
            </w:r>
          </w:p>
        </w:tc>
        <w:tc>
          <w:tcPr>
            <w:tcW w:type="dxa" w:w="2599"/>
            <w:vAlign w:val="center"/>
          </w:tcPr>
          <w:p>
            <w:pPr>
              <w:spacing w:after="20" w:before="20"/>
            </w:pPr>
            <w:r>
              <w:rPr>
                <w:sz w:val="14"/>
              </w:rPr>
              <w:t>+2.0</w:t>
            </w:r>
          </w:p>
        </w:tc>
      </w:tr>
    </w:tbl>
    <w:p>
      <w:pPr>
        <w:spacing w:after="40"/>
      </w:pPr>
    </w:p>
    <w:p>
      <w:r>
        <w:t>Across these four aggregate contrasts the mean of the four median differences is 0.875 and the median is 0.75; three contrasts are positive, one is tied and none negative. These calculations summarize published medians only. They are not based on individual trial ratings, and no p-value is appropriate for such tiny, dependent aggregate summaries. Notice that Patient 1's hand median was identical for painful and non-painful stimulation, which cautions against using stimulus category alone as the intensity label.</w:t>
      </w:r>
    </w:p>
    <w:p>
      <w:pPr>
        <w:pStyle w:val="Heading1"/>
        <w:keepNext/>
      </w:pPr>
      <w:r>
        <w:t>E. Larger dataset available for proper 0–10 scale validation — not processed</w:t>
      </w:r>
    </w:p>
    <w:p>
      <w:r>
        <w:t>The 2025 laser-evoked-potential data descriptor reports raw BIDS EEG and single-trial pain ratings across nine experiments and 678 healthy participants. It reports increasing LEP responses with stimulus intensity and perceived pain ratings, and provides data through OpenNeuro plus preprocessed MATLAB derivatives. This is strong rationale for the next validation step but is not a substitute for fitting and testing a formula.</w:t>
      </w:r>
    </w:p>
    <w:p>
      <w:r>
        <w:t xml:space="preserve">One accessible experiment, ds005293 / “95 By BP”, reports 95 participants, 60 EEG channels, 80 planned trials each, and four target pain-rating levels (NRS 2, 4, 6, 8) crossed with left/right hand, ten trials per condition. That design could test ordinal ordering, within-person trend, held-out-subject performance and calibration, once the recordings and trial-level events are processed. The 80×95=7,600 is a </w:t>
      </w:r>
      <w:r>
        <w:rPr>
          <w:b/>
        </w:rPr>
        <w:t>planned design count</w:t>
      </w:r>
      <w:r>
        <w:t>, not a verified post-QC number of usable trials.</w:t>
      </w:r>
    </w:p>
    <w:p>
      <w:pPr>
        <w:pStyle w:val="Heading1"/>
        <w:keepNext/>
      </w:pPr>
      <w:r>
        <w:t>F. Test execution register</w:t>
      </w:r>
    </w:p>
    <w:p>
      <w:r>
        <w:t xml:space="preserve">See </w:t>
      </w:r>
      <w:r>
        <w:rPr>
          <w:rFonts w:ascii="Consolas" w:hAnsi="Consolas"/>
          <w:sz w:val="16"/>
        </w:rPr>
        <w:t>acute_validation_test_registry.csv</w:t>
      </w:r>
      <w:r>
        <w:t xml:space="preserve"> for the row-by-row ledger. Main states are:</w:t>
      </w:r>
    </w:p>
    <w:p>
      <w:pPr>
        <w:pStyle w:val="ListBullet"/>
      </w:pPr>
      <w:r>
        <w:rPr>
          <w:rFonts w:ascii="Consolas" w:hAnsi="Consolas"/>
          <w:sz w:val="16"/>
        </w:rPr>
        <w:t>COMPUTED_FROM_PUBLISHED_TABLE</w:t>
      </w:r>
      <w:r>
        <w:t>: calculations run on values printed by the source paper.</w:t>
      </w:r>
    </w:p>
    <w:p>
      <w:pPr>
        <w:pStyle w:val="ListBullet"/>
      </w:pPr>
      <w:r>
        <w:rPr>
          <w:rFonts w:ascii="Consolas" w:hAnsi="Consolas"/>
          <w:sz w:val="16"/>
        </w:rPr>
        <w:t>REPORTED_BY_AUTHORS_NOT_RECOMPUTED</w:t>
      </w:r>
      <w:r>
        <w:t>: exact source-reported statistics that cannot be independently reproduced without raw trials.</w:t>
      </w:r>
    </w:p>
    <w:p>
      <w:pPr>
        <w:pStyle w:val="ListBullet"/>
      </w:pPr>
      <w:r>
        <w:rPr>
          <w:rFonts w:ascii="Consolas" w:hAnsi="Consolas"/>
          <w:sz w:val="16"/>
        </w:rPr>
        <w:t>DESCRIPTIVE_ONLY</w:t>
      </w:r>
      <w:r>
        <w:t xml:space="preserve"> / </w:t>
      </w:r>
      <w:r>
        <w:rPr>
          <w:rFonts w:ascii="Consolas" w:hAnsi="Consolas"/>
          <w:sz w:val="16"/>
        </w:rPr>
        <w:t>EXPLORATORY_ONLY</w:t>
      </w:r>
      <w:r>
        <w:t>: arithmetic on repeated configuration rows or aggregate median contrasts; no population inference.</w:t>
      </w:r>
    </w:p>
    <w:p>
      <w:pPr>
        <w:pStyle w:val="ListBullet"/>
      </w:pPr>
      <w:r>
        <w:rPr>
          <w:rFonts w:ascii="Consolas" w:hAnsi="Consolas"/>
          <w:sz w:val="16"/>
        </w:rPr>
        <w:t>NOT_RUN</w:t>
      </w:r>
      <w:r>
        <w:t>: analyses requiring participant-level EEG, trial-level labels or fitted out-of-sample predictions.</w:t>
      </w:r>
    </w:p>
    <w:p>
      <w:pPr>
        <w:pStyle w:val="Heading1"/>
        <w:keepNext/>
      </w:pPr>
      <w:r>
        <w:t>G. Formula-level validations still not run</w:t>
      </w:r>
    </w:p>
    <w:p>
      <w:r>
        <w:t>F0–F14 pain-intensity estimators require feature rows such as alpha/beta/theta power, ERP N2/P2 amplitudes, envelope or spatiotemporal features paired to actual per-trial NRS. None can be assessed using a table of binary detection AUCs. The key tests still pending are:</w:t>
      </w:r>
    </w:p>
    <w:p>
      <w:pPr>
        <w:pStyle w:val="ListBullet"/>
      </w:pPr>
      <w:r>
        <w:t>Participant-grouped out-of-fold MAE/RMSE/R² and calibration for 0–10 scores.</w:t>
      </w:r>
    </w:p>
    <w:p>
      <w:pPr>
        <w:pStyle w:val="ListBullet"/>
      </w:pPr>
      <w:r>
        <w:t>Ordinal discrimination and calibration for ordered NRS targets.</w:t>
      </w:r>
    </w:p>
    <w:p>
      <w:pPr>
        <w:pStyle w:val="ListBullet"/>
      </w:pPr>
      <w:r>
        <w:t>Within-participant Spearman/Kendall trend across actual rating levels, with subject-level uncertainty.</w:t>
      </w:r>
    </w:p>
    <w:p>
      <w:pPr>
        <w:pStyle w:val="ListBullet"/>
      </w:pPr>
      <w:r>
        <w:t>Participant-cluster bootstrap confidence intervals for model differences.</w:t>
      </w:r>
    </w:p>
    <w:p>
      <w:pPr>
        <w:pStyle w:val="ListBullet"/>
      </w:pPr>
      <w:r>
        <w:t>Permutation tests shuffling labels within subjects while preserving design structure.</w:t>
      </w:r>
    </w:p>
    <w:p>
      <w:pPr>
        <w:pStyle w:val="ListBullet"/>
      </w:pPr>
      <w:r>
        <w:t>Temporal holdout and drift checks for repeated trials.</w:t>
      </w:r>
    </w:p>
    <w:p>
      <w:pPr>
        <w:pStyle w:val="ListBullet"/>
      </w:pPr>
      <w:r>
        <w:t>Cross-dataset locked validation across different EEG systems/montages.</w:t>
      </w:r>
    </w:p>
    <w:p>
      <w:pPr>
        <w:pStyle w:val="ListBullet"/>
      </w:pPr>
      <w:r>
        <w:t>Feature ablation and artifact/EMG sensitivity.</w:t>
      </w:r>
    </w:p>
    <w:p>
      <w:pPr>
        <w:pStyle w:val="ListBullet"/>
      </w:pPr>
      <w:r>
        <w:t>Demographic subgroup performance and uncertainty where recorded and adequately powered.</w:t>
      </w:r>
    </w:p>
    <w:p>
      <w:pPr>
        <w:pStyle w:val="ListBullet"/>
      </w:pPr>
      <w:r>
        <w:t>Test-retest reliability and calibration stability if repeated sessions are available.</w:t>
      </w:r>
    </w:p>
    <w:p>
      <w:r>
        <w:rPr>
          <w:b/>
        </w:rPr>
        <w:t>No coefficients, p-values or accuracy scores for these intensity estimators have been fabricated.</w:t>
      </w:r>
      <w:r>
        <w:t xml:space="preserve"> The reason they remain unrun is recorded in the access log: this environment failed DNS resolution for external data hosts, and no raw EEG file was available locally. A working data connection or uploaded raw/preprocessed dataset is required to complete these model validations.</w:t>
      </w:r>
    </w:p>
    <w:p>
      <w:pPr>
        <w:pStyle w:val="Heading1"/>
        <w:keepNext/>
      </w:pPr>
      <w:r>
        <w:t>References</w:t>
      </w:r>
    </w:p>
    <w:p>
      <w:pPr>
        <w:pStyle w:val="ListBullet"/>
      </w:pPr>
      <w:r>
        <w:t xml:space="preserve">Sun G, Wen Z, Ok D, Doan L, Wang J, Chen ZS. </w:t>
      </w:r>
      <w:r>
        <w:rPr>
          <w:i/>
        </w:rPr>
        <w:t>Detecting acute pain signals from human EEG</w:t>
      </w:r>
      <w:r>
        <w:t>. Journal of Neuroscience Methods. 2020;347:108964. https://pmc.ncbi.nlm.nih.gov/articles/PMC7744433/</w:t>
      </w:r>
    </w:p>
    <w:p>
      <w:pPr>
        <w:pStyle w:val="ListBullet"/>
      </w:pPr>
      <w:r>
        <w:t xml:space="preserve">Zhao X et al. </w:t>
      </w:r>
      <w:r>
        <w:rPr>
          <w:i/>
        </w:rPr>
        <w:t>A comprehensive EEG dataset of laser-evoked potentials for pain research</w:t>
      </w:r>
      <w:r>
        <w:t>. Scientific Data. 2025;12:1536. https://pmc.ncbi.nlm.nih.gov/articles/PMC12405539/</w:t>
      </w:r>
    </w:p>
    <w:p>
      <w:pPr>
        <w:pStyle w:val="ListBullet"/>
      </w:pPr>
      <w:r>
        <w:t>OpenNeuro/NEMAR ds005293, “95 By BP”: https://nemar.org/dataset/on005293</w:t>
      </w:r>
    </w:p>
    <w:p>
      <w:pPr>
        <w:pStyle w:val="ListBullet"/>
      </w:pPr>
      <w:r>
        <w:t>OpenNeuro/NEMAR ds005291, “65 By ANT”: https://nemar.org/dataset/on005291</w:t>
      </w:r>
    </w:p>
    <w:sectPr w:rsidR="00FC693F" w:rsidRPr="0006063C" w:rsidSect="00034616">
      <w:headerReference w:type="default" r:id="rId9"/>
      <w:footerReference w:type="default" r:id="rId10"/>
      <w:pgSz w:w="12240" w:h="15840"/>
      <w:pgMar w:top="893" w:right="922" w:bottom="893"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Published metric reanalysis only; no raw EEG formula validation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EEG-ONLY PAIN SCALE  |  ACUTE-DATA VALIDATION LEDGER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3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338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acute-pain EEG validation ledger</dc:title>
  <dc:subject>Published acute-pain EEG results and formula-validation status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