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3456"/>
          <w:sz w:val="48"/>
        </w:rPr>
        <w:t>EEG Pain Scale Project</w:t>
      </w:r>
    </w:p>
    <w:p>
      <w:pPr>
        <w:jc w:val="center"/>
      </w:pPr>
      <w:r>
        <w:rPr>
          <w:color w:val="385987"/>
          <w:sz w:val="30"/>
        </w:rPr>
        <w:t>Empirical acute-pain EEG benchmark reanalysis</w:t>
      </w:r>
    </w:p>
    <w:p>
      <w:pPr>
        <w:jc w:val="center"/>
      </w:pPr>
      <w:r>
        <w:rPr>
          <w:i/>
          <w:sz w:val="18"/>
        </w:rPr>
        <w:t>Evidence audit • reproducible statistics • validation boundary</w:t>
      </w:r>
    </w:p>
    <w:p>
      <w:r>
        <w:rPr>
          <w:b/>
          <w:color w:val="A03C1E"/>
        </w:rPr>
        <w:t xml:space="preserve">Critical status: </w:t>
      </w:r>
      <w:r>
        <w:t>This report reanalyzes actual numerical results printed in a published EEG paper. It does not claim that the project’s proposed 0–10 pain-intensity formulae were fitted to raw EEG, because the raw files and paired trial-level features could not be retrieved into this runtime.</w:t>
      </w:r>
    </w:p>
    <w:p>
      <w:pPr>
        <w:pStyle w:val="Heading1"/>
      </w:pPr>
      <w:r>
        <w:t>1. Source dataset and analysis scope</w:t>
      </w:r>
    </w:p>
    <w:p>
      <w:r>
        <w:t>Sun et al. (2020) describe an EEG study of acute pain-signal detection. The first dataset analysis used 50 healthy participants from a dataset that originally recruited 51 people. A second dataset comprised two people with chronic back pain who received painful pinprick and non-painful monofilament stimulation at the hand and back. The published work used source-localized EEG, time-frequency features, and two detection approaches: an unsupervised state-space model (SSM) and a linear support-vector machine (SVM).</w:t>
      </w:r>
    </w:p>
    <w:p>
      <w:r>
        <w:t>The reproducible numeric reanalysis uses the 16 rounded train/test configurations in Table 2 of the paper. These are not 16 independent participants: they are repeated cross-subject/cross-modality configurations from two patients. The raw figures are recorded in published_table2_performance_rows.csv. Pain-rating summaries from the same paper are recorded in published_patient_nrs_summary.csv.</w:t>
      </w:r>
    </w:p>
    <w:p>
      <w:r>
        <w:t>Primary source: https://pmc.ncbi.nlm.nih.gov/articles/PMC7744433/ . The first-cohort public dataset cited by the paper is https://osf.io/bsv86/ .</w:t>
      </w:r>
    </w:p>
    <w:p>
      <w:pPr>
        <w:pStyle w:val="Heading1"/>
      </w:pPr>
      <w:r>
        <w:t>2. Reanalysis of the 16 published benchmark rows</w:t>
      </w:r>
    </w:p>
    <w:tbl>
      <w:tblPr>
        <w:tblStyle w:val="LightShading-Accent1"/>
        <w:tblW w:type="auto" w:w="0"/>
        <w:jc w:val="center"/>
        <w:tblLook w:firstColumn="1" w:firstRow="1" w:lastColumn="0" w:lastRow="0" w:noHBand="0" w:noVBand="1" w:val="04A0"/>
      </w:tblPr>
      <w:tblGrid>
        <w:gridCol w:w="2045"/>
        <w:gridCol w:w="2045"/>
        <w:gridCol w:w="2045"/>
        <w:gridCol w:w="2045"/>
        <w:gridCol w:w="2045"/>
      </w:tblGrid>
      <w:tr>
        <w:tc>
          <w:tcPr>
            <w:tcW w:type="dxa" w:w="3816"/>
            <w:vAlign w:val="center"/>
            <w:shd w:fill="23385B"/>
          </w:tcPr>
          <w:p>
            <w:pPr>
              <w:spacing w:after="0"/>
            </w:pPr>
            <w:r/>
            <w:r>
              <w:rPr>
                <w:b/>
                <w:color w:val="FFFFFF"/>
                <w:sz w:val="16"/>
              </w:rPr>
              <w:t>Reported metric</w:t>
            </w:r>
          </w:p>
        </w:tc>
        <w:tc>
          <w:tcPr>
            <w:tcW w:type="dxa" w:w="1152"/>
            <w:vAlign w:val="center"/>
            <w:shd w:fill="23385B"/>
          </w:tcPr>
          <w:p>
            <w:pPr>
              <w:spacing w:after="0"/>
            </w:pPr>
            <w:r/>
            <w:r>
              <w:rPr>
                <w:b/>
                <w:color w:val="FFFFFF"/>
                <w:sz w:val="16"/>
              </w:rPr>
              <w:t>Mean</w:t>
            </w:r>
          </w:p>
        </w:tc>
        <w:tc>
          <w:tcPr>
            <w:tcW w:type="dxa" w:w="1152"/>
            <w:vAlign w:val="center"/>
            <w:shd w:fill="23385B"/>
          </w:tcPr>
          <w:p>
            <w:pPr>
              <w:spacing w:after="0"/>
            </w:pPr>
            <w:r/>
            <w:r>
              <w:rPr>
                <w:b/>
                <w:color w:val="FFFFFF"/>
                <w:sz w:val="16"/>
              </w:rPr>
              <w:t>SD</w:t>
            </w:r>
          </w:p>
        </w:tc>
        <w:tc>
          <w:tcPr>
            <w:tcW w:type="dxa" w:w="1152"/>
            <w:vAlign w:val="center"/>
            <w:shd w:fill="23385B"/>
          </w:tcPr>
          <w:p>
            <w:pPr>
              <w:spacing w:after="0"/>
            </w:pPr>
            <w:r/>
            <w:r>
              <w:rPr>
                <w:b/>
                <w:color w:val="FFFFFF"/>
                <w:sz w:val="16"/>
              </w:rPr>
              <w:t>Median</w:t>
            </w:r>
          </w:p>
        </w:tc>
        <w:tc>
          <w:tcPr>
            <w:tcW w:type="dxa" w:w="1872"/>
            <w:vAlign w:val="center"/>
            <w:shd w:fill="23385B"/>
          </w:tcPr>
          <w:p>
            <w:pPr>
              <w:spacing w:after="0"/>
            </w:pPr>
            <w:r/>
            <w:r>
              <w:rPr>
                <w:b/>
                <w:color w:val="FFFFFF"/>
                <w:sz w:val="16"/>
              </w:rPr>
              <w:t>Range</w:t>
            </w:r>
          </w:p>
        </w:tc>
      </w:tr>
      <w:tr>
        <w:tc>
          <w:tcPr>
            <w:tcW w:type="dxa" w:w="3816"/>
            <w:vAlign w:val="center"/>
          </w:tcPr>
          <w:p>
            <w:pPr>
              <w:spacing w:after="0"/>
            </w:pPr>
            <w:r/>
            <w:r>
              <w:rPr>
                <w:b w:val="0"/>
                <w:sz w:val="16"/>
              </w:rPr>
              <w:t>SSM unsupervised AUC</w:t>
            </w:r>
          </w:p>
        </w:tc>
        <w:tc>
          <w:tcPr>
            <w:tcW w:type="dxa" w:w="1152"/>
            <w:vAlign w:val="center"/>
          </w:tcPr>
          <w:p>
            <w:pPr>
              <w:spacing w:after="0"/>
            </w:pPr>
            <w:r/>
            <w:r>
              <w:rPr>
                <w:b w:val="0"/>
                <w:sz w:val="16"/>
              </w:rPr>
              <w:t>0.711</w:t>
            </w:r>
          </w:p>
        </w:tc>
        <w:tc>
          <w:tcPr>
            <w:tcW w:type="dxa" w:w="1152"/>
            <w:vAlign w:val="center"/>
          </w:tcPr>
          <w:p>
            <w:pPr>
              <w:spacing w:after="0"/>
            </w:pPr>
            <w:r/>
            <w:r>
              <w:rPr>
                <w:b w:val="0"/>
                <w:sz w:val="16"/>
              </w:rPr>
              <w:t>0.068</w:t>
            </w:r>
          </w:p>
        </w:tc>
        <w:tc>
          <w:tcPr>
            <w:tcW w:type="dxa" w:w="1152"/>
            <w:vAlign w:val="center"/>
          </w:tcPr>
          <w:p>
            <w:pPr>
              <w:spacing w:after="0"/>
            </w:pPr>
            <w:r/>
            <w:r>
              <w:rPr>
                <w:b w:val="0"/>
                <w:sz w:val="16"/>
              </w:rPr>
              <w:t>0.710</w:t>
            </w:r>
          </w:p>
        </w:tc>
        <w:tc>
          <w:tcPr>
            <w:tcW w:type="dxa" w:w="1872"/>
            <w:vAlign w:val="center"/>
          </w:tcPr>
          <w:p>
            <w:pPr>
              <w:spacing w:after="0"/>
            </w:pPr>
            <w:r/>
            <w:r>
              <w:rPr>
                <w:b w:val="0"/>
                <w:sz w:val="16"/>
              </w:rPr>
              <w:t>0.60 to 0.81</w:t>
            </w:r>
          </w:p>
        </w:tc>
      </w:tr>
      <w:tr>
        <w:tc>
          <w:tcPr>
            <w:tcW w:type="dxa" w:w="3816"/>
            <w:vAlign w:val="center"/>
            <w:shd w:fill="EEF2F7"/>
          </w:tcPr>
          <w:p>
            <w:pPr>
              <w:spacing w:after="0"/>
            </w:pPr>
            <w:r/>
            <w:r>
              <w:rPr>
                <w:b w:val="0"/>
                <w:sz w:val="16"/>
              </w:rPr>
              <w:t>SVM supervised peak AUC</w:t>
            </w:r>
          </w:p>
        </w:tc>
        <w:tc>
          <w:tcPr>
            <w:tcW w:type="dxa" w:w="1152"/>
            <w:vAlign w:val="center"/>
            <w:shd w:fill="EEF2F7"/>
          </w:tcPr>
          <w:p>
            <w:pPr>
              <w:spacing w:after="0"/>
            </w:pPr>
            <w:r/>
            <w:r>
              <w:rPr>
                <w:b w:val="0"/>
                <w:sz w:val="16"/>
              </w:rPr>
              <w:t>0.614</w:t>
            </w:r>
          </w:p>
        </w:tc>
        <w:tc>
          <w:tcPr>
            <w:tcW w:type="dxa" w:w="1152"/>
            <w:vAlign w:val="center"/>
            <w:shd w:fill="EEF2F7"/>
          </w:tcPr>
          <w:p>
            <w:pPr>
              <w:spacing w:after="0"/>
            </w:pPr>
            <w:r/>
            <w:r>
              <w:rPr>
                <w:b w:val="0"/>
                <w:sz w:val="16"/>
              </w:rPr>
              <w:t>0.120</w:t>
            </w:r>
          </w:p>
        </w:tc>
        <w:tc>
          <w:tcPr>
            <w:tcW w:type="dxa" w:w="1152"/>
            <w:vAlign w:val="center"/>
            <w:shd w:fill="EEF2F7"/>
          </w:tcPr>
          <w:p>
            <w:pPr>
              <w:spacing w:after="0"/>
            </w:pPr>
            <w:r/>
            <w:r>
              <w:rPr>
                <w:b w:val="0"/>
                <w:sz w:val="16"/>
              </w:rPr>
              <w:t>0.590</w:t>
            </w:r>
          </w:p>
        </w:tc>
        <w:tc>
          <w:tcPr>
            <w:tcW w:type="dxa" w:w="1872"/>
            <w:vAlign w:val="center"/>
            <w:shd w:fill="EEF2F7"/>
          </w:tcPr>
          <w:p>
            <w:pPr>
              <w:spacing w:after="0"/>
            </w:pPr>
            <w:r/>
            <w:r>
              <w:rPr>
                <w:b w:val="0"/>
                <w:sz w:val="16"/>
              </w:rPr>
              <w:t>0.43 to 0.83</w:t>
            </w:r>
          </w:p>
        </w:tc>
      </w:tr>
      <w:tr>
        <w:tc>
          <w:tcPr>
            <w:tcW w:type="dxa" w:w="3816"/>
            <w:vAlign w:val="center"/>
          </w:tcPr>
          <w:p>
            <w:pPr>
              <w:spacing w:after="0"/>
            </w:pPr>
            <w:r/>
            <w:r>
              <w:rPr>
                <w:b w:val="0"/>
                <w:sz w:val="16"/>
              </w:rPr>
              <w:t>SVM peak accuracy</w:t>
            </w:r>
          </w:p>
        </w:tc>
        <w:tc>
          <w:tcPr>
            <w:tcW w:type="dxa" w:w="1152"/>
            <w:vAlign w:val="center"/>
          </w:tcPr>
          <w:p>
            <w:pPr>
              <w:spacing w:after="0"/>
            </w:pPr>
            <w:r/>
            <w:r>
              <w:rPr>
                <w:b w:val="0"/>
                <w:sz w:val="16"/>
              </w:rPr>
              <w:t>0.602</w:t>
            </w:r>
          </w:p>
        </w:tc>
        <w:tc>
          <w:tcPr>
            <w:tcW w:type="dxa" w:w="1152"/>
            <w:vAlign w:val="center"/>
          </w:tcPr>
          <w:p>
            <w:pPr>
              <w:spacing w:after="0"/>
            </w:pPr>
            <w:r/>
            <w:r>
              <w:rPr>
                <w:b w:val="0"/>
                <w:sz w:val="16"/>
              </w:rPr>
              <w:t>0.069</w:t>
            </w:r>
          </w:p>
        </w:tc>
        <w:tc>
          <w:tcPr>
            <w:tcW w:type="dxa" w:w="1152"/>
            <w:vAlign w:val="center"/>
          </w:tcPr>
          <w:p>
            <w:pPr>
              <w:spacing w:after="0"/>
            </w:pPr>
            <w:r/>
            <w:r>
              <w:rPr>
                <w:b w:val="0"/>
                <w:sz w:val="16"/>
              </w:rPr>
              <w:t>0.605</w:t>
            </w:r>
          </w:p>
        </w:tc>
        <w:tc>
          <w:tcPr>
            <w:tcW w:type="dxa" w:w="1872"/>
            <w:vAlign w:val="center"/>
          </w:tcPr>
          <w:p>
            <w:pPr>
              <w:spacing w:after="0"/>
            </w:pPr>
            <w:r/>
            <w:r>
              <w:rPr>
                <w:b w:val="0"/>
                <w:sz w:val="16"/>
              </w:rPr>
              <w:t>0.50 to 0.73</w:t>
            </w:r>
          </w:p>
        </w:tc>
      </w:tr>
      <w:tr>
        <w:tc>
          <w:tcPr>
            <w:tcW w:type="dxa" w:w="3816"/>
            <w:vAlign w:val="center"/>
            <w:shd w:fill="EEF2F7"/>
          </w:tcPr>
          <w:p>
            <w:pPr>
              <w:spacing w:after="0"/>
            </w:pPr>
            <w:r/>
            <w:r>
              <w:rPr>
                <w:b w:val="0"/>
                <w:sz w:val="16"/>
              </w:rPr>
              <w:t>Paired AUC difference (SSM − SVM)</w:t>
            </w:r>
          </w:p>
        </w:tc>
        <w:tc>
          <w:tcPr>
            <w:tcW w:type="dxa" w:w="1152"/>
            <w:vAlign w:val="center"/>
            <w:shd w:fill="EEF2F7"/>
          </w:tcPr>
          <w:p>
            <w:pPr>
              <w:spacing w:after="0"/>
            </w:pPr>
            <w:r/>
            <w:r>
              <w:rPr>
                <w:b w:val="0"/>
                <w:sz w:val="16"/>
              </w:rPr>
              <w:t>0.096</w:t>
            </w:r>
          </w:p>
        </w:tc>
        <w:tc>
          <w:tcPr>
            <w:tcW w:type="dxa" w:w="1152"/>
            <w:vAlign w:val="center"/>
            <w:shd w:fill="EEF2F7"/>
          </w:tcPr>
          <w:p>
            <w:pPr>
              <w:spacing w:after="0"/>
            </w:pPr>
            <w:r/>
            <w:r>
              <w:rPr>
                <w:b w:val="0"/>
                <w:sz w:val="16"/>
              </w:rPr>
              <w:t>0.124</w:t>
            </w:r>
          </w:p>
        </w:tc>
        <w:tc>
          <w:tcPr>
            <w:tcW w:type="dxa" w:w="1152"/>
            <w:vAlign w:val="center"/>
            <w:shd w:fill="EEF2F7"/>
          </w:tcPr>
          <w:p>
            <w:pPr>
              <w:spacing w:after="0"/>
            </w:pPr>
            <w:r/>
            <w:r>
              <w:rPr>
                <w:b w:val="0"/>
                <w:sz w:val="16"/>
              </w:rPr>
              <w:t>0.115</w:t>
            </w:r>
          </w:p>
        </w:tc>
        <w:tc>
          <w:tcPr>
            <w:tcW w:type="dxa" w:w="1872"/>
            <w:vAlign w:val="center"/>
            <w:shd w:fill="EEF2F7"/>
          </w:tcPr>
          <w:p>
            <w:pPr>
              <w:spacing w:after="0"/>
            </w:pPr>
            <w:r/>
            <w:r>
              <w:rPr>
                <w:b w:val="0"/>
                <w:sz w:val="16"/>
              </w:rPr>
              <w:t>-0.18 to 0.28</w:t>
            </w:r>
          </w:p>
        </w:tc>
      </w:tr>
    </w:tbl>
    <w:p>
      <w:pPr>
        <w:spacing w:after="20"/>
      </w:pPr>
    </w:p>
    <w:p>
      <w:r>
        <w:t>SSM AUC was higher than SVM AUC in 13/16 table rows; SVM AUC was higher in 3/16 rows, with no ties. The mean paired difference on the rounded printed values was 0.096 AUC. Leave-one-row-out diagnostics kept the mean difference positive (0.084–0.115); this is a descriptive sensitivity check, not an independent replication.</w:t>
      </w:r>
    </w:p>
    <w:p>
      <w:r>
        <w:drawing>
          <wp:inline xmlns:a="http://schemas.openxmlformats.org/drawingml/2006/main" xmlns:pic="http://schemas.openxmlformats.org/drawingml/2006/picture">
            <wp:extent cx="5943600" cy="3268980"/>
            <wp:docPr id="1" name="Picture 1"/>
            <wp:cNvGraphicFramePr>
              <a:graphicFrameLocks noChangeAspect="1"/>
            </wp:cNvGraphicFramePr>
            <a:graphic>
              <a:graphicData uri="http://schemas.openxmlformats.org/drawingml/2006/picture">
                <pic:pic>
                  <pic:nvPicPr>
                    <pic:cNvPr id="0" name="published_benchmark_auc_comparison.png"/>
                    <pic:cNvPicPr/>
                  </pic:nvPicPr>
                  <pic:blipFill>
                    <a:blip r:embed="rId9"/>
                    <a:stretch>
                      <a:fillRect/>
                    </a:stretch>
                  </pic:blipFill>
                  <pic:spPr>
                    <a:xfrm>
                      <a:off x="0" y="0"/>
                      <a:ext cx="5943600" cy="3268980"/>
                    </a:xfrm>
                    <a:prstGeom prst="rect"/>
                  </pic:spPr>
                </pic:pic>
              </a:graphicData>
            </a:graphic>
          </wp:inline>
        </w:drawing>
      </w:r>
    </w:p>
    <w:p>
      <w:pPr>
        <w:spacing w:after="120"/>
      </w:pPr>
      <w:r>
        <w:rPr>
          <w:i/>
          <w:sz w:val="16"/>
        </w:rPr>
        <w:t>Figure 1. Each vertical segment links the reported SVM AUC and SSM AUC for one published configuration. Values are the paper’s rounded aggregate performance numbers, not EEG-derived estimates newly fit here.</w:t>
      </w:r>
    </w:p>
    <w:p>
      <w:pPr>
        <w:pStyle w:val="Heading1"/>
      </w:pPr>
      <w:r>
        <w:t>3. Paired statistical sensitivity checks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664"/>
            <w:vAlign w:val="center"/>
            <w:shd w:fill="23385B"/>
          </w:tcPr>
          <w:p>
            <w:pPr>
              <w:spacing w:after="0"/>
            </w:pPr>
            <w:r/>
            <w:r>
              <w:rPr>
                <w:b/>
                <w:color w:val="FFFFFF"/>
                <w:sz w:val="16"/>
              </w:rPr>
              <w:t>Test</w:t>
            </w:r>
          </w:p>
        </w:tc>
        <w:tc>
          <w:tcPr>
            <w:tcW w:type="dxa" w:w="1584"/>
            <w:vAlign w:val="center"/>
            <w:shd w:fill="23385B"/>
          </w:tcPr>
          <w:p>
            <w:pPr>
              <w:spacing w:after="0"/>
            </w:pPr>
            <w:r/>
            <w:r>
              <w:rPr>
                <w:b/>
                <w:color w:val="FFFFFF"/>
                <w:sz w:val="16"/>
              </w:rPr>
              <w:t>Statistic</w:t>
            </w:r>
          </w:p>
        </w:tc>
        <w:tc>
          <w:tcPr>
            <w:tcW w:type="dxa" w:w="1080"/>
            <w:vAlign w:val="center"/>
            <w:shd w:fill="23385B"/>
          </w:tcPr>
          <w:p>
            <w:pPr>
              <w:spacing w:after="0"/>
            </w:pPr>
            <w:r/>
            <w:r>
              <w:rPr>
                <w:b/>
                <w:color w:val="FFFFFF"/>
                <w:sz w:val="16"/>
              </w:rPr>
              <w:t>Nominal p</w:t>
            </w:r>
          </w:p>
        </w:tc>
        <w:tc>
          <w:tcPr>
            <w:tcW w:type="dxa" w:w="3744"/>
            <w:vAlign w:val="center"/>
            <w:shd w:fill="23385B"/>
          </w:tcPr>
          <w:p>
            <w:pPr>
              <w:spacing w:after="0"/>
            </w:pPr>
            <w:r/>
            <w:r>
              <w:rPr>
                <w:b/>
                <w:color w:val="FFFFFF"/>
                <w:sz w:val="16"/>
              </w:rPr>
              <w:t>Interpretation limit</w:t>
            </w:r>
          </w:p>
        </w:tc>
      </w:tr>
      <w:tr>
        <w:tc>
          <w:tcPr>
            <w:tcW w:type="dxa" w:w="2664"/>
            <w:vAlign w:val="center"/>
          </w:tcPr>
          <w:p>
            <w:pPr>
              <w:spacing w:after="0"/>
            </w:pPr>
            <w:r/>
            <w:r>
              <w:rPr>
                <w:b w:val="0"/>
                <w:sz w:val="16"/>
              </w:rPr>
              <w:t>Paired t-test, SSM vs SVM AUC</w:t>
            </w:r>
          </w:p>
        </w:tc>
        <w:tc>
          <w:tcPr>
            <w:tcW w:type="dxa" w:w="1584"/>
            <w:vAlign w:val="center"/>
          </w:tcPr>
          <w:p>
            <w:pPr>
              <w:spacing w:after="0"/>
            </w:pPr>
            <w:r/>
            <w:r>
              <w:rPr>
                <w:b w:val="0"/>
                <w:sz w:val="16"/>
              </w:rPr>
              <w:t>t=3.115, df=15</w:t>
            </w:r>
          </w:p>
        </w:tc>
        <w:tc>
          <w:tcPr>
            <w:tcW w:type="dxa" w:w="1080"/>
            <w:vAlign w:val="center"/>
          </w:tcPr>
          <w:p>
            <w:pPr>
              <w:spacing w:after="0"/>
            </w:pPr>
            <w:r/>
            <w:r>
              <w:rPr>
                <w:b w:val="0"/>
                <w:sz w:val="16"/>
              </w:rPr>
              <w:t>0.0071</w:t>
            </w:r>
          </w:p>
        </w:tc>
        <w:tc>
          <w:tcPr>
            <w:tcW w:type="dxa" w:w="3744"/>
            <w:vAlign w:val="center"/>
          </w:tcPr>
          <w:p>
            <w:pPr>
              <w:spacing w:after="0"/>
            </w:pPr>
            <w:r/>
            <w:r>
              <w:rPr>
                <w:b w:val="0"/>
                <w:sz w:val="16"/>
              </w:rPr>
              <w:t>Exploratory; repeated configurations violate independent-unit assumption</w:t>
            </w:r>
          </w:p>
        </w:tc>
      </w:tr>
      <w:tr>
        <w:tc>
          <w:tcPr>
            <w:tcW w:type="dxa" w:w="2664"/>
            <w:vAlign w:val="center"/>
            <w:shd w:fill="EEF2F7"/>
          </w:tcPr>
          <w:p>
            <w:pPr>
              <w:spacing w:after="0"/>
            </w:pPr>
            <w:r/>
            <w:r>
              <w:rPr>
                <w:b w:val="0"/>
                <w:sz w:val="16"/>
              </w:rPr>
              <w:t>Wilcoxon signed-rank, two-sided</w:t>
            </w:r>
          </w:p>
        </w:tc>
        <w:tc>
          <w:tcPr>
            <w:tcW w:type="dxa" w:w="1584"/>
            <w:vAlign w:val="center"/>
            <w:shd w:fill="EEF2F7"/>
          </w:tcPr>
          <w:p>
            <w:pPr>
              <w:spacing w:after="0"/>
            </w:pPr>
            <w:r/>
            <w:r>
              <w:rPr>
                <w:b w:val="0"/>
                <w:sz w:val="16"/>
              </w:rPr>
              <w:t>W=18.5</w:t>
            </w:r>
          </w:p>
        </w:tc>
        <w:tc>
          <w:tcPr>
            <w:tcW w:type="dxa" w:w="1080"/>
            <w:vAlign w:val="center"/>
            <w:shd w:fill="EEF2F7"/>
          </w:tcPr>
          <w:p>
            <w:pPr>
              <w:spacing w:after="0"/>
            </w:pPr>
            <w:r/>
            <w:r>
              <w:rPr>
                <w:b w:val="0"/>
                <w:sz w:val="16"/>
              </w:rPr>
              <w:t>0.0105</w:t>
            </w:r>
          </w:p>
        </w:tc>
        <w:tc>
          <w:tcPr>
            <w:tcW w:type="dxa" w:w="3744"/>
            <w:vAlign w:val="center"/>
            <w:shd w:fill="EEF2F7"/>
          </w:tcPr>
          <w:p>
            <w:pPr>
              <w:spacing w:after="0"/>
            </w:pPr>
            <w:r/>
            <w:r>
              <w:rPr>
                <w:b w:val="0"/>
                <w:sz w:val="16"/>
              </w:rPr>
              <w:t>Similar to paper’s reported p=0.0113; tiny difference expected from rounding/method</w:t>
            </w:r>
          </w:p>
        </w:tc>
      </w:tr>
      <w:tr>
        <w:tc>
          <w:tcPr>
            <w:tcW w:type="dxa" w:w="2664"/>
            <w:vAlign w:val="center"/>
          </w:tcPr>
          <w:p>
            <w:pPr>
              <w:spacing w:after="0"/>
            </w:pPr>
            <w:r/>
            <w:r>
              <w:rPr>
                <w:b w:val="0"/>
                <w:sz w:val="16"/>
              </w:rPr>
              <w:t>Exact sign test, two-sided</w:t>
            </w:r>
          </w:p>
        </w:tc>
        <w:tc>
          <w:tcPr>
            <w:tcW w:type="dxa" w:w="1584"/>
            <w:vAlign w:val="center"/>
          </w:tcPr>
          <w:p>
            <w:pPr>
              <w:spacing w:after="0"/>
            </w:pPr>
            <w:r/>
            <w:r>
              <w:rPr>
                <w:b w:val="0"/>
                <w:sz w:val="16"/>
              </w:rPr>
              <w:t>13 wins / 3 losses</w:t>
            </w:r>
          </w:p>
        </w:tc>
        <w:tc>
          <w:tcPr>
            <w:tcW w:type="dxa" w:w="1080"/>
            <w:vAlign w:val="center"/>
          </w:tcPr>
          <w:p>
            <w:pPr>
              <w:spacing w:after="0"/>
            </w:pPr>
            <w:r/>
            <w:r>
              <w:rPr>
                <w:b w:val="0"/>
                <w:sz w:val="16"/>
              </w:rPr>
              <w:t>0.0213</w:t>
            </w:r>
          </w:p>
        </w:tc>
        <w:tc>
          <w:tcPr>
            <w:tcW w:type="dxa" w:w="3744"/>
            <w:vAlign w:val="center"/>
          </w:tcPr>
          <w:p>
            <w:pPr>
              <w:spacing w:after="0"/>
            </w:pPr>
            <w:r/>
            <w:r>
              <w:rPr>
                <w:b w:val="0"/>
                <w:sz w:val="16"/>
              </w:rPr>
              <w:t>Direction consistency only; same dependent configurations</w:t>
            </w:r>
          </w:p>
        </w:tc>
      </w:tr>
      <w:tr>
        <w:tc>
          <w:tcPr>
            <w:tcW w:type="dxa" w:w="2664"/>
            <w:vAlign w:val="center"/>
            <w:shd w:fill="EEF2F7"/>
          </w:tcPr>
          <w:p>
            <w:pPr>
              <w:spacing w:after="0"/>
            </w:pPr>
            <w:r/>
            <w:r>
              <w:rPr>
                <w:b w:val="0"/>
                <w:sz w:val="16"/>
              </w:rPr>
              <w:t>Exact sign test, SSM greater</w:t>
            </w:r>
          </w:p>
        </w:tc>
        <w:tc>
          <w:tcPr>
            <w:tcW w:type="dxa" w:w="1584"/>
            <w:vAlign w:val="center"/>
            <w:shd w:fill="EEF2F7"/>
          </w:tcPr>
          <w:p>
            <w:pPr>
              <w:spacing w:after="0"/>
            </w:pPr>
            <w:r/>
            <w:r>
              <w:rPr>
                <w:b w:val="0"/>
                <w:sz w:val="16"/>
              </w:rPr>
              <w:t>13 wins / 3 losses</w:t>
            </w:r>
          </w:p>
        </w:tc>
        <w:tc>
          <w:tcPr>
            <w:tcW w:type="dxa" w:w="1080"/>
            <w:vAlign w:val="center"/>
            <w:shd w:fill="EEF2F7"/>
          </w:tcPr>
          <w:p>
            <w:pPr>
              <w:spacing w:after="0"/>
            </w:pPr>
            <w:r/>
            <w:r>
              <w:rPr>
                <w:b w:val="0"/>
                <w:sz w:val="16"/>
              </w:rPr>
              <w:t>0.0106</w:t>
            </w:r>
          </w:p>
        </w:tc>
        <w:tc>
          <w:tcPr>
            <w:tcW w:type="dxa" w:w="3744"/>
            <w:vAlign w:val="center"/>
            <w:shd w:fill="EEF2F7"/>
          </w:tcPr>
          <w:p>
            <w:pPr>
              <w:spacing w:after="0"/>
            </w:pPr>
            <w:r/>
            <w:r>
              <w:rPr>
                <w:b w:val="0"/>
                <w:sz w:val="16"/>
              </w:rPr>
              <w:t>One-sided sensitivity check, not a confirmatory population test</w:t>
            </w:r>
          </w:p>
        </w:tc>
      </w:tr>
      <w:tr>
        <w:tc>
          <w:tcPr>
            <w:tcW w:type="dxa" w:w="2664"/>
            <w:vAlign w:val="center"/>
          </w:tcPr>
          <w:p>
            <w:pPr>
              <w:spacing w:after="0"/>
            </w:pPr>
            <w:r/>
            <w:r>
              <w:rPr>
                <w:b w:val="0"/>
                <w:sz w:val="16"/>
              </w:rPr>
              <w:t>Pearson correlation of method AUCs</w:t>
            </w:r>
          </w:p>
        </w:tc>
        <w:tc>
          <w:tcPr>
            <w:tcW w:type="dxa" w:w="1584"/>
            <w:vAlign w:val="center"/>
          </w:tcPr>
          <w:p>
            <w:pPr>
              <w:spacing w:after="0"/>
            </w:pPr>
            <w:r/>
            <w:r>
              <w:rPr>
                <w:b w:val="0"/>
                <w:sz w:val="16"/>
              </w:rPr>
              <w:t>r=0.233</w:t>
            </w:r>
          </w:p>
        </w:tc>
        <w:tc>
          <w:tcPr>
            <w:tcW w:type="dxa" w:w="1080"/>
            <w:vAlign w:val="center"/>
          </w:tcPr>
          <w:p>
            <w:pPr>
              <w:spacing w:after="0"/>
            </w:pPr>
            <w:r/>
            <w:r>
              <w:rPr>
                <w:b w:val="0"/>
                <w:sz w:val="16"/>
              </w:rPr>
              <w:t>0.3859</w:t>
            </w:r>
          </w:p>
        </w:tc>
        <w:tc>
          <w:tcPr>
            <w:tcW w:type="dxa" w:w="3744"/>
            <w:vAlign w:val="center"/>
          </w:tcPr>
          <w:p>
            <w:pPr>
              <w:spacing w:after="0"/>
            </w:pPr>
            <w:r/>
            <w:r>
              <w:rPr>
                <w:b w:val="0"/>
                <w:sz w:val="16"/>
              </w:rPr>
              <w:t>Descriptive cross-row association only</w:t>
            </w:r>
          </w:p>
        </w:tc>
      </w:tr>
      <w:tr>
        <w:tc>
          <w:tcPr>
            <w:tcW w:type="dxa" w:w="2664"/>
            <w:vAlign w:val="center"/>
            <w:shd w:fill="EEF2F7"/>
          </w:tcPr>
          <w:p>
            <w:pPr>
              <w:spacing w:after="0"/>
            </w:pPr>
            <w:r/>
            <w:r>
              <w:rPr>
                <w:b w:val="0"/>
                <w:sz w:val="16"/>
              </w:rPr>
              <w:t>Spearman correlation of method AUCs</w:t>
            </w:r>
          </w:p>
        </w:tc>
        <w:tc>
          <w:tcPr>
            <w:tcW w:type="dxa" w:w="1584"/>
            <w:vAlign w:val="center"/>
            <w:shd w:fill="EEF2F7"/>
          </w:tcPr>
          <w:p>
            <w:pPr>
              <w:spacing w:after="0"/>
            </w:pPr>
            <w:r/>
            <w:r>
              <w:rPr>
                <w:b w:val="0"/>
                <w:sz w:val="16"/>
              </w:rPr>
              <w:t>rho=0.252</w:t>
            </w:r>
          </w:p>
        </w:tc>
        <w:tc>
          <w:tcPr>
            <w:tcW w:type="dxa" w:w="1080"/>
            <w:vAlign w:val="center"/>
            <w:shd w:fill="EEF2F7"/>
          </w:tcPr>
          <w:p>
            <w:pPr>
              <w:spacing w:after="0"/>
            </w:pPr>
            <w:r/>
            <w:r>
              <w:rPr>
                <w:b w:val="0"/>
                <w:sz w:val="16"/>
              </w:rPr>
              <w:t>0.3467</w:t>
            </w:r>
          </w:p>
        </w:tc>
        <w:tc>
          <w:tcPr>
            <w:tcW w:type="dxa" w:w="3744"/>
            <w:vAlign w:val="center"/>
            <w:shd w:fill="EEF2F7"/>
          </w:tcPr>
          <w:p>
            <w:pPr>
              <w:spacing w:after="0"/>
            </w:pPr>
            <w:r/>
            <w:r>
              <w:rPr>
                <w:b w:val="0"/>
                <w:sz w:val="16"/>
              </w:rPr>
              <w:t>Descriptive cross-row association only</w:t>
            </w:r>
          </w:p>
        </w:tc>
      </w:tr>
    </w:tbl>
    <w:p>
      <w:pPr>
        <w:spacing w:after="20"/>
      </w:pPr>
    </w:p>
    <w:p>
      <w:r>
        <w:t>A nominal paired-t 95% interval for the mean AUC difference from these 16 rows is [0.030, 0.162]. It is not a valid population-level confidence interval because the table rows are dependent and originate from only two participants. The paper reports a signed-rank p-value of 0.0113 for this comparison; this reanalysis of rounded table entries yielded a two-sided approximate p-value of 0.0105.</w:t>
      </w:r>
    </w:p>
    <w:p>
      <w:r>
        <w:t>AUC-vs-chance checks and accuracy-vs-0.5 checks were also computed in the JSON output. They are not treated as inferential evidence because the row dependencies remain, and because AUC and accuracy are detection metrics—not calibrated pain intensity.</w:t>
      </w:r>
    </w:p>
    <w:p>
      <w:pPr>
        <w:pStyle w:val="Heading1"/>
      </w:pPr>
      <w:r>
        <w:t>4. Actual patient pain-rating summaries</w:t>
      </w:r>
    </w:p>
    <w:tbl>
      <w:tblPr>
        <w:tblStyle w:val="LightShading-Accent1"/>
        <w:tblW w:type="auto" w:w="0"/>
        <w:jc w:val="center"/>
        <w:tblLook w:firstColumn="1" w:firstRow="1" w:lastColumn="0" w:lastRow="0" w:noHBand="0" w:noVBand="1" w:val="04A0"/>
      </w:tblPr>
      <w:tblGrid>
        <w:gridCol w:w="2045"/>
        <w:gridCol w:w="2045"/>
        <w:gridCol w:w="2045"/>
        <w:gridCol w:w="2045"/>
        <w:gridCol w:w="2045"/>
      </w:tblGrid>
      <w:tr>
        <w:tc>
          <w:tcPr>
            <w:tcW w:type="dxa" w:w="1512"/>
            <w:vAlign w:val="center"/>
            <w:shd w:fill="23385B"/>
          </w:tcPr>
          <w:p>
            <w:pPr>
              <w:spacing w:after="0"/>
            </w:pPr>
            <w:r/>
            <w:r>
              <w:rPr>
                <w:b/>
                <w:color w:val="FFFFFF"/>
                <w:sz w:val="16"/>
              </w:rPr>
              <w:t>Subject</w:t>
            </w:r>
          </w:p>
        </w:tc>
        <w:tc>
          <w:tcPr>
            <w:tcW w:type="dxa" w:w="1008"/>
            <w:vAlign w:val="center"/>
            <w:shd w:fill="23385B"/>
          </w:tcPr>
          <w:p>
            <w:pPr>
              <w:spacing w:after="0"/>
            </w:pPr>
            <w:r/>
            <w:r>
              <w:rPr>
                <w:b/>
                <w:color w:val="FFFFFF"/>
                <w:sz w:val="16"/>
              </w:rPr>
              <w:t>Site</w:t>
            </w:r>
          </w:p>
        </w:tc>
        <w:tc>
          <w:tcPr>
            <w:tcW w:type="dxa" w:w="3024"/>
            <w:vAlign w:val="center"/>
            <w:shd w:fill="23385B"/>
          </w:tcPr>
          <w:p>
            <w:pPr>
              <w:spacing w:after="0"/>
            </w:pPr>
            <w:r/>
            <w:r>
              <w:rPr>
                <w:b/>
                <w:color w:val="FFFFFF"/>
                <w:sz w:val="16"/>
              </w:rPr>
              <w:t>Stimulus</w:t>
            </w:r>
          </w:p>
        </w:tc>
        <w:tc>
          <w:tcPr>
            <w:tcW w:type="dxa" w:w="1224"/>
            <w:vAlign w:val="center"/>
            <w:shd w:fill="23385B"/>
          </w:tcPr>
          <w:p>
            <w:pPr>
              <w:spacing w:after="0"/>
            </w:pPr>
            <w:r/>
            <w:r>
              <w:rPr>
                <w:b/>
                <w:color w:val="FFFFFF"/>
                <w:sz w:val="16"/>
              </w:rPr>
              <w:t>NRS median</w:t>
            </w:r>
          </w:p>
        </w:tc>
        <w:tc>
          <w:tcPr>
            <w:tcW w:type="dxa" w:w="1440"/>
            <w:vAlign w:val="center"/>
            <w:shd w:fill="23385B"/>
          </w:tcPr>
          <w:p>
            <w:pPr>
              <w:spacing w:after="0"/>
            </w:pPr>
            <w:r/>
            <w:r>
              <w:rPr>
                <w:b/>
                <w:color w:val="FFFFFF"/>
                <w:sz w:val="16"/>
              </w:rPr>
              <w:t>Reported IQR</w:t>
            </w:r>
          </w:p>
        </w:tc>
      </w:tr>
      <w:tr>
        <w:tc>
          <w:tcPr>
            <w:tcW w:type="dxa" w:w="1512"/>
            <w:vAlign w:val="center"/>
          </w:tcPr>
          <w:p>
            <w:pPr>
              <w:spacing w:after="0"/>
            </w:pPr>
            <w:r/>
            <w:r>
              <w:rPr>
                <w:b w:val="0"/>
                <w:sz w:val="16"/>
              </w:rPr>
              <w:t>Subject #1</w:t>
            </w:r>
          </w:p>
        </w:tc>
        <w:tc>
          <w:tcPr>
            <w:tcW w:type="dxa" w:w="1008"/>
            <w:vAlign w:val="center"/>
          </w:tcPr>
          <w:p>
            <w:pPr>
              <w:spacing w:after="0"/>
            </w:pPr>
            <w:r/>
            <w:r>
              <w:rPr>
                <w:b w:val="0"/>
                <w:sz w:val="16"/>
              </w:rPr>
              <w:t>Hand</w:t>
            </w:r>
          </w:p>
        </w:tc>
        <w:tc>
          <w:tcPr>
            <w:tcW w:type="dxa" w:w="3024"/>
            <w:vAlign w:val="center"/>
          </w:tcPr>
          <w:p>
            <w:pPr>
              <w:spacing w:after="0"/>
            </w:pPr>
            <w:r/>
            <w:r>
              <w:rPr>
                <w:b w:val="0"/>
                <w:sz w:val="16"/>
              </w:rPr>
              <w:t>Painful pinprick</w:t>
            </w:r>
          </w:p>
        </w:tc>
        <w:tc>
          <w:tcPr>
            <w:tcW w:type="dxa" w:w="1224"/>
            <w:vAlign w:val="center"/>
          </w:tcPr>
          <w:p>
            <w:pPr>
              <w:spacing w:after="0"/>
            </w:pPr>
            <w:r/>
            <w:r>
              <w:rPr>
                <w:b w:val="0"/>
                <w:sz w:val="16"/>
              </w:rPr>
              <w:t>1</w:t>
            </w:r>
          </w:p>
        </w:tc>
        <w:tc>
          <w:tcPr>
            <w:tcW w:type="dxa" w:w="1440"/>
            <w:vAlign w:val="center"/>
          </w:tcPr>
          <w:p>
            <w:pPr>
              <w:spacing w:after="0"/>
            </w:pPr>
            <w:r/>
            <w:r>
              <w:rPr>
                <w:b w:val="0"/>
                <w:sz w:val="16"/>
              </w:rPr>
              <w:t>1–1</w:t>
            </w:r>
          </w:p>
        </w:tc>
      </w:tr>
      <w:tr>
        <w:tc>
          <w:tcPr>
            <w:tcW w:type="dxa" w:w="1512"/>
            <w:vAlign w:val="center"/>
            <w:shd w:fill="EEF2F7"/>
          </w:tcPr>
          <w:p>
            <w:pPr>
              <w:spacing w:after="0"/>
            </w:pPr>
            <w:r/>
            <w:r>
              <w:rPr>
                <w:b w:val="0"/>
                <w:sz w:val="16"/>
              </w:rPr>
              <w:t>Subject #1</w:t>
            </w:r>
          </w:p>
        </w:tc>
        <w:tc>
          <w:tcPr>
            <w:tcW w:type="dxa" w:w="1008"/>
            <w:vAlign w:val="center"/>
            <w:shd w:fill="EEF2F7"/>
          </w:tcPr>
          <w:p>
            <w:pPr>
              <w:spacing w:after="0"/>
            </w:pPr>
            <w:r/>
            <w:r>
              <w:rPr>
                <w:b w:val="0"/>
                <w:sz w:val="16"/>
              </w:rPr>
              <w:t>Hand</w:t>
            </w:r>
          </w:p>
        </w:tc>
        <w:tc>
          <w:tcPr>
            <w:tcW w:type="dxa" w:w="3024"/>
            <w:vAlign w:val="center"/>
            <w:shd w:fill="EEF2F7"/>
          </w:tcPr>
          <w:p>
            <w:pPr>
              <w:spacing w:after="0"/>
            </w:pPr>
            <w:r/>
            <w:r>
              <w:rPr>
                <w:b w:val="0"/>
                <w:sz w:val="16"/>
              </w:rPr>
              <w:t>Non-painful monofilament</w:t>
            </w:r>
          </w:p>
        </w:tc>
        <w:tc>
          <w:tcPr>
            <w:tcW w:type="dxa" w:w="1224"/>
            <w:vAlign w:val="center"/>
            <w:shd w:fill="EEF2F7"/>
          </w:tcPr>
          <w:p>
            <w:pPr>
              <w:spacing w:after="0"/>
            </w:pPr>
            <w:r/>
            <w:r>
              <w:rPr>
                <w:b w:val="0"/>
                <w:sz w:val="16"/>
              </w:rPr>
              <w:t>1</w:t>
            </w:r>
          </w:p>
        </w:tc>
        <w:tc>
          <w:tcPr>
            <w:tcW w:type="dxa" w:w="1440"/>
            <w:vAlign w:val="center"/>
            <w:shd w:fill="EEF2F7"/>
          </w:tcPr>
          <w:p>
            <w:pPr>
              <w:spacing w:after="0"/>
            </w:pPr>
            <w:r/>
            <w:r>
              <w:rPr>
                <w:b w:val="0"/>
                <w:sz w:val="16"/>
              </w:rPr>
              <w:t>1–1</w:t>
            </w:r>
          </w:p>
        </w:tc>
      </w:tr>
      <w:tr>
        <w:tc>
          <w:tcPr>
            <w:tcW w:type="dxa" w:w="1512"/>
            <w:vAlign w:val="center"/>
          </w:tcPr>
          <w:p>
            <w:pPr>
              <w:spacing w:after="0"/>
            </w:pPr>
            <w:r/>
            <w:r>
              <w:rPr>
                <w:b w:val="0"/>
                <w:sz w:val="16"/>
              </w:rPr>
              <w:t>Subject #1</w:t>
            </w:r>
          </w:p>
        </w:tc>
        <w:tc>
          <w:tcPr>
            <w:tcW w:type="dxa" w:w="1008"/>
            <w:vAlign w:val="center"/>
          </w:tcPr>
          <w:p>
            <w:pPr>
              <w:spacing w:after="0"/>
            </w:pPr>
            <w:r/>
            <w:r>
              <w:rPr>
                <w:b w:val="0"/>
                <w:sz w:val="16"/>
              </w:rPr>
              <w:t>Back</w:t>
            </w:r>
          </w:p>
        </w:tc>
        <w:tc>
          <w:tcPr>
            <w:tcW w:type="dxa" w:w="3024"/>
            <w:vAlign w:val="center"/>
          </w:tcPr>
          <w:p>
            <w:pPr>
              <w:spacing w:after="0"/>
            </w:pPr>
            <w:r/>
            <w:r>
              <w:rPr>
                <w:b w:val="0"/>
                <w:sz w:val="16"/>
              </w:rPr>
              <w:t>Painful pinprick</w:t>
            </w:r>
          </w:p>
        </w:tc>
        <w:tc>
          <w:tcPr>
            <w:tcW w:type="dxa" w:w="1224"/>
            <w:vAlign w:val="center"/>
          </w:tcPr>
          <w:p>
            <w:pPr>
              <w:spacing w:after="0"/>
            </w:pPr>
            <w:r/>
            <w:r>
              <w:rPr>
                <w:b w:val="0"/>
                <w:sz w:val="16"/>
              </w:rPr>
              <w:t>1.5</w:t>
            </w:r>
          </w:p>
        </w:tc>
        <w:tc>
          <w:tcPr>
            <w:tcW w:type="dxa" w:w="1440"/>
            <w:vAlign w:val="center"/>
          </w:tcPr>
          <w:p>
            <w:pPr>
              <w:spacing w:after="0"/>
            </w:pPr>
            <w:r/>
            <w:r>
              <w:rPr>
                <w:b w:val="0"/>
                <w:sz w:val="16"/>
              </w:rPr>
              <w:t>1–2</w:t>
            </w:r>
          </w:p>
        </w:tc>
      </w:tr>
      <w:tr>
        <w:tc>
          <w:tcPr>
            <w:tcW w:type="dxa" w:w="1512"/>
            <w:vAlign w:val="center"/>
            <w:shd w:fill="EEF2F7"/>
          </w:tcPr>
          <w:p>
            <w:pPr>
              <w:spacing w:after="0"/>
            </w:pPr>
            <w:r/>
            <w:r>
              <w:rPr>
                <w:b w:val="0"/>
                <w:sz w:val="16"/>
              </w:rPr>
              <w:t>Subject #1</w:t>
            </w:r>
          </w:p>
        </w:tc>
        <w:tc>
          <w:tcPr>
            <w:tcW w:type="dxa" w:w="1008"/>
            <w:vAlign w:val="center"/>
            <w:shd w:fill="EEF2F7"/>
          </w:tcPr>
          <w:p>
            <w:pPr>
              <w:spacing w:after="0"/>
            </w:pPr>
            <w:r/>
            <w:r>
              <w:rPr>
                <w:b w:val="0"/>
                <w:sz w:val="16"/>
              </w:rPr>
              <w:t>Back</w:t>
            </w:r>
          </w:p>
        </w:tc>
        <w:tc>
          <w:tcPr>
            <w:tcW w:type="dxa" w:w="3024"/>
            <w:vAlign w:val="center"/>
            <w:shd w:fill="EEF2F7"/>
          </w:tcPr>
          <w:p>
            <w:pPr>
              <w:spacing w:after="0"/>
            </w:pPr>
            <w:r/>
            <w:r>
              <w:rPr>
                <w:b w:val="0"/>
                <w:sz w:val="16"/>
              </w:rPr>
              <w:t>Non-painful monofilament</w:t>
            </w:r>
          </w:p>
        </w:tc>
        <w:tc>
          <w:tcPr>
            <w:tcW w:type="dxa" w:w="1224"/>
            <w:vAlign w:val="center"/>
            <w:shd w:fill="EEF2F7"/>
          </w:tcPr>
          <w:p>
            <w:pPr>
              <w:spacing w:after="0"/>
            </w:pPr>
            <w:r/>
            <w:r>
              <w:rPr>
                <w:b w:val="0"/>
                <w:sz w:val="16"/>
              </w:rPr>
              <w:t>1</w:t>
            </w:r>
          </w:p>
        </w:tc>
        <w:tc>
          <w:tcPr>
            <w:tcW w:type="dxa" w:w="1440"/>
            <w:vAlign w:val="center"/>
            <w:shd w:fill="EEF2F7"/>
          </w:tcPr>
          <w:p>
            <w:pPr>
              <w:spacing w:after="0"/>
            </w:pPr>
            <w:r/>
            <w:r>
              <w:rPr>
                <w:b w:val="0"/>
                <w:sz w:val="16"/>
              </w:rPr>
              <w:t>1–1</w:t>
            </w:r>
          </w:p>
        </w:tc>
      </w:tr>
      <w:tr>
        <w:tc>
          <w:tcPr>
            <w:tcW w:type="dxa" w:w="1512"/>
            <w:vAlign w:val="center"/>
          </w:tcPr>
          <w:p>
            <w:pPr>
              <w:spacing w:after="0"/>
            </w:pPr>
            <w:r/>
            <w:r>
              <w:rPr>
                <w:b w:val="0"/>
                <w:sz w:val="16"/>
              </w:rPr>
              <w:t>Subject #2</w:t>
            </w:r>
          </w:p>
        </w:tc>
        <w:tc>
          <w:tcPr>
            <w:tcW w:type="dxa" w:w="1008"/>
            <w:vAlign w:val="center"/>
          </w:tcPr>
          <w:p>
            <w:pPr>
              <w:spacing w:after="0"/>
            </w:pPr>
            <w:r/>
            <w:r>
              <w:rPr>
                <w:b w:val="0"/>
                <w:sz w:val="16"/>
              </w:rPr>
              <w:t>Hand</w:t>
            </w:r>
          </w:p>
        </w:tc>
        <w:tc>
          <w:tcPr>
            <w:tcW w:type="dxa" w:w="3024"/>
            <w:vAlign w:val="center"/>
          </w:tcPr>
          <w:p>
            <w:pPr>
              <w:spacing w:after="0"/>
            </w:pPr>
            <w:r/>
            <w:r>
              <w:rPr>
                <w:b w:val="0"/>
                <w:sz w:val="16"/>
              </w:rPr>
              <w:t>Painful pinprick</w:t>
            </w:r>
          </w:p>
        </w:tc>
        <w:tc>
          <w:tcPr>
            <w:tcW w:type="dxa" w:w="1224"/>
            <w:vAlign w:val="center"/>
          </w:tcPr>
          <w:p>
            <w:pPr>
              <w:spacing w:after="0"/>
            </w:pPr>
            <w:r/>
            <w:r>
              <w:rPr>
                <w:b w:val="0"/>
                <w:sz w:val="16"/>
              </w:rPr>
              <w:t>3</w:t>
            </w:r>
          </w:p>
        </w:tc>
        <w:tc>
          <w:tcPr>
            <w:tcW w:type="dxa" w:w="1440"/>
            <w:vAlign w:val="center"/>
          </w:tcPr>
          <w:p>
            <w:pPr>
              <w:spacing w:after="0"/>
            </w:pPr>
            <w:r/>
            <w:r>
              <w:rPr>
                <w:b w:val="0"/>
                <w:sz w:val="16"/>
              </w:rPr>
              <w:t>2–4</w:t>
            </w:r>
          </w:p>
        </w:tc>
      </w:tr>
      <w:tr>
        <w:tc>
          <w:tcPr>
            <w:tcW w:type="dxa" w:w="1512"/>
            <w:vAlign w:val="center"/>
            <w:shd w:fill="EEF2F7"/>
          </w:tcPr>
          <w:p>
            <w:pPr>
              <w:spacing w:after="0"/>
            </w:pPr>
            <w:r/>
            <w:r>
              <w:rPr>
                <w:b w:val="0"/>
                <w:sz w:val="16"/>
              </w:rPr>
              <w:t>Subject #2</w:t>
            </w:r>
          </w:p>
        </w:tc>
        <w:tc>
          <w:tcPr>
            <w:tcW w:type="dxa" w:w="1008"/>
            <w:vAlign w:val="center"/>
            <w:shd w:fill="EEF2F7"/>
          </w:tcPr>
          <w:p>
            <w:pPr>
              <w:spacing w:after="0"/>
            </w:pPr>
            <w:r/>
            <w:r>
              <w:rPr>
                <w:b w:val="0"/>
                <w:sz w:val="16"/>
              </w:rPr>
              <w:t>Hand</w:t>
            </w:r>
          </w:p>
        </w:tc>
        <w:tc>
          <w:tcPr>
            <w:tcW w:type="dxa" w:w="3024"/>
            <w:vAlign w:val="center"/>
            <w:shd w:fill="EEF2F7"/>
          </w:tcPr>
          <w:p>
            <w:pPr>
              <w:spacing w:after="0"/>
            </w:pPr>
            <w:r/>
            <w:r>
              <w:rPr>
                <w:b w:val="0"/>
                <w:sz w:val="16"/>
              </w:rPr>
              <w:t>Non-painful monofilament</w:t>
            </w:r>
          </w:p>
        </w:tc>
        <w:tc>
          <w:tcPr>
            <w:tcW w:type="dxa" w:w="1224"/>
            <w:vAlign w:val="center"/>
            <w:shd w:fill="EEF2F7"/>
          </w:tcPr>
          <w:p>
            <w:pPr>
              <w:spacing w:after="0"/>
            </w:pPr>
            <w:r/>
            <w:r>
              <w:rPr>
                <w:b w:val="0"/>
                <w:sz w:val="16"/>
              </w:rPr>
              <w:t>2</w:t>
            </w:r>
          </w:p>
        </w:tc>
        <w:tc>
          <w:tcPr>
            <w:tcW w:type="dxa" w:w="1440"/>
            <w:vAlign w:val="center"/>
            <w:shd w:fill="EEF2F7"/>
          </w:tcPr>
          <w:p>
            <w:pPr>
              <w:spacing w:after="0"/>
            </w:pPr>
            <w:r/>
            <w:r>
              <w:rPr>
                <w:b w:val="0"/>
                <w:sz w:val="16"/>
              </w:rPr>
              <w:t>1–2</w:t>
            </w:r>
          </w:p>
        </w:tc>
      </w:tr>
      <w:tr>
        <w:tc>
          <w:tcPr>
            <w:tcW w:type="dxa" w:w="1512"/>
            <w:vAlign w:val="center"/>
          </w:tcPr>
          <w:p>
            <w:pPr>
              <w:spacing w:after="0"/>
            </w:pPr>
            <w:r/>
            <w:r>
              <w:rPr>
                <w:b w:val="0"/>
                <w:sz w:val="16"/>
              </w:rPr>
              <w:t>Subject #2</w:t>
            </w:r>
          </w:p>
        </w:tc>
        <w:tc>
          <w:tcPr>
            <w:tcW w:type="dxa" w:w="1008"/>
            <w:vAlign w:val="center"/>
          </w:tcPr>
          <w:p>
            <w:pPr>
              <w:spacing w:after="0"/>
            </w:pPr>
            <w:r/>
            <w:r>
              <w:rPr>
                <w:b w:val="0"/>
                <w:sz w:val="16"/>
              </w:rPr>
              <w:t>Back</w:t>
            </w:r>
          </w:p>
        </w:tc>
        <w:tc>
          <w:tcPr>
            <w:tcW w:type="dxa" w:w="3024"/>
            <w:vAlign w:val="center"/>
          </w:tcPr>
          <w:p>
            <w:pPr>
              <w:spacing w:after="0"/>
            </w:pPr>
            <w:r/>
            <w:r>
              <w:rPr>
                <w:b w:val="0"/>
                <w:sz w:val="16"/>
              </w:rPr>
              <w:t>Painful pinprick</w:t>
            </w:r>
          </w:p>
        </w:tc>
        <w:tc>
          <w:tcPr>
            <w:tcW w:type="dxa" w:w="1224"/>
            <w:vAlign w:val="center"/>
          </w:tcPr>
          <w:p>
            <w:pPr>
              <w:spacing w:after="0"/>
            </w:pPr>
            <w:r/>
            <w:r>
              <w:rPr>
                <w:b w:val="0"/>
                <w:sz w:val="16"/>
              </w:rPr>
              <w:t>4</w:t>
            </w:r>
          </w:p>
        </w:tc>
        <w:tc>
          <w:tcPr>
            <w:tcW w:type="dxa" w:w="1440"/>
            <w:vAlign w:val="center"/>
          </w:tcPr>
          <w:p>
            <w:pPr>
              <w:spacing w:after="0"/>
            </w:pPr>
            <w:r/>
            <w:r>
              <w:rPr>
                <w:b w:val="0"/>
                <w:sz w:val="16"/>
              </w:rPr>
              <w:t>3–5</w:t>
            </w:r>
          </w:p>
        </w:tc>
      </w:tr>
      <w:tr>
        <w:tc>
          <w:tcPr>
            <w:tcW w:type="dxa" w:w="1512"/>
            <w:vAlign w:val="center"/>
            <w:shd w:fill="EEF2F7"/>
          </w:tcPr>
          <w:p>
            <w:pPr>
              <w:spacing w:after="0"/>
            </w:pPr>
            <w:r/>
            <w:r>
              <w:rPr>
                <w:b w:val="0"/>
                <w:sz w:val="16"/>
              </w:rPr>
              <w:t>Subject #2</w:t>
            </w:r>
          </w:p>
        </w:tc>
        <w:tc>
          <w:tcPr>
            <w:tcW w:type="dxa" w:w="1008"/>
            <w:vAlign w:val="center"/>
            <w:shd w:fill="EEF2F7"/>
          </w:tcPr>
          <w:p>
            <w:pPr>
              <w:spacing w:after="0"/>
            </w:pPr>
            <w:r/>
            <w:r>
              <w:rPr>
                <w:b w:val="0"/>
                <w:sz w:val="16"/>
              </w:rPr>
              <w:t>Back</w:t>
            </w:r>
          </w:p>
        </w:tc>
        <w:tc>
          <w:tcPr>
            <w:tcW w:type="dxa" w:w="3024"/>
            <w:vAlign w:val="center"/>
            <w:shd w:fill="EEF2F7"/>
          </w:tcPr>
          <w:p>
            <w:pPr>
              <w:spacing w:after="0"/>
            </w:pPr>
            <w:r/>
            <w:r>
              <w:rPr>
                <w:b w:val="0"/>
                <w:sz w:val="16"/>
              </w:rPr>
              <w:t>Non-painful monofilament</w:t>
            </w:r>
          </w:p>
        </w:tc>
        <w:tc>
          <w:tcPr>
            <w:tcW w:type="dxa" w:w="1224"/>
            <w:vAlign w:val="center"/>
            <w:shd w:fill="EEF2F7"/>
          </w:tcPr>
          <w:p>
            <w:pPr>
              <w:spacing w:after="0"/>
            </w:pPr>
            <w:r/>
            <w:r>
              <w:rPr>
                <w:b w:val="0"/>
                <w:sz w:val="16"/>
              </w:rPr>
              <w:t>2</w:t>
            </w:r>
          </w:p>
        </w:tc>
        <w:tc>
          <w:tcPr>
            <w:tcW w:type="dxa" w:w="1440"/>
            <w:vAlign w:val="center"/>
            <w:shd w:fill="EEF2F7"/>
          </w:tcPr>
          <w:p>
            <w:pPr>
              <w:spacing w:after="0"/>
            </w:pPr>
            <w:r/>
            <w:r>
              <w:rPr>
                <w:b w:val="0"/>
                <w:sz w:val="16"/>
              </w:rPr>
              <w:t>2–3</w:t>
            </w:r>
          </w:p>
        </w:tc>
      </w:tr>
    </w:tbl>
    <w:p>
      <w:pPr>
        <w:spacing w:after="20"/>
      </w:pPr>
    </w:p>
    <w:p>
      <w:r>
        <w:t>The painful-minus-non-painful median differences across the four subject/site comparisons were 0, 0.5, 1, and 2 NRS points. These are differences between published medians, not trial-level paired differences; no inferential p-value can be justified from this summary table. In particular, Subject 1’s hand medians were both 1, and the back summaries overlapped. This cautions against equating stimulus category with experienced pain intensity.</w:t>
      </w:r>
    </w:p>
    <w:p>
      <w:pPr>
        <w:pStyle w:val="Heading1"/>
      </w:pPr>
      <w:r>
        <w:t>5. Findings from the original authors (reported, not independently recalculated)</w:t>
      </w:r>
    </w:p>
    <w:p>
      <w:pPr>
        <w:pStyle w:val="ListBullet"/>
      </w:pPr>
      <w:r>
        <w:t>In the 50-person main analysis, 32 participants had clear source-localized evoked potentials and 18 did not. The paper reports a group difference in AUC at rank-sum p = 1.9 × 10⁻⁵, indicating material heterogeneity in signal detectability.</w:t>
      </w:r>
    </w:p>
    <w:p>
      <w:pPr>
        <w:pStyle w:val="ListBullet"/>
      </w:pPr>
      <w:r>
        <w:t>Median detection latency was 180 ms for high-intensity trials and 202 ms for low-intensity trials (rank-sum p = 1.5 × 10⁻⁵). Detection latency and reaction time had a weak, non-significant association (Spearman rho = 0.29, p = 0.06).</w:t>
      </w:r>
    </w:p>
    <w:p>
      <w:pPr>
        <w:pStyle w:val="ListBullet"/>
      </w:pPr>
      <w:r>
        <w:t>The authors report mean cross-subject SSM AUC of 0.62, best single-subject SSM AUC of 0.79 and best supervised SVM AUC of 0.95. The best values are best-case outcomes and should not be interpreted as typical subject-level performance.</w:t>
      </w:r>
    </w:p>
    <w:p>
      <w:pPr>
        <w:pStyle w:val="ListBullet"/>
      </w:pPr>
      <w:r>
        <w:t>The SVM used spectral power in 4–12 Hz, 12–45 Hz and 60–100 Hz bands. The SSM used time-averaged 1–100 Hz EEG amplitude in 100 ms bins and baseline z-scoring. These are literature-backed detector benchmarks, not 0–10 intensity equations.</w:t>
      </w:r>
    </w:p>
    <w:p>
      <w:pPr>
        <w:pStyle w:val="Heading1"/>
      </w:pPr>
      <w:r>
        <w:t>6. Formula coverage and status</w:t>
      </w:r>
    </w:p>
    <w:p>
      <w:r>
        <w:t>The candidate registry now contains 17 families: alpha sigmoid, ordinal regression, ridge, elastic net, GAM, EEG interactions, N2/P2 ERP, spatiotemporal EEG, random forest, gradient boosting, within-person calibration, EWMA smoothing, quantile/rank calibration, artifact-aware QC, mixed-effects regression, state-space change-point detection, and spectral linear SVM.</w:t>
      </w:r>
    </w:p>
    <w:p>
      <w:r>
        <w:t>The last two are literature-informed benchmarks for event detection/classification. They do not produce calibrated 0–10 scores without additional supervised calibration. None of the proposed 0–10 intensity formulas have been fitted or applied to raw trial-level EEG in this runtime; the paper’s Table 2 contains AUC and accuracy summaries, not individual EEG predictors and matched per-trial pain-intensity predictions.</w:t>
      </w:r>
    </w:p>
    <w:p>
      <w:pPr>
        <w:pStyle w:val="Heading1"/>
      </w:pPr>
      <w:r>
        <w:t>7. Test ledger: what has and has not been established</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528"/>
            <w:vAlign w:val="center"/>
            <w:shd w:fill="23385B"/>
          </w:tcPr>
          <w:p>
            <w:pPr>
              <w:spacing w:after="0"/>
            </w:pPr>
            <w:r/>
            <w:r>
              <w:rPr>
                <w:b/>
                <w:color w:val="FFFFFF"/>
                <w:sz w:val="16"/>
              </w:rPr>
              <w:t>Test or work item</w:t>
            </w:r>
          </w:p>
        </w:tc>
        <w:tc>
          <w:tcPr>
            <w:tcW w:type="dxa" w:w="1656"/>
            <w:vAlign w:val="center"/>
            <w:shd w:fill="23385B"/>
          </w:tcPr>
          <w:p>
            <w:pPr>
              <w:spacing w:after="0"/>
            </w:pPr>
            <w:r/>
            <w:r>
              <w:rPr>
                <w:b/>
                <w:color w:val="FFFFFF"/>
                <w:sz w:val="16"/>
              </w:rPr>
              <w:t>Status</w:t>
            </w:r>
          </w:p>
        </w:tc>
        <w:tc>
          <w:tcPr>
            <w:tcW w:type="dxa" w:w="4320"/>
            <w:vAlign w:val="center"/>
            <w:shd w:fill="23385B"/>
          </w:tcPr>
          <w:p>
            <w:pPr>
              <w:spacing w:after="0"/>
            </w:pPr>
            <w:r/>
            <w:r>
              <w:rPr>
                <w:b/>
                <w:color w:val="FFFFFF"/>
                <w:sz w:val="16"/>
              </w:rPr>
              <w:t>Evidence / boundary</w:t>
            </w:r>
          </w:p>
        </w:tc>
      </w:tr>
      <w:tr>
        <w:tc>
          <w:tcPr>
            <w:tcW w:type="dxa" w:w="3528"/>
            <w:vAlign w:val="center"/>
          </w:tcPr>
          <w:p>
            <w:pPr>
              <w:spacing w:after="0"/>
            </w:pPr>
            <w:r/>
            <w:r>
              <w:rPr>
                <w:b w:val="0"/>
                <w:sz w:val="16"/>
              </w:rPr>
              <w:t>Recompute published Table 2 descriptive means/ranges</w:t>
            </w:r>
          </w:p>
        </w:tc>
        <w:tc>
          <w:tcPr>
            <w:tcW w:type="dxa" w:w="1656"/>
            <w:vAlign w:val="center"/>
          </w:tcPr>
          <w:p>
            <w:pPr>
              <w:spacing w:after="0"/>
            </w:pPr>
            <w:r/>
            <w:r>
              <w:rPr>
                <w:b w:val="0"/>
                <w:sz w:val="16"/>
              </w:rPr>
              <w:t>PASS</w:t>
            </w:r>
          </w:p>
        </w:tc>
        <w:tc>
          <w:tcPr>
            <w:tcW w:type="dxa" w:w="4320"/>
            <w:vAlign w:val="center"/>
          </w:tcPr>
          <w:p>
            <w:pPr>
              <w:spacing w:after="0"/>
            </w:pPr>
            <w:r/>
            <w:r>
              <w:rPr>
                <w:b w:val="0"/>
                <w:sz w:val="16"/>
              </w:rPr>
              <w:t>Actual printed paper values; reproducible by script</w:t>
            </w:r>
          </w:p>
        </w:tc>
      </w:tr>
      <w:tr>
        <w:tc>
          <w:tcPr>
            <w:tcW w:type="dxa" w:w="3528"/>
            <w:vAlign w:val="center"/>
            <w:shd w:fill="EEF2F7"/>
          </w:tcPr>
          <w:p>
            <w:pPr>
              <w:spacing w:after="0"/>
            </w:pPr>
            <w:r/>
            <w:r>
              <w:rPr>
                <w:b w:val="0"/>
                <w:sz w:val="16"/>
              </w:rPr>
              <w:t>Paired t, Wilcoxon and exact sign tests on published rows</w:t>
            </w:r>
          </w:p>
        </w:tc>
        <w:tc>
          <w:tcPr>
            <w:tcW w:type="dxa" w:w="1656"/>
            <w:vAlign w:val="center"/>
            <w:shd w:fill="EEF2F7"/>
          </w:tcPr>
          <w:p>
            <w:pPr>
              <w:spacing w:after="0"/>
            </w:pPr>
            <w:r/>
            <w:r>
              <w:rPr>
                <w:b w:val="0"/>
                <w:sz w:val="16"/>
              </w:rPr>
              <w:t>PASS (exploratory)</w:t>
            </w:r>
          </w:p>
        </w:tc>
        <w:tc>
          <w:tcPr>
            <w:tcW w:type="dxa" w:w="4320"/>
            <w:vAlign w:val="center"/>
            <w:shd w:fill="EEF2F7"/>
          </w:tcPr>
          <w:p>
            <w:pPr>
              <w:spacing w:after="0"/>
            </w:pPr>
            <w:r/>
            <w:r>
              <w:rPr>
                <w:b w:val="0"/>
                <w:sz w:val="16"/>
              </w:rPr>
              <w:t>Dependent configuration rows; no population inference</w:t>
            </w:r>
          </w:p>
        </w:tc>
      </w:tr>
      <w:tr>
        <w:tc>
          <w:tcPr>
            <w:tcW w:type="dxa" w:w="3528"/>
            <w:vAlign w:val="center"/>
          </w:tcPr>
          <w:p>
            <w:pPr>
              <w:spacing w:after="0"/>
            </w:pPr>
            <w:r/>
            <w:r>
              <w:rPr>
                <w:b w:val="0"/>
                <w:sz w:val="16"/>
              </w:rPr>
              <w:t>Leave-one-row-out sensitivity</w:t>
            </w:r>
          </w:p>
        </w:tc>
        <w:tc>
          <w:tcPr>
            <w:tcW w:type="dxa" w:w="1656"/>
            <w:vAlign w:val="center"/>
          </w:tcPr>
          <w:p>
            <w:pPr>
              <w:spacing w:after="0"/>
            </w:pPr>
            <w:r/>
            <w:r>
              <w:rPr>
                <w:b w:val="0"/>
                <w:sz w:val="16"/>
              </w:rPr>
              <w:t>PASS (descriptive)</w:t>
            </w:r>
          </w:p>
        </w:tc>
        <w:tc>
          <w:tcPr>
            <w:tcW w:type="dxa" w:w="4320"/>
            <w:vAlign w:val="center"/>
          </w:tcPr>
          <w:p>
            <w:pPr>
              <w:spacing w:after="0"/>
            </w:pPr>
            <w:r/>
            <w:r>
              <w:rPr>
                <w:b w:val="0"/>
                <w:sz w:val="16"/>
              </w:rPr>
              <w:t>Mean advantage remained positive; not an independent validation</w:t>
            </w:r>
          </w:p>
        </w:tc>
      </w:tr>
      <w:tr>
        <w:tc>
          <w:tcPr>
            <w:tcW w:type="dxa" w:w="3528"/>
            <w:vAlign w:val="center"/>
            <w:shd w:fill="EEF2F7"/>
          </w:tcPr>
          <w:p>
            <w:pPr>
              <w:spacing w:after="0"/>
            </w:pPr>
            <w:r/>
            <w:r>
              <w:rPr>
                <w:b w:val="0"/>
                <w:sz w:val="16"/>
              </w:rPr>
              <w:t>Summarize published patient NRS medians/IQRs</w:t>
            </w:r>
          </w:p>
        </w:tc>
        <w:tc>
          <w:tcPr>
            <w:tcW w:type="dxa" w:w="1656"/>
            <w:vAlign w:val="center"/>
            <w:shd w:fill="EEF2F7"/>
          </w:tcPr>
          <w:p>
            <w:pPr>
              <w:spacing w:after="0"/>
            </w:pPr>
            <w:r/>
            <w:r>
              <w:rPr>
                <w:b w:val="0"/>
                <w:sz w:val="16"/>
              </w:rPr>
              <w:t>PASS</w:t>
            </w:r>
          </w:p>
        </w:tc>
        <w:tc>
          <w:tcPr>
            <w:tcW w:type="dxa" w:w="4320"/>
            <w:vAlign w:val="center"/>
            <w:shd w:fill="EEF2F7"/>
          </w:tcPr>
          <w:p>
            <w:pPr>
              <w:spacing w:after="0"/>
            </w:pPr>
            <w:r/>
            <w:r>
              <w:rPr>
                <w:b w:val="0"/>
                <w:sz w:val="16"/>
              </w:rPr>
              <w:t>Aggregate summaries only; cannot test trial-level differences</w:t>
            </w:r>
          </w:p>
        </w:tc>
      </w:tr>
      <w:tr>
        <w:tc>
          <w:tcPr>
            <w:tcW w:type="dxa" w:w="3528"/>
            <w:vAlign w:val="center"/>
          </w:tcPr>
          <w:p>
            <w:pPr>
              <w:spacing w:after="0"/>
            </w:pPr>
            <w:r/>
            <w:r>
              <w:rPr>
                <w:b w:val="0"/>
                <w:sz w:val="16"/>
              </w:rPr>
              <w:t>Project software boundary/property tests</w:t>
            </w:r>
          </w:p>
        </w:tc>
        <w:tc>
          <w:tcPr>
            <w:tcW w:type="dxa" w:w="1656"/>
            <w:vAlign w:val="center"/>
          </w:tcPr>
          <w:p>
            <w:pPr>
              <w:spacing w:after="0"/>
            </w:pPr>
            <w:r/>
            <w:r>
              <w:rPr>
                <w:b w:val="0"/>
                <w:sz w:val="16"/>
              </w:rPr>
              <w:t>PASS in earlier run</w:t>
            </w:r>
          </w:p>
        </w:tc>
        <w:tc>
          <w:tcPr>
            <w:tcW w:type="dxa" w:w="4320"/>
            <w:vAlign w:val="center"/>
          </w:tcPr>
          <w:p>
            <w:pPr>
              <w:spacing w:after="0"/>
            </w:pPr>
            <w:r/>
            <w:r>
              <w:rPr>
                <w:b w:val="0"/>
                <w:sz w:val="16"/>
              </w:rPr>
              <w:t>Score-bound, sigmoid-bound, EWMA recurrence, zero-MAD and input guard checks; synthetic software fixtures only</w:t>
            </w:r>
          </w:p>
        </w:tc>
      </w:tr>
      <w:tr>
        <w:tc>
          <w:tcPr>
            <w:tcW w:type="dxa" w:w="3528"/>
            <w:vAlign w:val="center"/>
            <w:shd w:fill="EEF2F7"/>
          </w:tcPr>
          <w:p>
            <w:pPr>
              <w:spacing w:after="0"/>
            </w:pPr>
            <w:r/>
            <w:r>
              <w:rPr>
                <w:b w:val="0"/>
                <w:sz w:val="16"/>
              </w:rPr>
              <w:t>Extract features from raw participant EEG here</w:t>
            </w:r>
          </w:p>
        </w:tc>
        <w:tc>
          <w:tcPr>
            <w:tcW w:type="dxa" w:w="1656"/>
            <w:vAlign w:val="center"/>
            <w:shd w:fill="EEF2F7"/>
          </w:tcPr>
          <w:p>
            <w:pPr>
              <w:spacing w:after="0"/>
            </w:pPr>
            <w:r/>
            <w:r>
              <w:rPr>
                <w:b w:val="0"/>
                <w:sz w:val="16"/>
              </w:rPr>
              <w:t>BLOCKED</w:t>
            </w:r>
          </w:p>
        </w:tc>
        <w:tc>
          <w:tcPr>
            <w:tcW w:type="dxa" w:w="4320"/>
            <w:vAlign w:val="center"/>
            <w:shd w:fill="EEF2F7"/>
          </w:tcPr>
          <w:p>
            <w:pPr>
              <w:spacing w:after="0"/>
            </w:pPr>
            <w:r/>
            <w:r>
              <w:rPr>
                <w:b w:val="0"/>
                <w:sz w:val="16"/>
              </w:rPr>
              <w:t>The runtime cannot resolve raw.githubusercontent.com, api.github.com or openneuro.org; no raw EEG files are present locally</w:t>
            </w:r>
          </w:p>
        </w:tc>
      </w:tr>
      <w:tr>
        <w:tc>
          <w:tcPr>
            <w:tcW w:type="dxa" w:w="3528"/>
            <w:vAlign w:val="center"/>
          </w:tcPr>
          <w:p>
            <w:pPr>
              <w:spacing w:after="0"/>
            </w:pPr>
            <w:r/>
            <w:r>
              <w:rPr>
                <w:b w:val="0"/>
                <w:sz w:val="16"/>
              </w:rPr>
              <w:t>Fit/evaluate proposed 0–10 pain intensity equations on actual trial rows</w:t>
            </w:r>
          </w:p>
        </w:tc>
        <w:tc>
          <w:tcPr>
            <w:tcW w:type="dxa" w:w="1656"/>
            <w:vAlign w:val="center"/>
          </w:tcPr>
          <w:p>
            <w:pPr>
              <w:spacing w:after="0"/>
            </w:pPr>
            <w:r/>
            <w:r>
              <w:rPr>
                <w:b w:val="0"/>
                <w:sz w:val="16"/>
              </w:rPr>
              <w:t>NOT RUN</w:t>
            </w:r>
          </w:p>
        </w:tc>
        <w:tc>
          <w:tcPr>
            <w:tcW w:type="dxa" w:w="4320"/>
            <w:vAlign w:val="center"/>
          </w:tcPr>
          <w:p>
            <w:pPr>
              <w:spacing w:after="0"/>
            </w:pPr>
            <w:r/>
            <w:r>
              <w:rPr>
                <w:b w:val="0"/>
                <w:sz w:val="16"/>
              </w:rPr>
              <w:t>Would require trial-level EEG and paired rating labels</w:t>
            </w:r>
          </w:p>
        </w:tc>
      </w:tr>
      <w:tr>
        <w:tc>
          <w:tcPr>
            <w:tcW w:type="dxa" w:w="3528"/>
            <w:vAlign w:val="center"/>
            <w:shd w:fill="EEF2F7"/>
          </w:tcPr>
          <w:p>
            <w:pPr>
              <w:spacing w:after="0"/>
            </w:pPr>
            <w:r/>
            <w:r>
              <w:rPr>
                <w:b w:val="0"/>
                <w:sz w:val="16"/>
              </w:rPr>
              <w:t>Clinical patient generalization</w:t>
            </w:r>
          </w:p>
        </w:tc>
        <w:tc>
          <w:tcPr>
            <w:tcW w:type="dxa" w:w="1656"/>
            <w:vAlign w:val="center"/>
            <w:shd w:fill="EEF2F7"/>
          </w:tcPr>
          <w:p>
            <w:pPr>
              <w:spacing w:after="0"/>
            </w:pPr>
            <w:r/>
            <w:r>
              <w:rPr>
                <w:b w:val="0"/>
                <w:sz w:val="16"/>
              </w:rPr>
              <w:t>NOT ESTABLISHED</w:t>
            </w:r>
          </w:p>
        </w:tc>
        <w:tc>
          <w:tcPr>
            <w:tcW w:type="dxa" w:w="4320"/>
            <w:vAlign w:val="center"/>
            <w:shd w:fill="EEF2F7"/>
          </w:tcPr>
          <w:p>
            <w:pPr>
              <w:spacing w:after="0"/>
            </w:pPr>
            <w:r/>
            <w:r>
              <w:rPr>
                <w:b w:val="0"/>
                <w:sz w:val="16"/>
              </w:rPr>
              <w:t>Published second dataset contains two chronic-back-pain patients receiving test stimuli; it is not a clinical validation cohort for acute injury/postoperative pain</w:t>
            </w:r>
          </w:p>
        </w:tc>
      </w:tr>
    </w:tbl>
    <w:p>
      <w:pPr>
        <w:spacing w:after="20"/>
      </w:pPr>
    </w:p>
    <w:p>
      <w:pPr>
        <w:pStyle w:val="Heading1"/>
      </w:pPr>
      <w:r>
        <w:t>8. Next empirical gate</w:t>
      </w:r>
    </w:p>
    <w:p>
      <w:r>
        <w:t>To finish the requested formula validation, the analysis must have actual participant EEG or source signals with trial identifiers and matching NRS ratings. The intended analysis then requires group-wise held-out evaluation, trial-level predictions, subject-cluster bootstrap confidence intervals, participant-preserving permutation tests, temporal holdout, external dataset validation and pre-specified multiplicity control. Until this is executed, no winner, coefficient, calibration claim or clinical readiness claim is warranted.</w:t>
      </w:r>
    </w:p>
    <w:p>
      <w:r>
        <w:t>Source/data links:</w:t>
      </w:r>
    </w:p>
    <w:p>
      <w:pPr>
        <w:pStyle w:val="ListBullet"/>
      </w:pPr>
      <w:r>
        <w:t>Sun et al. full text: https://pmc.ncbi.nlm.nih.gov/articles/PMC7744433/</w:t>
      </w:r>
    </w:p>
    <w:p>
      <w:pPr>
        <w:pStyle w:val="ListBullet"/>
      </w:pPr>
      <w:r>
        <w:t>Public acute-pain EEG dataset cited by the study: https://osf.io/bsv86/</w:t>
      </w:r>
    </w:p>
    <w:p>
      <w:pPr>
        <w:pStyle w:val="ListBullet"/>
      </w:pPr>
      <w:r>
        <w:t>Large-scale laser-evoked EEG collection (678 healthy participants): https://pmc.ncbi.nlm.nih.gov/articles/PMC12405539/</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EEG Pain Scale Project • Evidence-bound benchmark reanalysis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234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234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2345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2234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