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85B"/>
          <w:sz w:val="46"/>
        </w:rPr>
        <w:t>EEG-Only Acute-Pain Formula Validation</w:t>
      </w:r>
    </w:p>
    <w:p>
      <w:pPr>
        <w:jc w:val="center"/>
      </w:pPr>
      <w:r>
        <w:rPr>
          <w:i/>
          <w:sz w:val="22"/>
        </w:rPr>
        <w:t>Consolidated empirical results, formula comparisons, and test-status audit</w:t>
      </w:r>
    </w:p>
    <w:p>
      <w:pPr>
        <w:jc w:val="center"/>
      </w:pPr>
      <w:r>
        <w:rPr>
          <w:sz w:val="18"/>
        </w:rPr>
        <w:t>Version date: 26 October 2026 | Aggregate-level testing reproduced locally</w:t>
      </w:r>
    </w:p>
    <w:p>
      <w:r>
        <w:rPr>
          <w:b/>
        </w:rPr>
        <w:t xml:space="preserve">Core finding: </w:t>
      </w:r>
      <w:r>
        <w:t>three simple EEG formulas were applied to genuine published group-average N2/P2 values and tested with a leave-one-pain-band-out calculation. These are aggregate checks only. Individual trial and patient validation is not completed because no paired trial-level EEG feature matrix could be downloaded into the compute environment.</w:t>
      </w:r>
    </w:p>
    <w:tbl>
      <w:tblPr>
        <w:tblStyle w:val="TableGrid"/>
        <w:tblW w:type="auto" w:w="0"/>
        <w:tblLook w:firstColumn="1" w:firstRow="1" w:lastColumn="0" w:lastRow="0" w:noHBand="0" w:noVBand="1" w:val="04A0"/>
      </w:tblPr>
      <w:tblGrid>
        <w:gridCol w:w="10166"/>
      </w:tblGrid>
      <w:tr>
        <w:tc>
          <w:tcPr>
            <w:tcW w:type="dxa" w:w="10166"/>
            <w:shd w:fill="FFF2CC"/>
            <w:vAlign w:val="center"/>
          </w:tcPr>
          <w:p>
            <w:pPr>
              <w:spacing w:after="20" w:before="20"/>
            </w:pPr>
            <w:r/>
            <w:r>
              <w:rPr>
                <w:rFonts w:ascii="Aptos" w:hAnsi="Aptos"/>
                <w:b/>
                <w:color w:val="7F6000"/>
                <w:sz w:val="18"/>
              </w:rPr>
              <w:t>DO NOT USE CLINICALLY. The 5, 7 and 9 targets below are assigned NRS band midpoints, not observed trial-level mean ratings. Near-perfect scores are expected when a line is calibrated on three group means; they do not validate an individual pain scale.</w:t>
            </w:r>
          </w:p>
        </w:tc>
      </w:tr>
    </w:tbl>
    <w:p/>
    <w:p>
      <w:pPr>
        <w:pStyle w:val="Heading1"/>
      </w:pPr>
      <w:r>
        <w:t>1. Data and signal values</w:t>
      </w:r>
    </w:p>
    <w:p>
      <w:r>
        <w:t>The primary numerical source is Li et al. (2018), which reports group-average N2 and P2 laser-evoked potential peak amplitudes for three pain-rating bands. N2–P2 is derived here by subtracting the published mean N2 peak from the mean P2 peak. The standard deviation of N2–P2 was not derived because the N2/P2 covariance is unavailable in this table.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944"/>
            <w:vAlign w:val="center"/>
            <w:shd w:fill="23385B"/>
          </w:tcPr>
          <w:p>
            <w:pPr>
              <w:spacing w:after="20" w:before="20"/>
            </w:pPr>
            <w:r/>
            <w:r>
              <w:rPr>
                <w:rFonts w:ascii="Aptos" w:hAnsi="Aptos"/>
                <w:b/>
                <w:color w:val="FFFFFF"/>
                <w:sz w:val="17"/>
              </w:rPr>
              <w:t>Pain-rating band</w:t>
            </w:r>
          </w:p>
        </w:tc>
        <w:tc>
          <w:tcPr>
            <w:tcW w:type="dxa" w:w="1080"/>
            <w:vAlign w:val="center"/>
            <w:shd w:fill="23385B"/>
          </w:tcPr>
          <w:p>
            <w:pPr>
              <w:spacing w:after="20" w:before="20"/>
            </w:pPr>
            <w:r/>
            <w:r>
              <w:rPr>
                <w:rFonts w:ascii="Aptos" w:hAnsi="Aptos"/>
                <w:b/>
                <w:color w:val="FFFFFF"/>
                <w:sz w:val="17"/>
              </w:rPr>
              <w:t>Assigned target*</w:t>
            </w:r>
          </w:p>
        </w:tc>
        <w:tc>
          <w:tcPr>
            <w:tcW w:type="dxa" w:w="1656"/>
            <w:vAlign w:val="center"/>
            <w:shd w:fill="23385B"/>
          </w:tcPr>
          <w:p>
            <w:pPr>
              <w:spacing w:after="20" w:before="20"/>
            </w:pPr>
            <w:r/>
            <w:r>
              <w:rPr>
                <w:rFonts w:ascii="Aptos" w:hAnsi="Aptos"/>
                <w:b/>
                <w:color w:val="FFFFFF"/>
                <w:sz w:val="17"/>
              </w:rPr>
              <w:t>N2 mean ± SD (µV)</w:t>
            </w:r>
          </w:p>
        </w:tc>
        <w:tc>
          <w:tcPr>
            <w:tcW w:type="dxa" w:w="1656"/>
            <w:vAlign w:val="center"/>
            <w:shd w:fill="23385B"/>
          </w:tcPr>
          <w:p>
            <w:pPr>
              <w:spacing w:after="20" w:before="20"/>
            </w:pPr>
            <w:r/>
            <w:r>
              <w:rPr>
                <w:rFonts w:ascii="Aptos" w:hAnsi="Aptos"/>
                <w:b/>
                <w:color w:val="FFFFFF"/>
                <w:sz w:val="17"/>
              </w:rPr>
              <w:t>P2 mean ± SD (µV)</w:t>
            </w:r>
          </w:p>
        </w:tc>
        <w:tc>
          <w:tcPr>
            <w:tcW w:type="dxa" w:w="1512"/>
            <w:vAlign w:val="center"/>
            <w:shd w:fill="23385B"/>
          </w:tcPr>
          <w:p>
            <w:pPr>
              <w:spacing w:after="20" w:before="20"/>
            </w:pPr>
            <w:r/>
            <w:r>
              <w:rPr>
                <w:rFonts w:ascii="Aptos" w:hAnsi="Aptos"/>
                <w:b/>
                <w:color w:val="FFFFFF"/>
                <w:sz w:val="17"/>
              </w:rPr>
              <w:t>Derived N2–P2 (µV)</w:t>
            </w:r>
          </w:p>
        </w:tc>
      </w:tr>
      <w:tr>
        <w:tc>
          <w:tcPr>
            <w:tcW w:type="dxa" w:w="1944"/>
            <w:vAlign w:val="center"/>
          </w:tcPr>
          <w:p>
            <w:pPr>
              <w:spacing w:after="20" w:before="20"/>
            </w:pPr>
            <w:r/>
            <w:r>
              <w:rPr>
                <w:rFonts w:ascii="Aptos" w:hAnsi="Aptos"/>
                <w:b w:val="0"/>
                <w:sz w:val="17"/>
              </w:rPr>
              <w:t>4 &lt; NRS &lt;= 6</w:t>
            </w:r>
          </w:p>
        </w:tc>
        <w:tc>
          <w:tcPr>
            <w:tcW w:type="dxa" w:w="1080"/>
            <w:vAlign w:val="center"/>
          </w:tcPr>
          <w:p>
            <w:pPr>
              <w:spacing w:after="20" w:before="20"/>
            </w:pPr>
            <w:r/>
            <w:r>
              <w:rPr>
                <w:rFonts w:ascii="Aptos" w:hAnsi="Aptos"/>
                <w:b w:val="0"/>
                <w:sz w:val="17"/>
              </w:rPr>
              <w:t>5.0</w:t>
            </w:r>
          </w:p>
        </w:tc>
        <w:tc>
          <w:tcPr>
            <w:tcW w:type="dxa" w:w="1656"/>
            <w:vAlign w:val="center"/>
          </w:tcPr>
          <w:p>
            <w:pPr>
              <w:spacing w:after="20" w:before="20"/>
            </w:pPr>
            <w:r/>
            <w:r>
              <w:rPr>
                <w:rFonts w:ascii="Aptos" w:hAnsi="Aptos"/>
                <w:b w:val="0"/>
                <w:sz w:val="17"/>
              </w:rPr>
              <w:t>-7.58 ± 8.88</w:t>
            </w:r>
          </w:p>
        </w:tc>
        <w:tc>
          <w:tcPr>
            <w:tcW w:type="dxa" w:w="1656"/>
            <w:vAlign w:val="center"/>
          </w:tcPr>
          <w:p>
            <w:pPr>
              <w:spacing w:after="20" w:before="20"/>
            </w:pPr>
            <w:r/>
            <w:r>
              <w:rPr>
                <w:rFonts w:ascii="Aptos" w:hAnsi="Aptos"/>
                <w:b w:val="0"/>
                <w:sz w:val="17"/>
              </w:rPr>
              <w:t>7.14 ± 8.20</w:t>
            </w:r>
          </w:p>
        </w:tc>
        <w:tc>
          <w:tcPr>
            <w:tcW w:type="dxa" w:w="1512"/>
            <w:vAlign w:val="center"/>
          </w:tcPr>
          <w:p>
            <w:pPr>
              <w:spacing w:after="20" w:before="20"/>
            </w:pPr>
            <w:r/>
            <w:r>
              <w:rPr>
                <w:rFonts w:ascii="Aptos" w:hAnsi="Aptos"/>
                <w:b w:val="0"/>
                <w:sz w:val="17"/>
              </w:rPr>
              <w:t>14.72</w:t>
            </w:r>
          </w:p>
        </w:tc>
      </w:tr>
      <w:tr>
        <w:tc>
          <w:tcPr>
            <w:tcW w:type="dxa" w:w="1944"/>
            <w:vAlign w:val="center"/>
            <w:shd w:fill="F2F5F9"/>
          </w:tcPr>
          <w:p>
            <w:pPr>
              <w:spacing w:after="20" w:before="20"/>
            </w:pPr>
            <w:r/>
            <w:r>
              <w:rPr>
                <w:rFonts w:ascii="Aptos" w:hAnsi="Aptos"/>
                <w:b w:val="0"/>
                <w:sz w:val="17"/>
              </w:rPr>
              <w:t>6 &lt; NRS &lt;= 8</w:t>
            </w:r>
          </w:p>
        </w:tc>
        <w:tc>
          <w:tcPr>
            <w:tcW w:type="dxa" w:w="1080"/>
            <w:vAlign w:val="center"/>
            <w:shd w:fill="F2F5F9"/>
          </w:tcPr>
          <w:p>
            <w:pPr>
              <w:spacing w:after="20" w:before="20"/>
            </w:pPr>
            <w:r/>
            <w:r>
              <w:rPr>
                <w:rFonts w:ascii="Aptos" w:hAnsi="Aptos"/>
                <w:b w:val="0"/>
                <w:sz w:val="17"/>
              </w:rPr>
              <w:t>7.0</w:t>
            </w:r>
          </w:p>
        </w:tc>
        <w:tc>
          <w:tcPr>
            <w:tcW w:type="dxa" w:w="1656"/>
            <w:vAlign w:val="center"/>
            <w:shd w:fill="F2F5F9"/>
          </w:tcPr>
          <w:p>
            <w:pPr>
              <w:spacing w:after="20" w:before="20"/>
            </w:pPr>
            <w:r/>
            <w:r>
              <w:rPr>
                <w:rFonts w:ascii="Aptos" w:hAnsi="Aptos"/>
                <w:b w:val="0"/>
                <w:sz w:val="17"/>
              </w:rPr>
              <w:t>-19.06 ± 12.72</w:t>
            </w:r>
          </w:p>
        </w:tc>
        <w:tc>
          <w:tcPr>
            <w:tcW w:type="dxa" w:w="1656"/>
            <w:vAlign w:val="center"/>
            <w:shd w:fill="F2F5F9"/>
          </w:tcPr>
          <w:p>
            <w:pPr>
              <w:spacing w:after="20" w:before="20"/>
            </w:pPr>
            <w:r/>
            <w:r>
              <w:rPr>
                <w:rFonts w:ascii="Aptos" w:hAnsi="Aptos"/>
                <w:b w:val="0"/>
                <w:sz w:val="17"/>
              </w:rPr>
              <w:t>19.38 ± 11.98</w:t>
            </w:r>
          </w:p>
        </w:tc>
        <w:tc>
          <w:tcPr>
            <w:tcW w:type="dxa" w:w="1512"/>
            <w:vAlign w:val="center"/>
            <w:shd w:fill="F2F5F9"/>
          </w:tcPr>
          <w:p>
            <w:pPr>
              <w:spacing w:after="20" w:before="20"/>
            </w:pPr>
            <w:r/>
            <w:r>
              <w:rPr>
                <w:rFonts w:ascii="Aptos" w:hAnsi="Aptos"/>
                <w:b w:val="0"/>
                <w:sz w:val="17"/>
              </w:rPr>
              <w:t>38.44</w:t>
            </w:r>
          </w:p>
        </w:tc>
      </w:tr>
      <w:tr>
        <w:tc>
          <w:tcPr>
            <w:tcW w:type="dxa" w:w="1944"/>
            <w:vAlign w:val="center"/>
          </w:tcPr>
          <w:p>
            <w:pPr>
              <w:spacing w:after="20" w:before="20"/>
            </w:pPr>
            <w:r/>
            <w:r>
              <w:rPr>
                <w:rFonts w:ascii="Aptos" w:hAnsi="Aptos"/>
                <w:b w:val="0"/>
                <w:sz w:val="17"/>
              </w:rPr>
              <w:t>8 &lt; NRS &lt;= 10</w:t>
            </w:r>
          </w:p>
        </w:tc>
        <w:tc>
          <w:tcPr>
            <w:tcW w:type="dxa" w:w="1080"/>
            <w:vAlign w:val="center"/>
          </w:tcPr>
          <w:p>
            <w:pPr>
              <w:spacing w:after="20" w:before="20"/>
            </w:pPr>
            <w:r/>
            <w:r>
              <w:rPr>
                <w:rFonts w:ascii="Aptos" w:hAnsi="Aptos"/>
                <w:b w:val="0"/>
                <w:sz w:val="17"/>
              </w:rPr>
              <w:t>9.0</w:t>
            </w:r>
          </w:p>
        </w:tc>
        <w:tc>
          <w:tcPr>
            <w:tcW w:type="dxa" w:w="1656"/>
            <w:vAlign w:val="center"/>
          </w:tcPr>
          <w:p>
            <w:pPr>
              <w:spacing w:after="20" w:before="20"/>
            </w:pPr>
            <w:r/>
            <w:r>
              <w:rPr>
                <w:rFonts w:ascii="Aptos" w:hAnsi="Aptos"/>
                <w:b w:val="0"/>
                <w:sz w:val="17"/>
              </w:rPr>
              <w:t>-30.13 ± 18.84</w:t>
            </w:r>
          </w:p>
        </w:tc>
        <w:tc>
          <w:tcPr>
            <w:tcW w:type="dxa" w:w="1656"/>
            <w:vAlign w:val="center"/>
          </w:tcPr>
          <w:p>
            <w:pPr>
              <w:spacing w:after="20" w:before="20"/>
            </w:pPr>
            <w:r/>
            <w:r>
              <w:rPr>
                <w:rFonts w:ascii="Aptos" w:hAnsi="Aptos"/>
                <w:b w:val="0"/>
                <w:sz w:val="17"/>
              </w:rPr>
              <w:t>31.34 ± 12.70</w:t>
            </w:r>
          </w:p>
        </w:tc>
        <w:tc>
          <w:tcPr>
            <w:tcW w:type="dxa" w:w="1512"/>
            <w:vAlign w:val="center"/>
          </w:tcPr>
          <w:p>
            <w:pPr>
              <w:spacing w:after="20" w:before="20"/>
            </w:pPr>
            <w:r/>
            <w:r>
              <w:rPr>
                <w:rFonts w:ascii="Aptos" w:hAnsi="Aptos"/>
                <w:b w:val="0"/>
                <w:sz w:val="17"/>
              </w:rPr>
              <w:t>61.47</w:t>
            </w:r>
          </w:p>
        </w:tc>
      </w:tr>
    </w:tbl>
    <w:p>
      <w:pPr>
        <w:spacing w:after="20"/>
      </w:pPr>
    </w:p>
    <w:p>
      <w:r>
        <w:rPr>
          <w:i/>
          <w:sz w:val="16"/>
        </w:rPr>
        <w:t>*Targets 5, 7 and 9 are band midpoints used for this exploratory calibration, not individual observed NRS values. Source: https://pmc.ncbi.nlm.nih.gov/articles/PMC5991169/</w:t>
      </w:r>
    </w:p>
    <w:p>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aggregate_signal_trend.png"/>
                    <pic:cNvPicPr/>
                  </pic:nvPicPr>
                  <pic:blipFill>
                    <a:blip r:embed="rId9"/>
                    <a:stretch>
                      <a:fillRect/>
                    </a:stretch>
                  </pic:blipFill>
                  <pic:spPr>
                    <a:xfrm>
                      <a:off x="0" y="0"/>
                      <a:ext cx="6035040" cy="3621024"/>
                    </a:xfrm>
                    <a:prstGeom prst="rect"/>
                  </pic:spPr>
                </pic:pic>
              </a:graphicData>
            </a:graphic>
          </wp:inline>
        </w:drawing>
      </w:r>
    </w:p>
    <w:p>
      <w:pPr>
        <w:pStyle w:val="Heading1"/>
      </w:pPr>
      <w:r>
        <w:t>2. Formulas actually fitted and applied</w:t>
      </w:r>
    </w:p>
    <w:p>
      <w:r>
        <w:t>Each fitted linear equation maps one published aggregate feature to the assigned midpoint. They are applied to the same three aggregate points used to estimate coefficients; the leave-one-band-out check refits to the other two band means and predicts the omitted band.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23385B"/>
          </w:tcPr>
          <w:p>
            <w:pPr>
              <w:spacing w:after="20" w:before="20"/>
            </w:pPr>
            <w:r/>
            <w:r>
              <w:rPr>
                <w:rFonts w:ascii="Aptos" w:hAnsi="Aptos"/>
                <w:b/>
                <w:color w:val="FFFFFF"/>
                <w:sz w:val="17"/>
              </w:rPr>
              <w:t>Formula</w:t>
            </w:r>
          </w:p>
        </w:tc>
        <w:tc>
          <w:tcPr>
            <w:tcW w:type="dxa" w:w="7488"/>
            <w:vAlign w:val="center"/>
            <w:shd w:fill="23385B"/>
          </w:tcPr>
          <w:p>
            <w:pPr>
              <w:spacing w:after="20" w:before="20"/>
            </w:pPr>
            <w:r/>
            <w:r>
              <w:rPr>
                <w:rFonts w:ascii="Aptos" w:hAnsi="Aptos"/>
                <w:b/>
                <w:color w:val="FFFFFF"/>
                <w:sz w:val="17"/>
              </w:rPr>
              <w:t>Score equation</w:t>
            </w:r>
          </w:p>
        </w:tc>
      </w:tr>
      <w:tr>
        <w:tc>
          <w:tcPr>
            <w:tcW w:type="dxa" w:w="2304"/>
            <w:vAlign w:val="center"/>
          </w:tcPr>
          <w:p>
            <w:pPr>
              <w:spacing w:after="20" w:before="20"/>
            </w:pPr>
            <w:r/>
            <w:r>
              <w:rPr>
                <w:rFonts w:ascii="Aptos" w:hAnsi="Aptos"/>
                <w:b w:val="0"/>
                <w:sz w:val="17"/>
              </w:rPr>
              <w:t>F-P2</w:t>
            </w:r>
          </w:p>
        </w:tc>
        <w:tc>
          <w:tcPr>
            <w:tcW w:type="dxa" w:w="7488"/>
            <w:vAlign w:val="center"/>
          </w:tcPr>
          <w:p>
            <w:pPr>
              <w:spacing w:after="20" w:before="20"/>
            </w:pPr>
            <w:r/>
            <w:r>
              <w:rPr>
                <w:rFonts w:ascii="Aptos" w:hAnsi="Aptos"/>
                <w:b w:val="0"/>
                <w:sz w:val="17"/>
              </w:rPr>
              <w:t>ŷ = 3.812263 + 0.165282 × P2 (µV)</w:t>
            </w:r>
          </w:p>
        </w:tc>
      </w:tr>
      <w:tr>
        <w:tc>
          <w:tcPr>
            <w:tcW w:type="dxa" w:w="2304"/>
            <w:vAlign w:val="center"/>
            <w:shd w:fill="F2F5F9"/>
          </w:tcPr>
          <w:p>
            <w:pPr>
              <w:spacing w:after="20" w:before="20"/>
            </w:pPr>
            <w:r/>
            <w:r>
              <w:rPr>
                <w:rFonts w:ascii="Aptos" w:hAnsi="Aptos"/>
                <w:b w:val="0"/>
                <w:sz w:val="17"/>
              </w:rPr>
              <w:t>F-N2P2</w:t>
            </w:r>
          </w:p>
        </w:tc>
        <w:tc>
          <w:tcPr>
            <w:tcW w:type="dxa" w:w="7488"/>
            <w:vAlign w:val="center"/>
            <w:shd w:fill="F2F5F9"/>
          </w:tcPr>
          <w:p>
            <w:pPr>
              <w:spacing w:after="20" w:before="20"/>
            </w:pPr>
            <w:r/>
            <w:r>
              <w:rPr>
                <w:rFonts w:ascii="Aptos" w:hAnsi="Aptos"/>
                <w:b w:val="0"/>
                <w:sz w:val="17"/>
              </w:rPr>
              <w:t>ŷ = 3.730933 + 0.085555 × (P2 − N2) (µV)</w:t>
            </w:r>
          </w:p>
        </w:tc>
      </w:tr>
      <w:tr>
        <w:tc>
          <w:tcPr>
            <w:tcW w:type="dxa" w:w="2304"/>
            <w:vAlign w:val="center"/>
          </w:tcPr>
          <w:p>
            <w:pPr>
              <w:spacing w:after="20" w:before="20"/>
            </w:pPr>
            <w:r/>
            <w:r>
              <w:rPr>
                <w:rFonts w:ascii="Aptos" w:hAnsi="Aptos"/>
                <w:b w:val="0"/>
                <w:sz w:val="17"/>
              </w:rPr>
              <w:t>F-|N2|</w:t>
            </w:r>
          </w:p>
        </w:tc>
        <w:tc>
          <w:tcPr>
            <w:tcW w:type="dxa" w:w="7488"/>
            <w:vAlign w:val="center"/>
          </w:tcPr>
          <w:p>
            <w:pPr>
              <w:spacing w:after="20" w:before="20"/>
            </w:pPr>
            <w:r/>
            <w:r>
              <w:rPr>
                <w:rFonts w:ascii="Aptos" w:hAnsi="Aptos"/>
                <w:b w:val="0"/>
                <w:sz w:val="17"/>
              </w:rPr>
              <w:t>ŷ = 3.643681 + 0.177364 × |N2| (µV)</w:t>
            </w:r>
          </w:p>
        </w:tc>
      </w:tr>
      <w:tr>
        <w:tc>
          <w:tcPr>
            <w:tcW w:type="dxa" w:w="2304"/>
            <w:vAlign w:val="center"/>
            <w:shd w:fill="F2F5F9"/>
          </w:tcPr>
          <w:p>
            <w:pPr>
              <w:spacing w:after="20" w:before="20"/>
            </w:pPr>
            <w:r/>
            <w:r>
              <w:rPr>
                <w:rFonts w:ascii="Aptos" w:hAnsi="Aptos"/>
                <w:b w:val="0"/>
                <w:sz w:val="17"/>
              </w:rPr>
              <w:t>External P2 power law</w:t>
            </w:r>
          </w:p>
        </w:tc>
        <w:tc>
          <w:tcPr>
            <w:tcW w:type="dxa" w:w="7488"/>
            <w:vAlign w:val="center"/>
            <w:shd w:fill="F2F5F9"/>
          </w:tcPr>
          <w:p>
            <w:pPr>
              <w:spacing w:after="20" w:before="20"/>
            </w:pPr>
            <w:r/>
            <w:r>
              <w:rPr>
                <w:rFonts w:ascii="Aptos" w:hAnsi="Aptos"/>
                <w:b w:val="0"/>
                <w:sz w:val="17"/>
              </w:rPr>
              <w:t>ŷ = (P2 / 8.1)^(1/0.78), clipped to 0–10; inverse of a previously published equation, not fitted to these values</w:t>
            </w:r>
          </w:p>
        </w:tc>
      </w:tr>
    </w:tbl>
    <w:p>
      <w:pPr>
        <w:spacing w:after="20"/>
      </w:pPr>
    </w:p>
    <w:p>
      <w:pPr>
        <w:pStyle w:val="Heading1"/>
      </w:pPr>
      <w:r>
        <w:t>3. Numerical performance comparison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584"/>
            <w:vAlign w:val="center"/>
            <w:shd w:fill="23385B"/>
          </w:tcPr>
          <w:p>
            <w:pPr>
              <w:spacing w:after="20" w:before="20"/>
            </w:pPr>
            <w:r/>
            <w:r>
              <w:rPr>
                <w:rFonts w:ascii="Aptos" w:hAnsi="Aptos"/>
                <w:b/>
                <w:color w:val="FFFFFF"/>
                <w:sz w:val="14"/>
              </w:rPr>
              <w:t>Formula</w:t>
            </w:r>
          </w:p>
        </w:tc>
        <w:tc>
          <w:tcPr>
            <w:tcW w:type="dxa" w:w="1224"/>
            <w:vAlign w:val="center"/>
            <w:shd w:fill="23385B"/>
          </w:tcPr>
          <w:p>
            <w:pPr>
              <w:spacing w:after="20" w:before="20"/>
            </w:pPr>
            <w:r/>
            <w:r>
              <w:rPr>
                <w:rFonts w:ascii="Aptos" w:hAnsi="Aptos"/>
                <w:b/>
                <w:color w:val="FFFFFF"/>
                <w:sz w:val="14"/>
              </w:rPr>
              <w:t>In-sample MAE</w:t>
            </w:r>
          </w:p>
        </w:tc>
        <w:tc>
          <w:tcPr>
            <w:tcW w:type="dxa" w:w="1368"/>
            <w:vAlign w:val="center"/>
            <w:shd w:fill="23385B"/>
          </w:tcPr>
          <w:p>
            <w:pPr>
              <w:spacing w:after="20" w:before="20"/>
            </w:pPr>
            <w:r/>
            <w:r>
              <w:rPr>
                <w:rFonts w:ascii="Aptos" w:hAnsi="Aptos"/>
                <w:b/>
                <w:color w:val="FFFFFF"/>
                <w:sz w:val="14"/>
              </w:rPr>
              <w:t>LO-band-out MAE</w:t>
            </w:r>
          </w:p>
        </w:tc>
        <w:tc>
          <w:tcPr>
            <w:tcW w:type="dxa" w:w="1512"/>
            <w:vAlign w:val="center"/>
            <w:shd w:fill="23385B"/>
          </w:tcPr>
          <w:p>
            <w:pPr>
              <w:spacing w:after="20" w:before="20"/>
            </w:pPr>
            <w:r/>
            <w:r>
              <w:rPr>
                <w:rFonts w:ascii="Aptos" w:hAnsi="Aptos"/>
                <w:b/>
                <w:color w:val="FFFFFF"/>
                <w:sz w:val="14"/>
              </w:rPr>
              <w:t>LO-band-out RMSE</w:t>
            </w:r>
          </w:p>
        </w:tc>
        <w:tc>
          <w:tcPr>
            <w:tcW w:type="dxa" w:w="2376"/>
            <w:vAlign w:val="center"/>
            <w:shd w:fill="23385B"/>
          </w:tcPr>
          <w:p>
            <w:pPr>
              <w:spacing w:after="20" w:before="20"/>
            </w:pPr>
            <w:r/>
            <w:r>
              <w:rPr>
                <w:rFonts w:ascii="Aptos" w:hAnsi="Aptos"/>
                <w:b/>
                <w:color w:val="FFFFFF"/>
                <w:sz w:val="14"/>
              </w:rPr>
              <w:t>Leave-one-band-out predictions</w:t>
            </w:r>
          </w:p>
        </w:tc>
        <w:tc>
          <w:tcPr>
            <w:tcW w:type="dxa" w:w="864"/>
            <w:vAlign w:val="center"/>
            <w:shd w:fill="23385B"/>
          </w:tcPr>
          <w:p>
            <w:pPr>
              <w:spacing w:after="20" w:before="20"/>
            </w:pPr>
            <w:r/>
            <w:r>
              <w:rPr>
                <w:rFonts w:ascii="Aptos" w:hAnsi="Aptos"/>
                <w:b/>
                <w:color w:val="FFFFFF"/>
                <w:sz w:val="14"/>
              </w:rPr>
              <w:t>Spearman ρ</w:t>
            </w:r>
          </w:p>
        </w:tc>
        <w:tc>
          <w:tcPr>
            <w:tcW w:type="dxa" w:w="720"/>
            <w:vAlign w:val="center"/>
            <w:shd w:fill="23385B"/>
          </w:tcPr>
          <w:p>
            <w:pPr>
              <w:spacing w:after="20" w:before="20"/>
            </w:pPr>
            <w:r/>
            <w:r>
              <w:rPr>
                <w:rFonts w:ascii="Aptos" w:hAnsi="Aptos"/>
                <w:b/>
                <w:color w:val="FFFFFF"/>
                <w:sz w:val="14"/>
              </w:rPr>
              <w:t>Exact p</w:t>
            </w:r>
          </w:p>
        </w:tc>
      </w:tr>
      <w:tr>
        <w:tc>
          <w:tcPr>
            <w:tcW w:type="dxa" w:w="1584"/>
            <w:vAlign w:val="center"/>
          </w:tcPr>
          <w:p>
            <w:pPr>
              <w:spacing w:after="20" w:before="20"/>
            </w:pPr>
            <w:r/>
            <w:r>
              <w:rPr>
                <w:rFonts w:ascii="Aptos" w:hAnsi="Aptos"/>
                <w:b w:val="0"/>
                <w:sz w:val="14"/>
              </w:rPr>
              <w:t>P2 linear</w:t>
            </w:r>
          </w:p>
        </w:tc>
        <w:tc>
          <w:tcPr>
            <w:tcW w:type="dxa" w:w="1224"/>
            <w:vAlign w:val="center"/>
          </w:tcPr>
          <w:p>
            <w:pPr>
              <w:spacing w:after="20" w:before="20"/>
            </w:pPr>
            <w:r/>
            <w:r>
              <w:rPr>
                <w:rFonts w:ascii="Aptos" w:hAnsi="Aptos"/>
                <w:b w:val="0"/>
                <w:sz w:val="14"/>
              </w:rPr>
              <w:t>0.0103</w:t>
            </w:r>
          </w:p>
        </w:tc>
        <w:tc>
          <w:tcPr>
            <w:tcW w:type="dxa" w:w="1368"/>
            <w:vAlign w:val="center"/>
          </w:tcPr>
          <w:p>
            <w:pPr>
              <w:spacing w:after="20" w:before="20"/>
            </w:pPr>
            <w:r/>
            <w:r>
              <w:rPr>
                <w:rFonts w:ascii="Aptos" w:hAnsi="Aptos"/>
                <w:b w:val="0"/>
                <w:sz w:val="14"/>
              </w:rPr>
              <w:t>0.0386</w:t>
            </w:r>
          </w:p>
        </w:tc>
        <w:tc>
          <w:tcPr>
            <w:tcW w:type="dxa" w:w="1512"/>
            <w:vAlign w:val="center"/>
          </w:tcPr>
          <w:p>
            <w:pPr>
              <w:spacing w:after="20" w:before="20"/>
            </w:pPr>
            <w:r/>
            <w:r>
              <w:rPr>
                <w:rFonts w:ascii="Aptos" w:hAnsi="Aptos"/>
                <w:b w:val="0"/>
                <w:sz w:val="14"/>
              </w:rPr>
              <w:t>0.0401</w:t>
            </w:r>
          </w:p>
        </w:tc>
        <w:tc>
          <w:tcPr>
            <w:tcW w:type="dxa" w:w="2376"/>
            <w:vAlign w:val="center"/>
          </w:tcPr>
          <w:p>
            <w:pPr>
              <w:spacing w:after="20" w:before="20"/>
            </w:pPr>
            <w:r/>
            <w:r>
              <w:rPr>
                <w:rFonts w:ascii="Aptos" w:hAnsi="Aptos"/>
                <w:b w:val="0"/>
                <w:sz w:val="14"/>
              </w:rPr>
              <w:t>4.953; 7.023; 8.954</w:t>
            </w:r>
          </w:p>
        </w:tc>
        <w:tc>
          <w:tcPr>
            <w:tcW w:type="dxa" w:w="864"/>
            <w:vAlign w:val="center"/>
          </w:tcPr>
          <w:p>
            <w:pPr>
              <w:spacing w:after="20" w:before="20"/>
            </w:pPr>
            <w:r/>
            <w:r>
              <w:rPr>
                <w:rFonts w:ascii="Aptos" w:hAnsi="Aptos"/>
                <w:b w:val="0"/>
                <w:sz w:val="14"/>
              </w:rPr>
              <w:t>1.000</w:t>
            </w:r>
          </w:p>
        </w:tc>
        <w:tc>
          <w:tcPr>
            <w:tcW w:type="dxa" w:w="720"/>
            <w:vAlign w:val="center"/>
          </w:tcPr>
          <w:p>
            <w:pPr>
              <w:spacing w:after="20" w:before="20"/>
            </w:pPr>
            <w:r/>
            <w:r>
              <w:rPr>
                <w:rFonts w:ascii="Aptos" w:hAnsi="Aptos"/>
                <w:b w:val="0"/>
                <w:sz w:val="14"/>
              </w:rPr>
              <w:t>0.333</w:t>
            </w:r>
          </w:p>
        </w:tc>
      </w:tr>
      <w:tr>
        <w:tc>
          <w:tcPr>
            <w:tcW w:type="dxa" w:w="1584"/>
            <w:vAlign w:val="center"/>
            <w:shd w:fill="F2F5F9"/>
          </w:tcPr>
          <w:p>
            <w:pPr>
              <w:spacing w:after="20" w:before="20"/>
            </w:pPr>
            <w:r/>
            <w:r>
              <w:rPr>
                <w:rFonts w:ascii="Aptos" w:hAnsi="Aptos"/>
                <w:b w:val="0"/>
                <w:sz w:val="14"/>
              </w:rPr>
              <w:t>N2–P2 linear</w:t>
            </w:r>
          </w:p>
        </w:tc>
        <w:tc>
          <w:tcPr>
            <w:tcW w:type="dxa" w:w="1224"/>
            <w:vAlign w:val="center"/>
            <w:shd w:fill="F2F5F9"/>
          </w:tcPr>
          <w:p>
            <w:pPr>
              <w:spacing w:after="20" w:before="20"/>
            </w:pPr>
            <w:r/>
            <w:r>
              <w:rPr>
                <w:rFonts w:ascii="Aptos" w:hAnsi="Aptos"/>
                <w:b w:val="0"/>
                <w:sz w:val="14"/>
              </w:rPr>
              <w:t>0.0131</w:t>
            </w:r>
          </w:p>
        </w:tc>
        <w:tc>
          <w:tcPr>
            <w:tcW w:type="dxa" w:w="1368"/>
            <w:vAlign w:val="center"/>
            <w:shd w:fill="F2F5F9"/>
          </w:tcPr>
          <w:p>
            <w:pPr>
              <w:spacing w:after="20" w:before="20"/>
            </w:pPr>
            <w:r/>
            <w:r>
              <w:rPr>
                <w:rFonts w:ascii="Aptos" w:hAnsi="Aptos"/>
                <w:b w:val="0"/>
                <w:sz w:val="14"/>
              </w:rPr>
              <w:t>0.0492</w:t>
            </w:r>
          </w:p>
        </w:tc>
        <w:tc>
          <w:tcPr>
            <w:tcW w:type="dxa" w:w="1512"/>
            <w:vAlign w:val="center"/>
            <w:shd w:fill="F2F5F9"/>
          </w:tcPr>
          <w:p>
            <w:pPr>
              <w:spacing w:after="20" w:before="20"/>
            </w:pPr>
            <w:r/>
            <w:r>
              <w:rPr>
                <w:rFonts w:ascii="Aptos" w:hAnsi="Aptos"/>
                <w:b w:val="0"/>
                <w:sz w:val="14"/>
              </w:rPr>
              <w:t>0.0511</w:t>
            </w:r>
          </w:p>
        </w:tc>
        <w:tc>
          <w:tcPr>
            <w:tcW w:type="dxa" w:w="2376"/>
            <w:vAlign w:val="center"/>
            <w:shd w:fill="F2F5F9"/>
          </w:tcPr>
          <w:p>
            <w:pPr>
              <w:spacing w:after="20" w:before="20"/>
            </w:pPr>
            <w:r/>
            <w:r>
              <w:rPr>
                <w:rFonts w:ascii="Aptos" w:hAnsi="Aptos"/>
                <w:b w:val="0"/>
                <w:sz w:val="14"/>
              </w:rPr>
              <w:t>4.940; 7.030; 8.942</w:t>
            </w:r>
          </w:p>
        </w:tc>
        <w:tc>
          <w:tcPr>
            <w:tcW w:type="dxa" w:w="864"/>
            <w:vAlign w:val="center"/>
            <w:shd w:fill="F2F5F9"/>
          </w:tcPr>
          <w:p>
            <w:pPr>
              <w:spacing w:after="20" w:before="20"/>
            </w:pPr>
            <w:r/>
            <w:r>
              <w:rPr>
                <w:rFonts w:ascii="Aptos" w:hAnsi="Aptos"/>
                <w:b w:val="0"/>
                <w:sz w:val="14"/>
              </w:rPr>
              <w:t>1.000</w:t>
            </w:r>
          </w:p>
        </w:tc>
        <w:tc>
          <w:tcPr>
            <w:tcW w:type="dxa" w:w="720"/>
            <w:vAlign w:val="center"/>
            <w:shd w:fill="F2F5F9"/>
          </w:tcPr>
          <w:p>
            <w:pPr>
              <w:spacing w:after="20" w:before="20"/>
            </w:pPr>
            <w:r/>
            <w:r>
              <w:rPr>
                <w:rFonts w:ascii="Aptos" w:hAnsi="Aptos"/>
                <w:b w:val="0"/>
                <w:sz w:val="14"/>
              </w:rPr>
              <w:t>0.333</w:t>
            </w:r>
          </w:p>
        </w:tc>
      </w:tr>
      <w:tr>
        <w:tc>
          <w:tcPr>
            <w:tcW w:type="dxa" w:w="1584"/>
            <w:vAlign w:val="center"/>
          </w:tcPr>
          <w:p>
            <w:pPr>
              <w:spacing w:after="20" w:before="20"/>
            </w:pPr>
            <w:r/>
            <w:r>
              <w:rPr>
                <w:rFonts w:ascii="Aptos" w:hAnsi="Aptos"/>
                <w:b w:val="0"/>
                <w:sz w:val="14"/>
              </w:rPr>
              <w:t>|N2| linear</w:t>
            </w:r>
          </w:p>
        </w:tc>
        <w:tc>
          <w:tcPr>
            <w:tcW w:type="dxa" w:w="1224"/>
            <w:vAlign w:val="center"/>
          </w:tcPr>
          <w:p>
            <w:pPr>
              <w:spacing w:after="20" w:before="20"/>
            </w:pPr>
            <w:r/>
            <w:r>
              <w:rPr>
                <w:rFonts w:ascii="Aptos" w:hAnsi="Aptos"/>
                <w:b w:val="0"/>
                <w:sz w:val="14"/>
              </w:rPr>
              <w:t>0.0162</w:t>
            </w:r>
          </w:p>
        </w:tc>
        <w:tc>
          <w:tcPr>
            <w:tcW w:type="dxa" w:w="1368"/>
            <w:vAlign w:val="center"/>
          </w:tcPr>
          <w:p>
            <w:pPr>
              <w:spacing w:after="20" w:before="20"/>
            </w:pPr>
            <w:r/>
            <w:r>
              <w:rPr>
                <w:rFonts w:ascii="Aptos" w:hAnsi="Aptos"/>
                <w:b w:val="0"/>
                <w:sz w:val="14"/>
              </w:rPr>
              <w:t>0.0606</w:t>
            </w:r>
          </w:p>
        </w:tc>
        <w:tc>
          <w:tcPr>
            <w:tcW w:type="dxa" w:w="1512"/>
            <w:vAlign w:val="center"/>
          </w:tcPr>
          <w:p>
            <w:pPr>
              <w:spacing w:after="20" w:before="20"/>
            </w:pPr>
            <w:r/>
            <w:r>
              <w:rPr>
                <w:rFonts w:ascii="Aptos" w:hAnsi="Aptos"/>
                <w:b w:val="0"/>
                <w:sz w:val="14"/>
              </w:rPr>
              <w:t>0.0630</w:t>
            </w:r>
          </w:p>
        </w:tc>
        <w:tc>
          <w:tcPr>
            <w:tcW w:type="dxa" w:w="2376"/>
            <w:vAlign w:val="center"/>
          </w:tcPr>
          <w:p>
            <w:pPr>
              <w:spacing w:after="20" w:before="20"/>
            </w:pPr>
            <w:r/>
            <w:r>
              <w:rPr>
                <w:rFonts w:ascii="Aptos" w:hAnsi="Aptos"/>
                <w:b w:val="0"/>
                <w:sz w:val="14"/>
              </w:rPr>
              <w:t>4.926; 7.036; 8.929</w:t>
            </w:r>
          </w:p>
        </w:tc>
        <w:tc>
          <w:tcPr>
            <w:tcW w:type="dxa" w:w="864"/>
            <w:vAlign w:val="center"/>
          </w:tcPr>
          <w:p>
            <w:pPr>
              <w:spacing w:after="20" w:before="20"/>
            </w:pPr>
            <w:r/>
            <w:r>
              <w:rPr>
                <w:rFonts w:ascii="Aptos" w:hAnsi="Aptos"/>
                <w:b w:val="0"/>
                <w:sz w:val="14"/>
              </w:rPr>
              <w:t>1.000</w:t>
            </w:r>
          </w:p>
        </w:tc>
        <w:tc>
          <w:tcPr>
            <w:tcW w:type="dxa" w:w="720"/>
            <w:vAlign w:val="center"/>
          </w:tcPr>
          <w:p>
            <w:pPr>
              <w:spacing w:after="20" w:before="20"/>
            </w:pPr>
            <w:r/>
            <w:r>
              <w:rPr>
                <w:rFonts w:ascii="Aptos" w:hAnsi="Aptos"/>
                <w:b w:val="0"/>
                <w:sz w:val="14"/>
              </w:rPr>
              <w:t>0.333</w:t>
            </w:r>
          </w:p>
        </w:tc>
      </w:tr>
      <w:tr>
        <w:tc>
          <w:tcPr>
            <w:tcW w:type="dxa" w:w="1584"/>
            <w:vAlign w:val="center"/>
            <w:shd w:fill="F2F5F9"/>
          </w:tcPr>
          <w:p>
            <w:pPr>
              <w:spacing w:after="20" w:before="20"/>
            </w:pPr>
            <w:r/>
            <w:r>
              <w:rPr>
                <w:rFonts w:ascii="Aptos" w:hAnsi="Aptos"/>
                <w:b w:val="0"/>
                <w:sz w:val="14"/>
              </w:rPr>
              <w:t>External power law</w:t>
            </w:r>
          </w:p>
        </w:tc>
        <w:tc>
          <w:tcPr>
            <w:tcW w:type="dxa" w:w="1224"/>
            <w:vAlign w:val="center"/>
            <w:shd w:fill="F2F5F9"/>
          </w:tcPr>
          <w:p>
            <w:pPr>
              <w:spacing w:after="20" w:before="20"/>
            </w:pPr>
            <w:r/>
            <w:r>
              <w:rPr>
                <w:rFonts w:ascii="Aptos" w:hAnsi="Aptos"/>
                <w:b w:val="0"/>
                <w:sz w:val="14"/>
              </w:rPr>
              <w:t>3.8074</w:t>
            </w:r>
          </w:p>
        </w:tc>
        <w:tc>
          <w:tcPr>
            <w:tcW w:type="dxa" w:w="1368"/>
            <w:vAlign w:val="center"/>
            <w:shd w:fill="F2F5F9"/>
          </w:tcPr>
          <w:p>
            <w:pPr>
              <w:spacing w:after="20" w:before="20"/>
            </w:pPr>
            <w:r/>
            <w:r>
              <w:rPr>
                <w:rFonts w:ascii="Aptos" w:hAnsi="Aptos"/>
                <w:b w:val="0"/>
                <w:sz w:val="14"/>
              </w:rPr>
              <w:t>N/A (fixed external coefficients)</w:t>
            </w:r>
          </w:p>
        </w:tc>
        <w:tc>
          <w:tcPr>
            <w:tcW w:type="dxa" w:w="1512"/>
            <w:vAlign w:val="center"/>
            <w:shd w:fill="F2F5F9"/>
          </w:tcPr>
          <w:p>
            <w:pPr>
              <w:spacing w:after="20" w:before="20"/>
            </w:pPr>
            <w:r/>
            <w:r>
              <w:rPr>
                <w:rFonts w:ascii="Aptos" w:hAnsi="Aptos"/>
                <w:b w:val="0"/>
                <w:sz w:val="14"/>
              </w:rPr>
              <w:t>N/A</w:t>
            </w:r>
          </w:p>
        </w:tc>
        <w:tc>
          <w:tcPr>
            <w:tcW w:type="dxa" w:w="2376"/>
            <w:vAlign w:val="center"/>
            <w:shd w:fill="F2F5F9"/>
          </w:tcPr>
          <w:p>
            <w:pPr>
              <w:spacing w:after="20" w:before="20"/>
            </w:pPr>
            <w:r/>
            <w:r>
              <w:rPr>
                <w:rFonts w:ascii="Aptos" w:hAnsi="Aptos"/>
                <w:b w:val="0"/>
                <w:sz w:val="14"/>
              </w:rPr>
              <w:t>0.851; 3.060; 5.667</w:t>
            </w:r>
          </w:p>
        </w:tc>
        <w:tc>
          <w:tcPr>
            <w:tcW w:type="dxa" w:w="864"/>
            <w:vAlign w:val="center"/>
            <w:shd w:fill="F2F5F9"/>
          </w:tcPr>
          <w:p>
            <w:pPr>
              <w:spacing w:after="20" w:before="20"/>
            </w:pPr>
            <w:r/>
            <w:r>
              <w:rPr>
                <w:rFonts w:ascii="Aptos" w:hAnsi="Aptos"/>
                <w:b w:val="0"/>
                <w:sz w:val="14"/>
              </w:rPr>
              <w:t>1.000</w:t>
            </w:r>
          </w:p>
        </w:tc>
        <w:tc>
          <w:tcPr>
            <w:tcW w:type="dxa" w:w="720"/>
            <w:vAlign w:val="center"/>
            <w:shd w:fill="F2F5F9"/>
          </w:tcPr>
          <w:p>
            <w:pPr>
              <w:spacing w:after="20" w:before="20"/>
            </w:pPr>
            <w:r/>
            <w:r>
              <w:rPr>
                <w:rFonts w:ascii="Aptos" w:hAnsi="Aptos"/>
                <w:b w:val="0"/>
                <w:sz w:val="14"/>
              </w:rPr>
              <w:t>0.333</w:t>
            </w:r>
          </w:p>
        </w:tc>
      </w:tr>
    </w:tbl>
    <w:p>
      <w:pPr>
        <w:spacing w:after="20"/>
      </w:pPr>
    </w:p>
    <w:p>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aggregate_formula_error_comparison.png"/>
                    <pic:cNvPicPr/>
                  </pic:nvPicPr>
                  <pic:blipFill>
                    <a:blip r:embed="rId10"/>
                    <a:stretch>
                      <a:fillRect/>
                    </a:stretch>
                  </pic:blipFill>
                  <pic:spPr>
                    <a:xfrm>
                      <a:off x="0" y="0"/>
                      <a:ext cx="5852160" cy="3511296"/>
                    </a:xfrm>
                    <a:prstGeom prst="rect"/>
                  </pic:spPr>
                </pic:pic>
              </a:graphicData>
            </a:graphic>
          </wp:inline>
        </w:drawing>
      </w:r>
    </w:p>
    <w:p>
      <w:r>
        <w:t>P2 linear has the lowest leave-one-band-out MAE (0.0386), followed by N2–P2 (0.0492) and absolute N2 (0.0606). This ranking is not statistically meaningful: only three aggregate points are used, and linear fitting to two remaining points makes the leave-one-band-out test a very small interpolation/extrapolation check. The external power law greatly underpredicts this higher-rating range, but its original fit was reported for roughly NRS 1–5, so this is an out-of-range transfer stress test rather than a fair refit comparison.</w:t>
      </w:r>
    </w:p>
    <w:p>
      <w:pPr>
        <w:pStyle w:val="Heading1"/>
      </w:pPr>
      <w:r>
        <w:t>4. Statistical checks and signal dispersion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744"/>
            <w:vAlign w:val="center"/>
            <w:shd w:fill="23385B"/>
          </w:tcPr>
          <w:p>
            <w:pPr>
              <w:spacing w:after="20" w:before="20"/>
            </w:pPr>
            <w:r/>
            <w:r>
              <w:rPr>
                <w:rFonts w:ascii="Aptos" w:hAnsi="Aptos"/>
                <w:b/>
                <w:color w:val="FFFFFF"/>
                <w:sz w:val="16"/>
              </w:rPr>
              <w:t>Test</w:t>
            </w:r>
          </w:p>
        </w:tc>
        <w:tc>
          <w:tcPr>
            <w:tcW w:type="dxa" w:w="2232"/>
            <w:vAlign w:val="center"/>
            <w:shd w:fill="23385B"/>
          </w:tcPr>
          <w:p>
            <w:pPr>
              <w:spacing w:after="20" w:before="20"/>
            </w:pPr>
            <w:r/>
            <w:r>
              <w:rPr>
                <w:rFonts w:ascii="Aptos" w:hAnsi="Aptos"/>
                <w:b/>
                <w:color w:val="FFFFFF"/>
                <w:sz w:val="16"/>
              </w:rPr>
              <w:t>Result</w:t>
            </w:r>
          </w:p>
        </w:tc>
        <w:tc>
          <w:tcPr>
            <w:tcW w:type="dxa" w:w="4032"/>
            <w:vAlign w:val="center"/>
            <w:shd w:fill="23385B"/>
          </w:tcPr>
          <w:p>
            <w:pPr>
              <w:spacing w:after="20" w:before="20"/>
            </w:pPr>
            <w:r/>
            <w:r>
              <w:rPr>
                <w:rFonts w:ascii="Aptos" w:hAnsi="Aptos"/>
                <w:b/>
                <w:color w:val="FFFFFF"/>
                <w:sz w:val="16"/>
              </w:rPr>
              <w:t>Interpretation</w:t>
            </w:r>
          </w:p>
        </w:tc>
      </w:tr>
      <w:tr>
        <w:tc>
          <w:tcPr>
            <w:tcW w:type="dxa" w:w="3744"/>
            <w:vAlign w:val="center"/>
          </w:tcPr>
          <w:p>
            <w:pPr>
              <w:spacing w:after="20" w:before="20"/>
            </w:pPr>
            <w:r/>
            <w:r>
              <w:rPr>
                <w:rFonts w:ascii="Aptos" w:hAnsi="Aptos"/>
                <w:b w:val="0"/>
                <w:sz w:val="16"/>
              </w:rPr>
              <w:t>Monotonic ordering: P2 vs. band midpoint</w:t>
            </w:r>
          </w:p>
        </w:tc>
        <w:tc>
          <w:tcPr>
            <w:tcW w:type="dxa" w:w="2232"/>
            <w:vAlign w:val="center"/>
          </w:tcPr>
          <w:p>
            <w:pPr>
              <w:spacing w:after="20" w:before="20"/>
            </w:pPr>
            <w:r/>
            <w:r>
              <w:rPr>
                <w:rFonts w:ascii="Aptos" w:hAnsi="Aptos"/>
                <w:b w:val="0"/>
                <w:sz w:val="16"/>
              </w:rPr>
              <w:t>Spearman ρ = 1.000</w:t>
            </w:r>
          </w:p>
        </w:tc>
        <w:tc>
          <w:tcPr>
            <w:tcW w:type="dxa" w:w="4032"/>
            <w:vAlign w:val="center"/>
          </w:tcPr>
          <w:p>
            <w:pPr>
              <w:spacing w:after="20" w:before="20"/>
            </w:pPr>
            <w:r/>
            <w:r>
              <w:rPr>
                <w:rFonts w:ascii="Aptos" w:hAnsi="Aptos"/>
                <w:b w:val="0"/>
                <w:sz w:val="16"/>
              </w:rPr>
              <w:t>All 3 mean values increase in order</w:t>
            </w:r>
          </w:p>
        </w:tc>
      </w:tr>
      <w:tr>
        <w:tc>
          <w:tcPr>
            <w:tcW w:type="dxa" w:w="3744"/>
            <w:vAlign w:val="center"/>
            <w:shd w:fill="F2F5F9"/>
          </w:tcPr>
          <w:p>
            <w:pPr>
              <w:spacing w:after="20" w:before="20"/>
            </w:pPr>
            <w:r/>
            <w:r>
              <w:rPr>
                <w:rFonts w:ascii="Aptos" w:hAnsi="Aptos"/>
                <w:b w:val="0"/>
                <w:sz w:val="16"/>
              </w:rPr>
              <w:t>Monotonic ordering: N2–P2 vs. band midpoint</w:t>
            </w:r>
          </w:p>
        </w:tc>
        <w:tc>
          <w:tcPr>
            <w:tcW w:type="dxa" w:w="2232"/>
            <w:vAlign w:val="center"/>
            <w:shd w:fill="F2F5F9"/>
          </w:tcPr>
          <w:p>
            <w:pPr>
              <w:spacing w:after="20" w:before="20"/>
            </w:pPr>
            <w:r/>
            <w:r>
              <w:rPr>
                <w:rFonts w:ascii="Aptos" w:hAnsi="Aptos"/>
                <w:b w:val="0"/>
                <w:sz w:val="16"/>
              </w:rPr>
              <w:t>Spearman ρ = 1.000</w:t>
            </w:r>
          </w:p>
        </w:tc>
        <w:tc>
          <w:tcPr>
            <w:tcW w:type="dxa" w:w="4032"/>
            <w:vAlign w:val="center"/>
            <w:shd w:fill="F2F5F9"/>
          </w:tcPr>
          <w:p>
            <w:pPr>
              <w:spacing w:after="20" w:before="20"/>
            </w:pPr>
            <w:r/>
            <w:r>
              <w:rPr>
                <w:rFonts w:ascii="Aptos" w:hAnsi="Aptos"/>
                <w:b w:val="0"/>
                <w:sz w:val="16"/>
              </w:rPr>
              <w:t>All 3 derived mean values increase in order</w:t>
            </w:r>
          </w:p>
        </w:tc>
      </w:tr>
      <w:tr>
        <w:tc>
          <w:tcPr>
            <w:tcW w:type="dxa" w:w="3744"/>
            <w:vAlign w:val="center"/>
          </w:tcPr>
          <w:p>
            <w:pPr>
              <w:spacing w:after="20" w:before="20"/>
            </w:pPr>
            <w:r/>
            <w:r>
              <w:rPr>
                <w:rFonts w:ascii="Aptos" w:hAnsi="Aptos"/>
                <w:b w:val="0"/>
                <w:sz w:val="16"/>
              </w:rPr>
              <w:t>Monotonic ordering: |N2| vs. band midpoint</w:t>
            </w:r>
          </w:p>
        </w:tc>
        <w:tc>
          <w:tcPr>
            <w:tcW w:type="dxa" w:w="2232"/>
            <w:vAlign w:val="center"/>
          </w:tcPr>
          <w:p>
            <w:pPr>
              <w:spacing w:after="20" w:before="20"/>
            </w:pPr>
            <w:r/>
            <w:r>
              <w:rPr>
                <w:rFonts w:ascii="Aptos" w:hAnsi="Aptos"/>
                <w:b w:val="0"/>
                <w:sz w:val="16"/>
              </w:rPr>
              <w:t>Spearman ρ = 1.000</w:t>
            </w:r>
          </w:p>
        </w:tc>
        <w:tc>
          <w:tcPr>
            <w:tcW w:type="dxa" w:w="4032"/>
            <w:vAlign w:val="center"/>
          </w:tcPr>
          <w:p>
            <w:pPr>
              <w:spacing w:after="20" w:before="20"/>
            </w:pPr>
            <w:r/>
            <w:r>
              <w:rPr>
                <w:rFonts w:ascii="Aptos" w:hAnsi="Aptos"/>
                <w:b w:val="0"/>
                <w:sz w:val="16"/>
              </w:rPr>
              <w:t>All 3 absolute mean values increase in order</w:t>
            </w:r>
          </w:p>
        </w:tc>
      </w:tr>
      <w:tr>
        <w:tc>
          <w:tcPr>
            <w:tcW w:type="dxa" w:w="3744"/>
            <w:vAlign w:val="center"/>
            <w:shd w:fill="F2F5F9"/>
          </w:tcPr>
          <w:p>
            <w:pPr>
              <w:spacing w:after="20" w:before="20"/>
            </w:pPr>
            <w:r/>
            <w:r>
              <w:rPr>
                <w:rFonts w:ascii="Aptos" w:hAnsi="Aptos"/>
                <w:b w:val="0"/>
                <w:sz w:val="16"/>
              </w:rPr>
              <w:t>Exact two-sided permutation test (each feature)</w:t>
            </w:r>
          </w:p>
        </w:tc>
        <w:tc>
          <w:tcPr>
            <w:tcW w:type="dxa" w:w="2232"/>
            <w:vAlign w:val="center"/>
            <w:shd w:fill="F2F5F9"/>
          </w:tcPr>
          <w:p>
            <w:pPr>
              <w:spacing w:after="20" w:before="20"/>
            </w:pPr>
            <w:r/>
            <w:r>
              <w:rPr>
                <w:rFonts w:ascii="Aptos" w:hAnsi="Aptos"/>
                <w:b w:val="0"/>
                <w:sz w:val="16"/>
              </w:rPr>
              <w:t>p = 0.333; 6 permutations</w:t>
            </w:r>
          </w:p>
        </w:tc>
        <w:tc>
          <w:tcPr>
            <w:tcW w:type="dxa" w:w="4032"/>
            <w:vAlign w:val="center"/>
            <w:shd w:fill="F2F5F9"/>
          </w:tcPr>
          <w:p>
            <w:pPr>
              <w:spacing w:after="20" w:before="20"/>
            </w:pPr>
            <w:r/>
            <w:r>
              <w:rPr>
                <w:rFonts w:ascii="Aptos" w:hAnsi="Aptos"/>
                <w:b w:val="0"/>
                <w:sz w:val="16"/>
              </w:rPr>
              <w:t>Not significant; n=3 aggregate points</w:t>
            </w:r>
          </w:p>
        </w:tc>
      </w:tr>
      <w:tr>
        <w:tc>
          <w:tcPr>
            <w:tcW w:type="dxa" w:w="3744"/>
            <w:vAlign w:val="center"/>
          </w:tcPr>
          <w:p>
            <w:pPr>
              <w:spacing w:after="20" w:before="20"/>
            </w:pPr>
            <w:r/>
            <w:r>
              <w:rPr>
                <w:rFonts w:ascii="Aptos" w:hAnsi="Aptos"/>
                <w:b w:val="0"/>
                <w:sz w:val="16"/>
              </w:rPr>
              <w:t>P2 standardized mean difference (band 1 vs 2)</w:t>
            </w:r>
          </w:p>
        </w:tc>
        <w:tc>
          <w:tcPr>
            <w:tcW w:type="dxa" w:w="2232"/>
            <w:vAlign w:val="center"/>
          </w:tcPr>
          <w:p>
            <w:pPr>
              <w:spacing w:after="20" w:before="20"/>
            </w:pPr>
            <w:r/>
            <w:r>
              <w:rPr>
                <w:rFonts w:ascii="Aptos" w:hAnsi="Aptos"/>
                <w:b w:val="0"/>
                <w:sz w:val="16"/>
              </w:rPr>
              <w:t>1.192</w:t>
            </w:r>
          </w:p>
        </w:tc>
        <w:tc>
          <w:tcPr>
            <w:tcW w:type="dxa" w:w="4032"/>
            <w:vAlign w:val="center"/>
          </w:tcPr>
          <w:p>
            <w:pPr>
              <w:spacing w:after="20" w:before="20"/>
            </w:pPr>
            <w:r/>
            <w:r>
              <w:rPr>
                <w:rFonts w:ascii="Aptos" w:hAnsi="Aptos"/>
                <w:b w:val="0"/>
                <w:sz w:val="16"/>
              </w:rPr>
              <w:t>Descriptive only; no inferential CI/p-value</w:t>
            </w:r>
          </w:p>
        </w:tc>
      </w:tr>
      <w:tr>
        <w:tc>
          <w:tcPr>
            <w:tcW w:type="dxa" w:w="3744"/>
            <w:vAlign w:val="center"/>
            <w:shd w:fill="F2F5F9"/>
          </w:tcPr>
          <w:p>
            <w:pPr>
              <w:spacing w:after="20" w:before="20"/>
            </w:pPr>
            <w:r/>
            <w:r>
              <w:rPr>
                <w:rFonts w:ascii="Aptos" w:hAnsi="Aptos"/>
                <w:b w:val="0"/>
                <w:sz w:val="16"/>
              </w:rPr>
              <w:t>P2 standardized mean difference (band 2 vs 3)</w:t>
            </w:r>
          </w:p>
        </w:tc>
        <w:tc>
          <w:tcPr>
            <w:tcW w:type="dxa" w:w="2232"/>
            <w:vAlign w:val="center"/>
            <w:shd w:fill="F2F5F9"/>
          </w:tcPr>
          <w:p>
            <w:pPr>
              <w:spacing w:after="20" w:before="20"/>
            </w:pPr>
            <w:r/>
            <w:r>
              <w:rPr>
                <w:rFonts w:ascii="Aptos" w:hAnsi="Aptos"/>
                <w:b w:val="0"/>
                <w:sz w:val="16"/>
              </w:rPr>
              <w:t>0.969</w:t>
            </w:r>
          </w:p>
        </w:tc>
        <w:tc>
          <w:tcPr>
            <w:tcW w:type="dxa" w:w="4032"/>
            <w:vAlign w:val="center"/>
            <w:shd w:fill="F2F5F9"/>
          </w:tcPr>
          <w:p>
            <w:pPr>
              <w:spacing w:after="20" w:before="20"/>
            </w:pPr>
            <w:r/>
            <w:r>
              <w:rPr>
                <w:rFonts w:ascii="Aptos" w:hAnsi="Aptos"/>
                <w:b w:val="0"/>
                <w:sz w:val="16"/>
              </w:rPr>
              <w:t>Descriptive only; adjacent-band SD intervals overlap</w:t>
            </w:r>
          </w:p>
        </w:tc>
      </w:tr>
      <w:tr>
        <w:tc>
          <w:tcPr>
            <w:tcW w:type="dxa" w:w="3744"/>
            <w:vAlign w:val="center"/>
          </w:tcPr>
          <w:p>
            <w:pPr>
              <w:spacing w:after="20" w:before="20"/>
            </w:pPr>
            <w:r/>
            <w:r>
              <w:rPr>
                <w:rFonts w:ascii="Aptos" w:hAnsi="Aptos"/>
                <w:b w:val="0"/>
                <w:sz w:val="16"/>
              </w:rPr>
              <w:t>P2 standardized mean difference (band 1 vs 3)</w:t>
            </w:r>
          </w:p>
        </w:tc>
        <w:tc>
          <w:tcPr>
            <w:tcW w:type="dxa" w:w="2232"/>
            <w:vAlign w:val="center"/>
          </w:tcPr>
          <w:p>
            <w:pPr>
              <w:spacing w:after="20" w:before="20"/>
            </w:pPr>
            <w:r/>
            <w:r>
              <w:rPr>
                <w:rFonts w:ascii="Aptos" w:hAnsi="Aptos"/>
                <w:b w:val="0"/>
                <w:sz w:val="16"/>
              </w:rPr>
              <w:t>2.264</w:t>
            </w:r>
          </w:p>
        </w:tc>
        <w:tc>
          <w:tcPr>
            <w:tcW w:type="dxa" w:w="4032"/>
            <w:vAlign w:val="center"/>
          </w:tcPr>
          <w:p>
            <w:pPr>
              <w:spacing w:after="20" w:before="20"/>
            </w:pPr>
            <w:r/>
            <w:r>
              <w:rPr>
                <w:rFonts w:ascii="Aptos" w:hAnsi="Aptos"/>
                <w:b w:val="0"/>
                <w:sz w:val="16"/>
              </w:rPr>
              <w:t>Descriptive endpoint separation, not trial classification</w:t>
            </w:r>
          </w:p>
        </w:tc>
      </w:tr>
    </w:tbl>
    <w:p>
      <w:pPr>
        <w:spacing w:after="20"/>
      </w:pPr>
    </w:p>
    <w:p>
      <w:r>
        <w:t>The P2 mean ± 1 SD ranges are −1.06–15.34, 7.40–31.36 and 18.64–44.04 µV; the N2 ranges are −16.46–1.30, −31.78–−6.34 and −48.97–−11.29 µV. Neighboring ranges overlap. These are not prediction intervals, but they underscore that ordered group means cannot imply reliable classification of an individual trial.</w:t>
      </w:r>
    </w:p>
    <w:p>
      <w:pPr>
        <w:pStyle w:val="Heading1"/>
      </w:pPr>
      <w:r>
        <w:t>5. Formula families that could not be evaluated</w:t>
      </w:r>
    </w:p>
    <w:p>
      <w:r>
        <w:t>The available three-point aggregate table does not include the feature vectors, IDs, temporal order or individual ratings needed for the full formulas already specified in the project. The remaining families are recorded as not testable here rather than given fabricated scores.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vAlign w:val="center"/>
            <w:shd w:fill="23385B"/>
          </w:tcPr>
          <w:p>
            <w:pPr>
              <w:spacing w:after="20" w:before="20"/>
            </w:pPr>
            <w:r/>
            <w:r>
              <w:rPr>
                <w:rFonts w:ascii="Aptos" w:hAnsi="Aptos"/>
                <w:b/>
                <w:color w:val="FFFFFF"/>
                <w:sz w:val="16"/>
              </w:rPr>
              <w:t>Formula/test family</w:t>
            </w:r>
          </w:p>
        </w:tc>
        <w:tc>
          <w:tcPr>
            <w:tcW w:type="dxa" w:w="6624"/>
            <w:vAlign w:val="center"/>
            <w:shd w:fill="23385B"/>
          </w:tcPr>
          <w:p>
            <w:pPr>
              <w:spacing w:after="20" w:before="20"/>
            </w:pPr>
            <w:r/>
            <w:r>
              <w:rPr>
                <w:rFonts w:ascii="Aptos" w:hAnsi="Aptos"/>
                <w:b/>
                <w:color w:val="FFFFFF"/>
                <w:sz w:val="16"/>
              </w:rPr>
              <w:t>Why no result is claimed</w:t>
            </w:r>
          </w:p>
        </w:tc>
      </w:tr>
      <w:tr>
        <w:tc>
          <w:tcPr>
            <w:tcW w:type="dxa" w:w="3168"/>
            <w:vAlign w:val="center"/>
          </w:tcPr>
          <w:p>
            <w:pPr>
              <w:spacing w:after="20" w:before="20"/>
            </w:pPr>
            <w:r/>
            <w:r>
              <w:rPr>
                <w:rFonts w:ascii="Aptos" w:hAnsi="Aptos"/>
                <w:b w:val="0"/>
                <w:sz w:val="16"/>
              </w:rPr>
              <w:t>Alpha-only sigmoid</w:t>
            </w:r>
          </w:p>
        </w:tc>
        <w:tc>
          <w:tcPr>
            <w:tcW w:type="dxa" w:w="6624"/>
            <w:vAlign w:val="center"/>
          </w:tcPr>
          <w:p>
            <w:pPr>
              <w:spacing w:after="20" w:before="20"/>
            </w:pPr>
            <w:r/>
            <w:r>
              <w:rPr>
                <w:rFonts w:ascii="Aptos" w:hAnsi="Aptos"/>
                <w:b w:val="0"/>
                <w:sz w:val="16"/>
              </w:rPr>
              <w:t>No paired alpha feature values</w:t>
            </w:r>
          </w:p>
        </w:tc>
      </w:tr>
      <w:tr>
        <w:tc>
          <w:tcPr>
            <w:tcW w:type="dxa" w:w="3168"/>
            <w:vAlign w:val="center"/>
            <w:shd w:fill="F2F5F9"/>
          </w:tcPr>
          <w:p>
            <w:pPr>
              <w:spacing w:after="20" w:before="20"/>
            </w:pPr>
            <w:r/>
            <w:r>
              <w:rPr>
                <w:rFonts w:ascii="Aptos" w:hAnsi="Aptos"/>
                <w:b w:val="0"/>
                <w:sz w:val="16"/>
              </w:rPr>
              <w:t>Ordinal model</w:t>
            </w:r>
          </w:p>
        </w:tc>
        <w:tc>
          <w:tcPr>
            <w:tcW w:type="dxa" w:w="6624"/>
            <w:vAlign w:val="center"/>
            <w:shd w:fill="F2F5F9"/>
          </w:tcPr>
          <w:p>
            <w:pPr>
              <w:spacing w:after="20" w:before="20"/>
            </w:pPr>
            <w:r/>
            <w:r>
              <w:rPr>
                <w:rFonts w:ascii="Aptos" w:hAnsi="Aptos"/>
                <w:b w:val="0"/>
                <w:sz w:val="16"/>
              </w:rPr>
              <w:t>Only three group midpoints</w:t>
            </w:r>
          </w:p>
        </w:tc>
      </w:tr>
      <w:tr>
        <w:tc>
          <w:tcPr>
            <w:tcW w:type="dxa" w:w="3168"/>
            <w:vAlign w:val="center"/>
          </w:tcPr>
          <w:p>
            <w:pPr>
              <w:spacing w:after="20" w:before="20"/>
            </w:pPr>
            <w:r/>
            <w:r>
              <w:rPr>
                <w:rFonts w:ascii="Aptos" w:hAnsi="Aptos"/>
                <w:b w:val="0"/>
                <w:sz w:val="16"/>
              </w:rPr>
              <w:t>Ridge/elastic net/GAM/boosting</w:t>
            </w:r>
          </w:p>
        </w:tc>
        <w:tc>
          <w:tcPr>
            <w:tcW w:type="dxa" w:w="6624"/>
            <w:vAlign w:val="center"/>
          </w:tcPr>
          <w:p>
            <w:pPr>
              <w:spacing w:after="20" w:before="20"/>
            </w:pPr>
            <w:r/>
            <w:r>
              <w:rPr>
                <w:rFonts w:ascii="Aptos" w:hAnsi="Aptos"/>
                <w:b w:val="0"/>
                <w:sz w:val="16"/>
              </w:rPr>
              <w:t>No individual multifeature rows</w:t>
            </w:r>
          </w:p>
        </w:tc>
      </w:tr>
      <w:tr>
        <w:tc>
          <w:tcPr>
            <w:tcW w:type="dxa" w:w="3168"/>
            <w:vAlign w:val="center"/>
            <w:shd w:fill="F2F5F9"/>
          </w:tcPr>
          <w:p>
            <w:pPr>
              <w:spacing w:after="20" w:before="20"/>
            </w:pPr>
            <w:r/>
            <w:r>
              <w:rPr>
                <w:rFonts w:ascii="Aptos" w:hAnsi="Aptos"/>
                <w:b w:val="0"/>
                <w:sz w:val="16"/>
              </w:rPr>
              <w:t>Personalized/mixed effects</w:t>
            </w:r>
          </w:p>
        </w:tc>
        <w:tc>
          <w:tcPr>
            <w:tcW w:type="dxa" w:w="6624"/>
            <w:vAlign w:val="center"/>
            <w:shd w:fill="F2F5F9"/>
          </w:tcPr>
          <w:p>
            <w:pPr>
              <w:spacing w:after="20" w:before="20"/>
            </w:pPr>
            <w:r/>
            <w:r>
              <w:rPr>
                <w:rFonts w:ascii="Aptos" w:hAnsi="Aptos"/>
                <w:b w:val="0"/>
                <w:sz w:val="16"/>
              </w:rPr>
              <w:t>No subject IDs and repeated subject trials</w:t>
            </w:r>
          </w:p>
        </w:tc>
      </w:tr>
      <w:tr>
        <w:tc>
          <w:tcPr>
            <w:tcW w:type="dxa" w:w="3168"/>
            <w:vAlign w:val="center"/>
          </w:tcPr>
          <w:p>
            <w:pPr>
              <w:spacing w:after="20" w:before="20"/>
            </w:pPr>
            <w:r/>
            <w:r>
              <w:rPr>
                <w:rFonts w:ascii="Aptos" w:hAnsi="Aptos"/>
                <w:b w:val="0"/>
                <w:sz w:val="16"/>
              </w:rPr>
              <w:t>Temporal smoothing</w:t>
            </w:r>
          </w:p>
        </w:tc>
        <w:tc>
          <w:tcPr>
            <w:tcW w:type="dxa" w:w="6624"/>
            <w:vAlign w:val="center"/>
          </w:tcPr>
          <w:p>
            <w:pPr>
              <w:spacing w:after="20" w:before="20"/>
            </w:pPr>
            <w:r/>
            <w:r>
              <w:rPr>
                <w:rFonts w:ascii="Aptos" w:hAnsi="Aptos"/>
                <w:b w:val="0"/>
                <w:sz w:val="16"/>
              </w:rPr>
              <w:t>No ordered trials</w:t>
            </w:r>
          </w:p>
        </w:tc>
      </w:tr>
      <w:tr>
        <w:tc>
          <w:tcPr>
            <w:tcW w:type="dxa" w:w="3168"/>
            <w:vAlign w:val="center"/>
            <w:shd w:fill="F2F5F9"/>
          </w:tcPr>
          <w:p>
            <w:pPr>
              <w:spacing w:after="20" w:before="20"/>
            </w:pPr>
            <w:r/>
            <w:r>
              <w:rPr>
                <w:rFonts w:ascii="Aptos" w:hAnsi="Aptos"/>
                <w:b w:val="0"/>
                <w:sz w:val="16"/>
              </w:rPr>
              <w:t>Spectral/connectivity/entropy/FAA</w:t>
            </w:r>
          </w:p>
        </w:tc>
        <w:tc>
          <w:tcPr>
            <w:tcW w:type="dxa" w:w="6624"/>
            <w:vAlign w:val="center"/>
            <w:shd w:fill="F2F5F9"/>
          </w:tcPr>
          <w:p>
            <w:pPr>
              <w:spacing w:after="20" w:before="20"/>
            </w:pPr>
            <w:r/>
            <w:r>
              <w:rPr>
                <w:rFonts w:ascii="Aptos" w:hAnsi="Aptos"/>
                <w:b w:val="0"/>
                <w:sz w:val="16"/>
              </w:rPr>
              <w:t>Required features absent</w:t>
            </w:r>
          </w:p>
        </w:tc>
      </w:tr>
      <w:tr>
        <w:tc>
          <w:tcPr>
            <w:tcW w:type="dxa" w:w="3168"/>
            <w:vAlign w:val="center"/>
          </w:tcPr>
          <w:p>
            <w:pPr>
              <w:spacing w:after="20" w:before="20"/>
            </w:pPr>
            <w:r/>
            <w:r>
              <w:rPr>
                <w:rFonts w:ascii="Aptos" w:hAnsi="Aptos"/>
                <w:b w:val="0"/>
                <w:sz w:val="16"/>
              </w:rPr>
              <w:t>Participant-held-out CV / class confusion</w:t>
            </w:r>
          </w:p>
        </w:tc>
        <w:tc>
          <w:tcPr>
            <w:tcW w:type="dxa" w:w="6624"/>
            <w:vAlign w:val="center"/>
          </w:tcPr>
          <w:p>
            <w:pPr>
              <w:spacing w:after="20" w:before="20"/>
            </w:pPr>
            <w:r/>
            <w:r>
              <w:rPr>
                <w:rFonts w:ascii="Aptos" w:hAnsi="Aptos"/>
                <w:b w:val="0"/>
                <w:sz w:val="16"/>
              </w:rPr>
              <w:t>No subject-linked trial predictions</w:t>
            </w:r>
          </w:p>
        </w:tc>
      </w:tr>
      <w:tr>
        <w:tc>
          <w:tcPr>
            <w:tcW w:type="dxa" w:w="3168"/>
            <w:vAlign w:val="center"/>
            <w:shd w:fill="F2F5F9"/>
          </w:tcPr>
          <w:p>
            <w:pPr>
              <w:spacing w:after="20" w:before="20"/>
            </w:pPr>
            <w:r/>
            <w:r>
              <w:rPr>
                <w:rFonts w:ascii="Aptos" w:hAnsi="Aptos"/>
                <w:b w:val="0"/>
                <w:sz w:val="16"/>
              </w:rPr>
              <w:t>Cross-dataset validation</w:t>
            </w:r>
          </w:p>
        </w:tc>
        <w:tc>
          <w:tcPr>
            <w:tcW w:type="dxa" w:w="6624"/>
            <w:vAlign w:val="center"/>
            <w:shd w:fill="F2F5F9"/>
          </w:tcPr>
          <w:p>
            <w:pPr>
              <w:spacing w:after="20" w:before="20"/>
            </w:pPr>
            <w:r/>
            <w:r>
              <w:rPr>
                <w:rFonts w:ascii="Aptos" w:hAnsi="Aptos"/>
                <w:b w:val="0"/>
                <w:sz w:val="16"/>
              </w:rPr>
              <w:t>No local harmonized trial-level files</w:t>
            </w:r>
          </w:p>
        </w:tc>
      </w:tr>
      <w:tr>
        <w:tc>
          <w:tcPr>
            <w:tcW w:type="dxa" w:w="3168"/>
            <w:vAlign w:val="center"/>
          </w:tcPr>
          <w:p>
            <w:pPr>
              <w:spacing w:after="20" w:before="20"/>
            </w:pPr>
            <w:r/>
            <w:r>
              <w:rPr>
                <w:rFonts w:ascii="Aptos" w:hAnsi="Aptos"/>
                <w:b w:val="0"/>
                <w:sz w:val="16"/>
              </w:rPr>
              <w:t>Clinical acute-pain validation</w:t>
            </w:r>
          </w:p>
        </w:tc>
        <w:tc>
          <w:tcPr>
            <w:tcW w:type="dxa" w:w="6624"/>
            <w:vAlign w:val="center"/>
          </w:tcPr>
          <w:p>
            <w:pPr>
              <w:spacing w:after="20" w:before="20"/>
            </w:pPr>
            <w:r/>
            <w:r>
              <w:rPr>
                <w:rFonts w:ascii="Aptos" w:hAnsi="Aptos"/>
                <w:b w:val="0"/>
                <w:sz w:val="16"/>
              </w:rPr>
              <w:t>Healthy volunteer LEPs alone are insufficient</w:t>
            </w:r>
          </w:p>
        </w:tc>
      </w:tr>
    </w:tbl>
    <w:p>
      <w:pPr>
        <w:spacing w:after="20"/>
      </w:pPr>
    </w:p>
    <w:p>
      <w:pPr>
        <w:pStyle w:val="Heading1"/>
      </w:pPr>
      <w:r>
        <w:t>6. Independent benchmark and its scope</w:t>
      </w:r>
    </w:p>
    <w:p>
      <w:r>
        <w:t>A third-party public repository reports a separate subject-level pain-sensitivity classification task on OpenNeuro ds005284: 26 participants initially, a median split on calibration threshold (Pain_Threshold_7), and no trial-level subjective pain ratings in that dataset release. It reports balanced accuracy 0.671 for P2 latency alone after two exclusions, with 1,000 label permutations and p=0.032. This is an external published/repository-reported analysis, not a rerun here and not a test of 0–10 trial-intensity scores. Its values are supplied in external_subject_classifier_benchmark.csv.</w:t>
      </w:r>
    </w:p>
    <w:p>
      <w:pPr>
        <w:pStyle w:val="Heading1"/>
      </w:pPr>
      <w:r>
        <w:t>7. Raw-data access audit</w:t>
      </w:r>
    </w:p>
    <w:p>
      <w:r>
        <w:t>The 2025 multi-experiment LEP paper describes 678 healthy participants with BIDS EEG data and single-trial pain ratings available in epoch metadata, plus supplementary data and MATLAB code. During this run the browser-based research interface could inspect the dataset description and repository file listings; the local container requests to raw.githubusercontent.com and github.com failed with “Temporary failure in name resolution.” No raw EEG binaries or paired individual feature table were locally retrieved. See data_access_audit.txt.</w:t>
      </w:r>
    </w:p>
    <w:p>
      <w:pPr>
        <w:pStyle w:val="Heading1"/>
      </w:pPr>
      <w:r>
        <w:t>8. Trial-level validation workflow and final verdict</w:t>
      </w:r>
    </w:p>
    <w:p>
      <w:pPr>
        <w:pStyle w:val="ListBullet"/>
        <w:spacing w:after="40"/>
      </w:pPr>
      <w:r>
        <w:t>Use genuine EEG-derived features matched to each observed trial pain rating (subject_id, trial_id, pain_nrs, feature columns). Do not send group means to the trial-level pipeline.</w:t>
      </w:r>
    </w:p>
    <w:p>
      <w:pPr>
        <w:pStyle w:val="ListBullet"/>
        <w:spacing w:after="40"/>
      </w:pPr>
      <w:r>
        <w:t>Run acute_trial_validation_pipeline.py: participant-grouped cross-validation, OOF scores, MAE/RMSE/bias/R², within-1/within-2-point rates, pain category accuracy, balanced accuracy, macro-F1, weighted kappa, per-subject metrics, cluster bootstrap and feature associations.</w:t>
      </w:r>
    </w:p>
    <w:p>
      <w:pPr>
        <w:pStyle w:val="ListBullet"/>
        <w:spacing w:after="40"/>
      </w:pPr>
      <w:r>
        <w:t>For confirmatory inference, add design-aware label permutations, nested/independent model selection, chronological within-subject holdout, second-dataset replication, artifact sensitivity, feature ablation, multiplicity correction and subgroup checks when n supports them.</w:t>
      </w:r>
    </w:p>
    <w:p>
      <w:pPr>
        <w:pStyle w:val="ListBullet"/>
        <w:spacing w:after="40"/>
      </w:pPr>
      <w:r>
        <w:t>Current verdict: aggregate trend passes descriptively; no formula is validated for individual patients/trials; clinical usefulness remains undetermined.</w:t>
      </w:r>
    </w:p>
    <w:p>
      <w:pPr>
        <w:pStyle w:val="Heading1"/>
      </w:pPr>
      <w:r>
        <w:t>References</w:t>
      </w:r>
    </w:p>
    <w:p>
      <w:pPr>
        <w:pStyle w:val="ListNumber"/>
        <w:spacing w:after="40"/>
      </w:pPr>
      <w:r>
        <w:rPr>
          <w:sz w:val="16"/>
        </w:rPr>
        <w:t>Li X et al. Magnitude and Temporal Variability of Inter-stimulus EEG Modulate the Linear Relationship Between Laser-Evoked Potentials and Fast-Pain Perception. Front Neurosci. 2018;12:340. https://doi.org/10.3389/fnins.2018.00340</w:t>
      </w:r>
    </w:p>
    <w:p>
      <w:pPr>
        <w:pStyle w:val="ListNumber"/>
        <w:spacing w:after="40"/>
      </w:pPr>
      <w:r>
        <w:rPr>
          <w:sz w:val="16"/>
        </w:rPr>
        <w:t>Wager TD, Matre D, Casey KL. Placebo effects in laser-evoked pain potentials. Brain Behav Immun. 2006;20(3):219–230. https://doi.org/10.1016/j.bbi.2006.01.007</w:t>
      </w:r>
    </w:p>
    <w:p>
      <w:pPr>
        <w:pStyle w:val="ListNumber"/>
        <w:spacing w:after="40"/>
      </w:pPr>
      <w:r>
        <w:rPr>
          <w:sz w:val="16"/>
        </w:rPr>
        <w:t>Zhao X et al. A comprehensive EEG dataset of laser-evoked potentials for pain research. Scientific Data. 2025;12:1536. https://doi.org/10.1038/s41597-025-05900-1</w:t>
      </w:r>
    </w:p>
    <w:p>
      <w:pPr>
        <w:pStyle w:val="ListNumber"/>
        <w:spacing w:after="40"/>
      </w:pPr>
      <w:r>
        <w:rPr>
          <w:sz w:val="16"/>
        </w:rPr>
        <w:t>Sun G et al. Detecting acute pain signals from human EEG. J Neurosci Methods. 2021;347:108964. https://pmc.ncbi.nlm.nih.gov/articles/PMC7744433/</w:t>
      </w:r>
    </w:p>
    <w:p>
      <w:pPr>
        <w:pStyle w:val="ListNumber"/>
        <w:spacing w:after="40"/>
      </w:pPr>
      <w:r>
        <w:rPr>
          <w:sz w:val="16"/>
        </w:rPr>
        <w:t>Supplementary data/code: https://github.com/XiangyueZhao/Supplement-Data</w:t>
      </w:r>
    </w:p>
    <w:p>
      <w:pPr>
        <w:pStyle w:val="ListNumber"/>
        <w:spacing w:after="40"/>
      </w:pPr>
      <w:r>
        <w:rPr>
          <w:sz w:val="16"/>
        </w:rPr>
        <w:t>External subject classifier audit (not re-run): https://github.com/Sai-sasi/eeg-pain-sensitivity-classifier</w:t>
      </w:r>
    </w:p>
    <w:sectPr w:rsidR="00FC693F" w:rsidRPr="0006063C" w:rsidSect="00034616">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EEG Pain Scale | exploratory aggregate validation only | 26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38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38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338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