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EEG Pain Measurement by Explicit Formulae</w:t>
      </w:r>
    </w:p>
    <w:p>
      <w:r>
        <w:t>Revised research analysis | 16 October 2026</w:t>
      </w:r>
    </w:p>
    <w:p>
      <w:r>
        <w:t>Scope: mathematically interpretable EEG formulas and statistical evidence. No random forest, boosting, neural network, or synthetic observations are used.</w:t>
      </w:r>
    </w:p>
    <w:p>
      <w:pPr>
        <w:pStyle w:val="Heading1"/>
      </w:pPr>
      <w:r>
        <w:t>Executive finding</w:t>
      </w:r>
    </w:p>
    <w:p>
      <w:r>
        <w:t>The strongest direct formula-based published evidence located is Bai et al. (2016), which tested single-trial pain-evoked EEG magnitude equations. Spontaneous-EEG-normalized RMS improved reported continuous prediction MAE (1.838 to 1.625 NRS points on predicted high-pain trials, p=.002; 1.235 to 1.173 on true high-pain trials, p=.003). Low/high classification accuracy changed from 68.95% to 70.36%, which was not significant (p=.092). These are published analyses of real data, not a fresh reanalysis of raw EEG in this package.</w:t>
      </w:r>
    </w:p>
    <w:p>
      <w:r>
        <w:drawing>
          <wp:inline xmlns:a="http://schemas.openxmlformats.org/drawingml/2006/main" xmlns:pic="http://schemas.openxmlformats.org/drawingml/2006/picture">
            <wp:extent cx="5852160" cy="213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G_Formula_Published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3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Published formula-based test of raw versus spontaneous-EEG-normalized RMS. The metrics have different units/scales; only paired bars of the same metric should be compared.</w:t>
      </w:r>
    </w:p>
    <w:p>
      <w:pPr>
        <w:pStyle w:val="Heading1"/>
      </w:pPr>
      <w:r>
        <w:t>Formulae</w:t>
      </w:r>
    </w:p>
    <w:p>
      <w:pPr>
        <w:pStyle w:val="Heading2"/>
      </w:pPr>
      <w:r>
        <w:t>F1 — Evoked response RMS</w:t>
      </w:r>
    </w:p>
    <w:p>
      <w:r>
        <w:t>RMS_P(i) = sqrt[(1/K) Σ x(i,k)²]</w:t>
      </w:r>
    </w:p>
    <w:p>
      <w:r>
        <w:t>Amplitude of a pre-specified post-stimulus epoch; not pain itself.</w:t>
      </w:r>
    </w:p>
    <w:p>
      <w:pPr>
        <w:pStyle w:val="Heading2"/>
      </w:pPr>
      <w:r>
        <w:t>F2 — Spontaneous-normalized RMS</w:t>
      </w:r>
    </w:p>
    <w:p>
      <w:r>
        <w:t>nRMS_P(i) = [RMS_P(i) − μ(RMS_S)] / σ(RMS_S)</w:t>
      </w:r>
    </w:p>
    <w:p>
      <w:r>
        <w:t>Baseline normalization within a participant.</w:t>
      </w:r>
    </w:p>
    <w:p>
      <w:pPr>
        <w:pStyle w:val="Heading2"/>
      </w:pPr>
      <w:r>
        <w:t>F3 — Linear calibration</w:t>
      </w:r>
    </w:p>
    <w:p>
      <w:r>
        <w:t>NRS_hat = a·RMS_P + c</w:t>
      </w:r>
    </w:p>
    <w:p>
      <w:r>
        <w:t>Fit a and c on training participants only.</w:t>
      </w:r>
    </w:p>
    <w:p>
      <w:pPr>
        <w:pStyle w:val="Heading2"/>
      </w:pPr>
      <w:r>
        <w:t>F4 — Normalized linear calibration</w:t>
      </w:r>
    </w:p>
    <w:p>
      <w:r>
        <w:t>NRS_hat = a·nRMS_P + c</w:t>
      </w:r>
    </w:p>
    <w:p>
      <w:r>
        <w:t>Test whether normalization improves held-out MAE.</w:t>
      </w:r>
    </w:p>
    <w:p>
      <w:pPr>
        <w:pStyle w:val="Heading2"/>
      </w:pPr>
      <w:r>
        <w:t>F5 — Piecewise calibration</w:t>
      </w:r>
    </w:p>
    <w:p>
      <w:r>
        <w:t>ŷ = β0 + β1x + β2 max(0, x−τ)</w:t>
      </w:r>
    </w:p>
    <w:p>
      <w:r>
        <w:t>Can represent nonlinearity; τ must be pre-specified and available from EEG at prediction time.</w:t>
      </w:r>
    </w:p>
    <w:p>
      <w:pPr>
        <w:pStyle w:val="Heading2"/>
      </w:pPr>
      <w:r>
        <w:t>F6 — N2–P2 amplitude</w:t>
      </w:r>
    </w:p>
    <w:p>
      <w:r>
        <w:t>A_N2P2 = V_P2 − V_N2; NRS_hat = a·A_N2P2 + c</w:t>
      </w:r>
    </w:p>
    <w:p>
      <w:r>
        <w:t>Fixed electrodes/time windows; control attention, salience, stimulus and artifact.</w:t>
      </w:r>
    </w:p>
    <w:p>
      <w:pPr>
        <w:pStyle w:val="Heading2"/>
      </w:pPr>
      <w:r>
        <w:t>F7 — Alpha suppression</w:t>
      </w:r>
    </w:p>
    <w:p>
      <w:r>
        <w:t>Sα = −ln[(Pα,post+ε)/(Pα,base+ε)]</w:t>
      </w:r>
    </w:p>
    <w:p>
      <w:r>
        <w:t>Within-trial spectral change; exploratory.</w:t>
      </w:r>
    </w:p>
    <w:p>
      <w:pPr>
        <w:pStyle w:val="Heading2"/>
      </w:pPr>
      <w:r>
        <w:t>F8 — Band response</w:t>
      </w:r>
    </w:p>
    <w:p>
      <w:r>
        <w:t>ΔP_b = ln(P_b,post+ε) − ln(P_b,base+ε)</w:t>
      </w:r>
    </w:p>
    <w:p>
      <w:r>
        <w:t>Use fixed bands/epochs; check gamma EMG.</w:t>
      </w:r>
    </w:p>
    <w:p>
      <w:pPr>
        <w:pStyle w:val="Heading2"/>
      </w:pPr>
      <w:r>
        <w:t>F9 — Connectivity equation</w:t>
      </w:r>
    </w:p>
    <w:p>
      <w:r>
        <w:t>NRS_hat = β0 + Σ β_(b,r,s) C_(b,r,s)</w:t>
      </w:r>
    </w:p>
    <w:p>
      <w:r>
        <w:t>Promising theta connectivity findings, but not a validated fixed coefficient set.</w:t>
      </w:r>
    </w:p>
    <w:p>
      <w:pPr>
        <w:pStyle w:val="Heading2"/>
      </w:pPr>
      <w:r>
        <w:t>F10 — Personal baseline index</w:t>
      </w:r>
    </w:p>
    <w:p>
      <w:r>
        <w:t>I = Σ w_k (f_k − μ_base,k)/σ_base,k</w:t>
      </w:r>
    </w:p>
    <w:p>
      <w:r>
        <w:t>Relative index, not universal NRS without separate calibration.</w:t>
      </w:r>
    </w:p>
    <w:p>
      <w:pPr>
        <w:pStyle w:val="Heading1"/>
      </w:pPr>
      <w:r>
        <w:t>Published statistical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Raw RMS</w:t>
            </w:r>
          </w:p>
        </w:tc>
        <w:tc>
          <w:tcPr>
            <w:tcW w:type="dxa" w:w="2160"/>
          </w:tcPr>
          <w:p>
            <w:r>
              <w:t>Normalized RMS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Low/high accuracy</w:t>
            </w:r>
          </w:p>
        </w:tc>
        <w:tc>
          <w:tcPr>
            <w:tcW w:type="dxa" w:w="2160"/>
          </w:tcPr>
          <w:p>
            <w:r>
              <w:t>68.95% ± 12.91</w:t>
            </w:r>
          </w:p>
        </w:tc>
        <w:tc>
          <w:tcPr>
            <w:tcW w:type="dxa" w:w="2160"/>
          </w:tcPr>
          <w:p>
            <w:r>
              <w:t>70.36% ± 14.18</w:t>
            </w:r>
          </w:p>
        </w:tc>
        <w:tc>
          <w:tcPr>
            <w:tcW w:type="dxa" w:w="2160"/>
          </w:tcPr>
          <w:p>
            <w:r>
              <w:t>0.092</w:t>
            </w:r>
          </w:p>
        </w:tc>
      </w:tr>
      <w:tr>
        <w:tc>
          <w:tcPr>
            <w:tcW w:type="dxa" w:w="2160"/>
          </w:tcPr>
          <w:p>
            <w:r>
              <w:t>MAE, predicted high pain</w:t>
            </w:r>
          </w:p>
        </w:tc>
        <w:tc>
          <w:tcPr>
            <w:tcW w:type="dxa" w:w="2160"/>
          </w:tcPr>
          <w:p>
            <w:r>
              <w:t>1.838 ± 0.602</w:t>
            </w:r>
          </w:p>
        </w:tc>
        <w:tc>
          <w:tcPr>
            <w:tcW w:type="dxa" w:w="2160"/>
          </w:tcPr>
          <w:p>
            <w:r>
              <w:t>1.625 ± 0.446</w:t>
            </w:r>
          </w:p>
        </w:tc>
        <w:tc>
          <w:tcPr>
            <w:tcW w:type="dxa" w:w="2160"/>
          </w:tcPr>
          <w:p>
            <w:r>
              <w:t>0.002</w:t>
            </w:r>
          </w:p>
        </w:tc>
      </w:tr>
      <w:tr>
        <w:tc>
          <w:tcPr>
            <w:tcW w:type="dxa" w:w="2160"/>
          </w:tcPr>
          <w:p>
            <w:r>
              <w:t>MAE, true high pain</w:t>
            </w:r>
          </w:p>
        </w:tc>
        <w:tc>
          <w:tcPr>
            <w:tcW w:type="dxa" w:w="2160"/>
          </w:tcPr>
          <w:p>
            <w:r>
              <w:t>1.235 ± 0.278</w:t>
            </w:r>
          </w:p>
        </w:tc>
        <w:tc>
          <w:tcPr>
            <w:tcW w:type="dxa" w:w="2160"/>
          </w:tcPr>
          <w:p>
            <w:r>
              <w:t>1.173 ± 0.278</w:t>
            </w:r>
          </w:p>
        </w:tc>
        <w:tc>
          <w:tcPr>
            <w:tcW w:type="dxa" w:w="2160"/>
          </w:tcPr>
          <w:p>
            <w:r>
              <w:t>0.003</w:t>
            </w:r>
          </w:p>
        </w:tc>
      </w:tr>
    </w:tbl>
    <w:p>
      <w:r>
        <w:t>Bai et al. (2016), https://doi.org/10.3389/fncom.2016.00031. Binary accuracy change is not significant at 0.05. MAE reductions are statistically significant in the reported analysis but modest in NRS units.</w:t>
      </w:r>
    </w:p>
    <w:p>
      <w:pPr>
        <w:pStyle w:val="Heading1"/>
      </w:pPr>
      <w:r>
        <w:t>Statistical validity protocol</w:t>
      </w:r>
    </w:p>
    <w:p>
      <w:pPr>
        <w:pStyle w:val="ListBullet"/>
      </w:pPr>
      <w:r>
        <w:t>Pre-register one primary equation and limit secondary feature screens.</w:t>
      </w:r>
    </w:p>
    <w:p>
      <w:pPr>
        <w:pStyle w:val="ListBullet"/>
      </w:pPr>
      <w:r>
        <w:t>Use participant-level held-out validation; never split trials from the same participant across train and test.</w:t>
      </w:r>
    </w:p>
    <w:p>
      <w:pPr>
        <w:pStyle w:val="ListBullet"/>
      </w:pPr>
      <w:r>
        <w:t>Report MAE, RMSE, test R², calibration slope/intercept, and participant-cluster confidence intervals.</w:t>
      </w:r>
    </w:p>
    <w:p>
      <w:pPr>
        <w:pStyle w:val="ListBullet"/>
      </w:pPr>
      <w:r>
        <w:t>Test within-person slopes with mixed-effects methods or participant-level Fisher-z summaries.</w:t>
      </w:r>
    </w:p>
    <w:p>
      <w:pPr>
        <w:pStyle w:val="ListBullet"/>
      </w:pPr>
      <w:r>
        <w:t>Compare with a training-mean baseline and stimulus-only baseline where stimulus intensity is known.</w:t>
      </w:r>
    </w:p>
    <w:p>
      <w:pPr>
        <w:pStyle w:val="ListBullet"/>
      </w:pPr>
      <w:r>
        <w:t>Use participant-aware permutation tests, multiplicity correction, and locked external validation.</w:t>
      </w:r>
    </w:p>
    <w:p>
      <w:pPr>
        <w:pStyle w:val="ListBullet"/>
      </w:pPr>
      <w:r>
        <w:t>Keep acute experimental pain and chronic clinical pain as separate targets.</w:t>
      </w:r>
    </w:p>
    <w:p>
      <w:pPr>
        <w:pStyle w:val="Heading1"/>
      </w:pPr>
      <w:r>
        <w:t>Important limitation</w:t>
      </w:r>
    </w:p>
    <w:p>
      <w:r>
        <w:t>Raw EEG could not be downloaded in this execution environment. Therefore, no new coefficients, p-values, confidence intervals, or performance metrics from a fresh raw-data analysis are claimed. The supplied Python script is for genuine feature tables and fits only interpretable ordinary least-squares equations, not AI models.</w:t>
      </w:r>
    </w:p>
    <w:p>
      <w:pPr>
        <w:pStyle w:val="Heading1"/>
      </w:pPr>
      <w:r>
        <w:t>References</w:t>
      </w:r>
    </w:p>
    <w:p>
      <w:pPr>
        <w:pStyle w:val="ListNumber"/>
      </w:pPr>
      <w:r>
        <w:t>Bai et al. (2016). https://doi.org/10.3389/fncom.2016.00031</w:t>
      </w:r>
    </w:p>
    <w:p>
      <w:pPr>
        <w:pStyle w:val="ListNumber"/>
      </w:pPr>
      <w:r>
        <w:t>Huang et al. (2018). https://doi.org/10.3389/fnins.2018.00340</w:t>
      </w:r>
    </w:p>
    <w:p>
      <w:pPr>
        <w:pStyle w:val="ListNumber"/>
      </w:pPr>
      <w:r>
        <w:t>Bott et al. (2025). https://doi.org/10.1016/j.ebiom.2025.105955</w:t>
      </w:r>
    </w:p>
    <w:p>
      <w:pPr>
        <w:pStyle w:val="ListNumber"/>
      </w:pPr>
      <w:r>
        <w:t>Mari et al. (2023). https://doi.org/10.1038/s41598-022-27298-1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