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EEG-only Pain Index</w:t>
      </w:r>
    </w:p>
    <w:p>
      <w:r>
        <w:t>Research prototype, competing formulas, data provenance, and validation protocol</w:t>
      </w:r>
    </w:p>
    <w:p>
      <w:r>
        <w:t>Version 0.1 | 16 October 2026 | NOT validated for clinical use</w:t>
      </w:r>
    </w:p>
    <w:p>
      <w:pPr>
        <w:pStyle w:val="Heading1"/>
      </w:pPr>
      <w:r>
        <w:t>1. Executive summary</w:t>
      </w:r>
    </w:p>
    <w:p>
      <w:r>
        <w:t>This report converts the supplied Excalidraw concept and EEG feature table into a transparent research plan for EEG-only pain-associated scoring. It does not claim that any formula is clinically validated. The supplied materials identify candidate features and confounds but do not provide raw EEG observations or fitted coefficients. Public datasets were identified, but raw signals were not downloaded and analyzed in this execution environment; empirical model performance is therefore not reported as if tested.</w:t>
      </w:r>
    </w:p>
    <w:p>
      <w:r>
        <w:t>Pain is a subjective experience. EEG can correlate with nociceptive processing or experimental pain ratings, but an arbitrary score rescaled to 0–10 is not automatically a pain measurement. Use participant-reported pain as the supervised target, participant-wise splits, and independent external validation.</w:t>
      </w:r>
    </w:p>
    <w:p>
      <w:pPr>
        <w:pStyle w:val="Heading1"/>
      </w:pPr>
      <w:r>
        <w:t>2. Feature map from supplied materials</w:t>
      </w:r>
    </w:p>
    <w:tbl>
      <w:tblPr>
        <w:tblStyle w:val="LightShading-Accent1"/>
        <w:tblW w:type="auto" w:w="0"/>
        <w:tblLook w:firstColumn="1" w:firstRow="1" w:lastColumn="0" w:lastRow="0" w:noHBand="0" w:noVBand="1" w:val="04A0"/>
      </w:tblPr>
      <w:tblGrid>
        <w:gridCol w:w="4320"/>
        <w:gridCol w:w="4320"/>
      </w:tblGrid>
      <w:tr>
        <w:tc>
          <w:tcPr>
            <w:tcW w:type="dxa" w:w="4320"/>
          </w:tcPr>
          <w:p>
            <w:r>
              <w:t>Feature / factor</w:t>
            </w:r>
          </w:p>
        </w:tc>
        <w:tc>
          <w:tcPr>
            <w:tcW w:type="dxa" w:w="4320"/>
          </w:tcPr>
          <w:p>
            <w:r>
              <w:t>Treatment in this framework</w:t>
            </w:r>
          </w:p>
        </w:tc>
      </w:tr>
      <w:tr>
        <w:tc>
          <w:tcPr>
            <w:tcW w:type="dxa" w:w="4320"/>
          </w:tcPr>
          <w:p>
            <w:r>
              <w:t>Sensorimotor alpha 8–13 Hz</w:t>
            </w:r>
          </w:p>
        </w:tc>
        <w:tc>
          <w:tcPr>
            <w:tcW w:type="dxa" w:w="4320"/>
          </w:tcPr>
          <w:p>
            <w:r>
              <w:t>Pain-related suppression has been reported, but direction and magnitude vary by cohort and context.</w:t>
            </w:r>
          </w:p>
        </w:tc>
      </w:tr>
      <w:tr>
        <w:tc>
          <w:tcPr>
            <w:tcW w:type="dxa" w:w="4320"/>
          </w:tcPr>
          <w:p>
            <w:r>
              <w:t>Peak alpha frequency</w:t>
            </w:r>
          </w:p>
        </w:tc>
        <w:tc>
          <w:tcPr>
            <w:tcW w:type="dxa" w:w="4320"/>
          </w:tcPr>
          <w:p>
            <w:r>
              <w:t>Exploratory; define absent-peak handling.</w:t>
            </w:r>
          </w:p>
        </w:tc>
      </w:tr>
      <w:tr>
        <w:tc>
          <w:tcPr>
            <w:tcW w:type="dxa" w:w="4320"/>
          </w:tcPr>
          <w:p>
            <w:r>
              <w:t>Alpha-envelope dynamics</w:t>
            </w:r>
          </w:p>
        </w:tc>
        <w:tc>
          <w:tcPr>
            <w:tcW w:type="dxa" w:w="4320"/>
          </w:tcPr>
          <w:p>
            <w:r>
              <w:t>Temporal amplitude fluctuations; not interchangeable with mean alpha power.</w:t>
            </w:r>
          </w:p>
        </w:tc>
      </w:tr>
      <w:tr>
        <w:tc>
          <w:tcPr>
            <w:tcW w:type="dxa" w:w="4320"/>
          </w:tcPr>
          <w:p>
            <w:r>
              <w:t>Frontal alpha asymmetry</w:t>
            </w:r>
          </w:p>
        </w:tc>
        <w:tc>
          <w:tcPr>
            <w:tcW w:type="dxa" w:w="4320"/>
          </w:tcPr>
          <w:p>
            <w:r>
              <w:t>Exploratory; lock the sign convention and electrode pair.</w:t>
            </w:r>
          </w:p>
        </w:tc>
      </w:tr>
      <w:tr>
        <w:tc>
          <w:tcPr>
            <w:tcW w:type="dxa" w:w="4320"/>
          </w:tcPr>
          <w:p>
            <w:r>
              <w:t>Beta 13–30 Hz</w:t>
            </w:r>
          </w:p>
        </w:tc>
        <w:tc>
          <w:tcPr>
            <w:tcW w:type="dxa" w:w="4320"/>
          </w:tcPr>
          <w:p>
            <w:r>
              <w:t>Movement preparation and medication can confound.</w:t>
            </w:r>
          </w:p>
        </w:tc>
      </w:tr>
      <w:tr>
        <w:tc>
          <w:tcPr>
            <w:tcW w:type="dxa" w:w="4320"/>
          </w:tcPr>
          <w:p>
            <w:r>
              <w:t>Theta 4–8 Hz / midline theta</w:t>
            </w:r>
          </w:p>
        </w:tc>
        <w:tc>
          <w:tcPr>
            <w:tcW w:type="dxa" w:w="4320"/>
          </w:tcPr>
          <w:p>
            <w:r>
              <w:t>Separate resting/task; define Fz/FCz and Cz regions independently.</w:t>
            </w:r>
          </w:p>
        </w:tc>
      </w:tr>
      <w:tr>
        <w:tc>
          <w:tcPr>
            <w:tcW w:type="dxa" w:w="4320"/>
          </w:tcPr>
          <w:p>
            <w:r>
              <w:t>Gamma &gt;30 Hz</w:t>
            </w:r>
          </w:p>
        </w:tc>
        <w:tc>
          <w:tcPr>
            <w:tcW w:type="dxa" w:w="4320"/>
          </w:tcPr>
          <w:p>
            <w:r>
              <w:t>Muscle/EMG contamination is a major threat.</w:t>
            </w:r>
          </w:p>
        </w:tc>
      </w:tr>
      <w:tr>
        <w:tc>
          <w:tcPr>
            <w:tcW w:type="dxa" w:w="4320"/>
          </w:tcPr>
          <w:p>
            <w:r>
              <w:t>Connectivity and phase synchrony</w:t>
            </w:r>
          </w:p>
        </w:tc>
        <w:tc>
          <w:tcPr>
            <w:tcW w:type="dxa" w:w="4320"/>
          </w:tcPr>
          <w:p>
            <w:r>
              <w:t>Distinct metrics; reference and volume conduction matter.</w:t>
            </w:r>
          </w:p>
        </w:tc>
      </w:tr>
      <w:tr>
        <w:tc>
          <w:tcPr>
            <w:tcW w:type="dxa" w:w="4320"/>
          </w:tcPr>
          <w:p>
            <w:r>
              <w:t>Spectral entropy / 1/f slope / PAC</w:t>
            </w:r>
          </w:p>
        </w:tc>
        <w:tc>
          <w:tcPr>
            <w:tcW w:type="dxa" w:w="4320"/>
          </w:tcPr>
          <w:p>
            <w:r>
              <w:t>Candidate features, require method-specific QC.</w:t>
            </w:r>
          </w:p>
        </w:tc>
      </w:tr>
      <w:tr>
        <w:tc>
          <w:tcPr>
            <w:tcW w:type="dxa" w:w="4320"/>
          </w:tcPr>
          <w:p>
            <w:r>
              <w:t>N2–P2 and response variability</w:t>
            </w:r>
          </w:p>
        </w:tc>
        <w:tc>
          <w:tcPr>
            <w:tcW w:type="dxa" w:w="4320"/>
          </w:tcPr>
          <w:p>
            <w:r>
              <w:t>Require stimulus events, latency windows, ordered trials, and matched ratings.</w:t>
            </w:r>
          </w:p>
        </w:tc>
      </w:tr>
      <w:tr>
        <w:tc>
          <w:tcPr>
            <w:tcW w:type="dxa" w:w="4320"/>
          </w:tcPr>
          <w:p>
            <w:r>
              <w:t>Habituation, DNIC, sensitization, LTP</w:t>
            </w:r>
          </w:p>
        </w:tc>
        <w:tc>
          <w:tcPr>
            <w:tcW w:type="dxa" w:w="4320"/>
          </w:tcPr>
          <w:p>
            <w:r>
              <w:t>Mechanisms from drawing; not directly observable from one resting spectrum.</w:t>
            </w:r>
          </w:p>
        </w:tc>
      </w:tr>
      <w:tr>
        <w:tc>
          <w:tcPr>
            <w:tcW w:type="dxa" w:w="4320"/>
          </w:tcPr>
          <w:p>
            <w:r>
              <w:t>Age, sex/gender, estrogen, medication, sleep</w:t>
            </w:r>
          </w:p>
        </w:tc>
        <w:tc>
          <w:tcPr>
            <w:tcW w:type="dxa" w:w="4320"/>
          </w:tcPr>
          <w:p>
            <w:r>
              <w:t>EEG-only score excludes these as predictors; use for subgroup audits only where available.</w:t>
            </w:r>
          </w:p>
        </w:tc>
      </w:tr>
    </w:tbl>
    <w:p>
      <w:pPr>
        <w:pStyle w:val="Heading1"/>
      </w:pPr>
      <w:r>
        <w:t>3. Candidate formulas</w:t>
      </w:r>
    </w:p>
    <w:p>
      <w:pPr>
        <w:pStyle w:val="Heading2"/>
      </w:pPr>
      <w:r>
        <w:t>F1: Within-person spectral deviation</w:t>
      </w:r>
    </w:p>
    <w:p>
      <w:r>
        <w:t>S1 = 50 + 10 × weighted standardized deviation of alpha/beta/theta/gamma. Use only with a matched personal baseline. Weights and directions must be learned; no universal signs assumed.</w:t>
      </w:r>
    </w:p>
    <w:p>
      <w:pPr>
        <w:pStyle w:val="Heading2"/>
      </w:pPr>
      <w:r>
        <w:t>F2: Multiband linear</w:t>
      </w:r>
    </w:p>
    <w:p>
      <w:r>
        <w:t>eta = b0 + bA·z(log alpha) + bB·z(log beta) + bT·z(log theta) + bG·z(log gamma) + bE·z(entropy) + bP·z(PAF). A 0–10 output requires calibration to observed NRS.</w:t>
      </w:r>
    </w:p>
    <w:p>
      <w:pPr>
        <w:pStyle w:val="Heading2"/>
      </w:pPr>
      <w:r>
        <w:t>F3: Evoked response</w:t>
      </w:r>
    </w:p>
    <w:p>
      <w:r>
        <w:t>eta = b0 + bN·z(N2–P2) + bL·z(N2 latency) + bV·z(trial variability) + bH·z(habituation slope). Only for event-locked protocols.</w:t>
      </w:r>
    </w:p>
    <w:p>
      <w:pPr>
        <w:pStyle w:val="Heading2"/>
      </w:pPr>
      <w:r>
        <w:t>F4: Dynamics + networks</w:t>
      </w:r>
    </w:p>
    <w:p>
      <w:r>
        <w:t>eta = b0 + spectral terms + bC·z(connectivity) + bQ·z(PAC) + bF·z(aperiodic slope) + bD·z(alpha-envelope dynamics).</w:t>
      </w:r>
    </w:p>
    <w:p>
      <w:pPr>
        <w:pStyle w:val="Heading2"/>
      </w:pPr>
      <w:r>
        <w:t>F5: Elastic-net regression (recommended primary benchmark)</w:t>
      </w:r>
    </w:p>
    <w:p>
      <w:r>
        <w:t>Fit trial-level pain NRS using EEG-only features, nested participant-grouped CV, and a held-out external cohort.</w:t>
      </w:r>
    </w:p>
    <w:p>
      <w:pPr>
        <w:pStyle w:val="Heading2"/>
      </w:pPr>
      <w:r>
        <w:t>F6: Temporal delta</w:t>
      </w:r>
    </w:p>
    <w:p>
      <w:r>
        <w:t>DeltaS(t) = calibrated prediction(t) − median calibrated prediction during pre-stimulus baseline. This is change-from-baseline, not absolute pain.</w:t>
      </w:r>
    </w:p>
    <w:p>
      <w:pPr>
        <w:pStyle w:val="Heading2"/>
      </w:pPr>
      <w:r>
        <w:t>F7: Latent multi-view</w:t>
      </w:r>
    </w:p>
    <w:p>
      <w:r>
        <w:t>Supervised latent factor/PLS across spectral, evoked, and network blocks; retain only if external validation improves.</w:t>
      </w:r>
    </w:p>
    <w:p>
      <w:pPr>
        <w:pStyle w:val="Heading2"/>
      </w:pPr>
      <w:r>
        <w:t>F8: Nonlinear benchmark</w:t>
      </w:r>
    </w:p>
    <w:p>
      <w:r>
        <w:t>Random forest / gradient boosting with same EEG features, subject-wise splits, calibration and subgroup metrics.</w:t>
      </w:r>
    </w:p>
    <w:p>
      <w:r>
        <w:t>Coefficients are not supplied as fixed numbers because the screenshot and drawing do not contain a labeled feature matrix. Hard-coding numerical weights would fabricate evidence. The companion Python script estimates coefficients from actual input records and writes them to metrics.json.</w:t>
      </w:r>
    </w:p>
    <w:p>
      <w:pPr>
        <w:pStyle w:val="Heading1"/>
      </w:pPr>
      <w:r>
        <w:t>4. Public datasets identified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Published description</w:t>
            </w:r>
          </w:p>
        </w:tc>
        <w:tc>
          <w:tcPr>
            <w:tcW w:type="dxa" w:w="2880"/>
          </w:tcPr>
          <w:p>
            <w:r>
              <w:t>Landing page</w:t>
            </w:r>
          </w:p>
        </w:tc>
      </w:tr>
      <w:tr>
        <w:tc>
          <w:tcPr>
            <w:tcW w:type="dxa" w:w="2880"/>
          </w:tcPr>
          <w:p>
            <w:r>
              <w:t>OpenNeuro ds005293 / NEMAR on005293</w:t>
            </w:r>
          </w:p>
        </w:tc>
        <w:tc>
          <w:tcPr>
            <w:tcW w:type="dxa" w:w="2880"/>
          </w:tcPr>
          <w:p>
            <w:r>
              <w:t>95 By BP; 80 trials/participant; laser pain NRS 2, 4, 6, 8; left/right hand.</w:t>
            </w:r>
          </w:p>
        </w:tc>
        <w:tc>
          <w:tcPr>
            <w:tcW w:type="dxa" w:w="2880"/>
          </w:tcPr>
          <w:p>
            <w:r>
              <w:t>https://nemar.org/dataset/on005293</w:t>
            </w:r>
          </w:p>
        </w:tc>
      </w:tr>
      <w:tr>
        <w:tc>
          <w:tcPr>
            <w:tcW w:type="dxa" w:w="2880"/>
          </w:tcPr>
          <w:p>
            <w:r>
              <w:t>OpenNeuro ds005285 / NEMAR on005285</w:t>
            </w:r>
          </w:p>
        </w:tc>
        <w:tc>
          <w:tcPr>
            <w:tcW w:type="dxa" w:w="2880"/>
          </w:tcPr>
          <w:p>
            <w:r>
              <w:t>29 By ANT; 160 laser trials/participant; ratings 0–10.</w:t>
            </w:r>
          </w:p>
        </w:tc>
        <w:tc>
          <w:tcPr>
            <w:tcW w:type="dxa" w:w="2880"/>
          </w:tcPr>
          <w:p>
            <w:r>
              <w:t>https://nemar.org/dataset/on005285</w:t>
            </w:r>
          </w:p>
        </w:tc>
      </w:tr>
      <w:tr>
        <w:tc>
          <w:tcPr>
            <w:tcW w:type="dxa" w:w="2880"/>
          </w:tcPr>
          <w:p>
            <w:r>
              <w:t>OpenNeuro ds005284 / NEMAR on005284</w:t>
            </w:r>
          </w:p>
        </w:tc>
        <w:tc>
          <w:tcPr>
            <w:tcW w:type="dxa" w:w="2880"/>
          </w:tcPr>
          <w:p>
            <w:r>
              <w:t>26 By Biosemi; calibrated laser pain; 16 fixed-intensity stimuli/participant.</w:t>
            </w:r>
          </w:p>
        </w:tc>
        <w:tc>
          <w:tcPr>
            <w:tcW w:type="dxa" w:w="2880"/>
          </w:tcPr>
          <w:p>
            <w:r>
              <w:t>https://nemar.org/dataset/on005284</w:t>
            </w:r>
          </w:p>
        </w:tc>
      </w:tr>
      <w:tr>
        <w:tc>
          <w:tcPr>
            <w:tcW w:type="dxa" w:w="2880"/>
          </w:tcPr>
          <w:p>
            <w:r>
              <w:t>OpenNeuro ds005289 / NEMAR on005289</w:t>
            </w:r>
          </w:p>
        </w:tc>
        <w:tc>
          <w:tcPr>
            <w:tcW w:type="dxa" w:w="2880"/>
          </w:tcPr>
          <w:p>
            <w:r>
              <w:t>39 By BP; 10 trials/participant; intensity and unpleasantness NRS 0–10.</w:t>
            </w:r>
          </w:p>
        </w:tc>
        <w:tc>
          <w:tcPr>
            <w:tcW w:type="dxa" w:w="2880"/>
          </w:tcPr>
          <w:p>
            <w:r>
              <w:t>https://nemar.org/dataset/on005289</w:t>
            </w:r>
          </w:p>
        </w:tc>
      </w:tr>
      <w:tr>
        <w:tc>
          <w:tcPr>
            <w:tcW w:type="dxa" w:w="2880"/>
          </w:tcPr>
          <w:p>
            <w:r>
              <w:t>Zenodo DOI 10.5281/zenodo.12570277</w:t>
            </w:r>
          </w:p>
        </w:tc>
        <w:tc>
          <w:tcPr>
            <w:tcW w:type="dxa" w:w="2880"/>
          </w:tcPr>
          <w:p>
            <w:r>
              <w:t>118 participants (81 chronic pain across CRPS/LBP/SCI-NP; 37 controls), 4,697 trials; EEG, EDA, demographics, medication, sleep and questionnaires.</w:t>
            </w:r>
          </w:p>
        </w:tc>
        <w:tc>
          <w:tcPr>
            <w:tcW w:type="dxa" w:w="2880"/>
          </w:tcPr>
          <w:p>
            <w:r>
              <w:t>https://zenodo.org/records/12570277</w:t>
            </w:r>
          </w:p>
        </w:tc>
      </w:tr>
      <w:tr>
        <w:tc>
          <w:tcPr>
            <w:tcW w:type="dxa" w:w="2880"/>
          </w:tcPr>
          <w:p>
            <w:r>
              <w:t>OpenNeuro ds006897</w:t>
            </w:r>
          </w:p>
        </w:tc>
        <w:tc>
          <w:tcPr>
            <w:tcW w:type="dxa" w:w="2880"/>
          </w:tcPr>
          <w:p>
            <w:r>
              <w:t>41 participants, EEG and experimental pain; 2026 study.</w:t>
            </w:r>
          </w:p>
        </w:tc>
        <w:tc>
          <w:tcPr>
            <w:tcW w:type="dxa" w:w="2880"/>
          </w:tcPr>
          <w:p>
            <w:r>
              <w:t>https://github.com/OpenNeuroDatasets/ds006897</w:t>
            </w:r>
          </w:p>
        </w:tc>
      </w:tr>
      <w:tr>
        <w:tc>
          <w:tcPr>
            <w:tcW w:type="dxa" w:w="2880"/>
          </w:tcPr>
          <w:p>
            <w:r>
              <w:t>OpenNeuro ds006921</w:t>
            </w:r>
          </w:p>
        </w:tc>
        <w:tc>
          <w:tcPr>
            <w:tcW w:type="dxa" w:w="2880"/>
          </w:tcPr>
          <w:p>
            <w:r>
              <w:t>Resting-state EEG of phantom-limb pain and controls; distinct phenotype/protocol.</w:t>
            </w:r>
          </w:p>
        </w:tc>
        <w:tc>
          <w:tcPr>
            <w:tcW w:type="dxa" w:w="2880"/>
          </w:tcPr>
          <w:p>
            <w:r>
              <w:t>https://github.com/OpenNeuroDatasets/ds006921</w:t>
            </w:r>
          </w:p>
        </w:tc>
      </w:tr>
    </w:tbl>
    <w:p>
      <w:r>
        <w:t>Dataset descriptions were verified from public landing pages. Raw files were not downloaded or processed here; no model performance numbers are claimed.</w:t>
      </w:r>
    </w:p>
    <w:p>
      <w:pPr>
        <w:pStyle w:val="Heading1"/>
      </w:pPr>
      <w:r>
        <w:t>5. Required validation</w:t>
      </w:r>
    </w:p>
    <w:p>
      <w:pPr>
        <w:pStyle w:val="ListBullet"/>
      </w:pPr>
      <w:r>
        <w:t>One row per participant × trial/epoch; include observed self-report pain NRS, participant/session/trial IDs, timestamp and EEG-derived features.</w:t>
      </w:r>
    </w:p>
    <w:p>
      <w:pPr>
        <w:pStyle w:val="ListBullet"/>
      </w:pPr>
      <w:r>
        <w:t>Split by participant, never randomly by trial. Use nested grouped CV for model selection and a separate dataset for external validation.</w:t>
      </w:r>
    </w:p>
    <w:p>
      <w:pPr>
        <w:pStyle w:val="ListBullet"/>
      </w:pPr>
      <w:r>
        <w:t>Compare against a mean/median baseline. Report MAE, RMSE, correlation, calibration slope/intercept, and within-person versus between-person performance.</w:t>
      </w:r>
    </w:p>
    <w:p>
      <w:pPr>
        <w:pStyle w:val="ListBullet"/>
      </w:pPr>
      <w:r>
        <w:t>Use participant-bootstrap confidence intervals. For categories, report balanced accuracy, macro-F1, AUROC/AUPRC, sensitivity, specificity, confusion matrix and calibration.</w:t>
      </w:r>
    </w:p>
    <w:p>
      <w:pPr>
        <w:pStyle w:val="ListBullet"/>
      </w:pPr>
      <w:r>
        <w:t>Temporal test: train on earlier observations and evaluate later trials; quantify drift and autocorrelation.</w:t>
      </w:r>
    </w:p>
    <w:p>
      <w:pPr>
        <w:pStyle w:val="ListBullet"/>
      </w:pPr>
      <w:r>
        <w:t>Audit age, sex/gender, pain cohort/etiology, medication, sleep/fatigue and site/device as subgroup variables, not score inputs.</w:t>
      </w:r>
    </w:p>
    <w:p>
      <w:pPr>
        <w:pStyle w:val="ListBullet"/>
      </w:pPr>
      <w:r>
        <w:t>Stress-test gamma EMG contamination, reference montage, band boundaries, artifacts, missing features, baseline duration, eyes-open/closed and rest/task differences.</w:t>
      </w:r>
    </w:p>
    <w:p>
      <w:pPr>
        <w:pStyle w:val="ListBullet"/>
      </w:pPr>
      <w:r>
        <w:t>Save dataset version/hash, pipeline version, feature definitions, split assignments, fitted coefficients, metrics and run logs.</w:t>
      </w:r>
    </w:p>
    <w:p>
      <w:pPr>
        <w:pStyle w:val="Heading1"/>
      </w:pPr>
      <w:r>
        <w:t>6. Validation decision gates</w:t>
      </w:r>
    </w:p>
    <w:p>
      <w:r>
        <w:t>Proposed gates: outperform the mean baseline on external participant-held-out MAE with participant-bootstrap uncertainty; maintain calibration; replicate across at least two independent datasets/acquisition contexts; show no severe subgroup failure; retain temporal performance under drift; and reproduce results from raw files with pinned preprocessing. Preregister clinically meaningful thresholds with domain experts. A significant correlation alone is insufficient.</w:t>
      </w:r>
    </w:p>
    <w:p>
      <w:pPr>
        <w:pStyle w:val="Heading1"/>
      </w:pPr>
      <w:r>
        <w:t>7. Data schema and code</w:t>
      </w:r>
    </w:p>
    <w:p>
      <w:r>
        <w:t>The companion Python file accepts a CSV with participant_id, pain_nrs, and available EEG feature columns. It fits ridge, elastic-net, random forest and histogram-gradient-boosting benchmarks; splits by participant; saves test predictions, metrics and coefficients. Missing features are imputed from training data only. The script does not create synthetic observations or download data.</w:t>
      </w:r>
    </w:p>
    <w:p>
      <w:r>
        <w:t>Example: python eeg_pain_models.py --csv observed_feature_table.csv --out results/</w:t>
      </w:r>
    </w:p>
    <w:p>
      <w:pPr>
        <w:pStyle w:val="Heading1"/>
      </w:pPr>
      <w:r>
        <w:t>8. References</w:t>
      </w:r>
    </w:p>
    <w:p>
      <w:pPr>
        <w:pStyle w:val="ListBullet"/>
      </w:pPr>
      <w:r>
        <w:t>Supplied screenshot: Table 2, EEG features discussed in review and role in proposed framework (user-provided).</w:t>
      </w:r>
    </w:p>
    <w:p>
      <w:pPr>
        <w:pStyle w:val="ListBullet"/>
      </w:pPr>
      <w:r>
        <w:t>Supplied Excalidraw export: EEG signatures, demographics/biological factors and experiential mechanisms (user-provided).</w:t>
      </w:r>
    </w:p>
    <w:p>
      <w:pPr>
        <w:pStyle w:val="ListBullet"/>
      </w:pPr>
      <w:r>
        <w:t>OpenNeuro ds005293: https://github.com/OpenNeuroDatasets/ds005293</w:t>
      </w:r>
    </w:p>
    <w:p>
      <w:pPr>
        <w:pStyle w:val="ListBullet"/>
      </w:pPr>
      <w:r>
        <w:t>NEMAR on005293: https://nemar.org/dataset/on005293</w:t>
      </w:r>
    </w:p>
    <w:p>
      <w:pPr>
        <w:pStyle w:val="ListBullet"/>
      </w:pPr>
      <w:r>
        <w:t>NEMAR on005285: https://nemar.org/dataset/on005285</w:t>
      </w:r>
    </w:p>
    <w:p>
      <w:pPr>
        <w:pStyle w:val="ListBullet"/>
      </w:pPr>
      <w:r>
        <w:t>NEMAR on005284: https://nemar.org/dataset/on005284</w:t>
      </w:r>
    </w:p>
    <w:p>
      <w:pPr>
        <w:pStyle w:val="ListBullet"/>
      </w:pPr>
      <w:r>
        <w:t>NEMAR on005289: https://nemar.org/dataset/on005289</w:t>
      </w:r>
    </w:p>
    <w:p>
      <w:pPr>
        <w:pStyle w:val="ListBullet"/>
      </w:pPr>
      <w:r>
        <w:t>Gozzi et al. dataset, Zenodo DOI 10.5281/zenodo.12570277: https://zenodo.org/records/12570277</w:t>
      </w:r>
    </w:p>
    <w:p>
      <w:pPr>
        <w:pStyle w:val="ListBullet"/>
      </w:pPr>
      <w:r>
        <w:t>OpenNeuro ds006897: https://github.com/OpenNeuroDatasets/ds006897</w:t>
      </w:r>
    </w:p>
    <w:p>
      <w:pPr>
        <w:pStyle w:val="ListBullet"/>
      </w:pPr>
      <w:r>
        <w:t>OpenNeuro ds006921: https://github.com/OpenNeuroDatasets/ds006921</w:t>
      </w:r>
    </w:p>
    <w:p>
      <w:pPr>
        <w:pStyle w:val="ListBullet"/>
      </w:pPr>
      <w:r>
        <w:t>External validation of EEG-based machine learning models for continuous pain prediction, The Journal of Pain (2026): https://www.sciencedirect.com/science/article/pii/S1526590026002348</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