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  <w:jc w:val="center"/>
      </w:pPr>
      <w:r>
        <w:rPr>
          <w:b/>
          <w:color w:val="183153"/>
          <w:sz w:val="54"/>
        </w:rPr>
        <w:t>EEG-only Pain Scoring</w:t>
      </w:r>
    </w:p>
    <w:p>
      <w:pPr>
        <w:jc w:val="center"/>
      </w:pPr>
      <w:r>
        <w:rPr>
          <w:color w:val="246A73"/>
          <w:sz w:val="28"/>
        </w:rPr>
        <w:t>Formula development, pain-level labels, and validation</w:t>
      </w:r>
    </w:p>
    <w:p>
      <w:pPr>
        <w:jc w:val="center"/>
      </w:pPr>
      <w:r>
        <w:rPr>
          <w:i/>
          <w:sz w:val="18"/>
        </w:rPr>
        <w:t>23 October 2026  •  Public clinical/experimental EEG feature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1D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4A00"/>
                <w:sz w:val="20"/>
              </w:rPr>
              <w:t>IMPORTANT: Research prototype only. The continuous score modestly predicts four-week average pain in participant-held-out testing, but diagnosis-held-out generalization and severity labels remain weak. Do not use for diagnosis, triage, or treatment decisions.</w:t>
            </w:r>
          </w:p>
        </w:tc>
      </w:tr>
    </w:tbl>
    <w:p/>
    <w:p>
      <w:pPr>
        <w:pStyle w:val="Heading1"/>
      </w:pPr>
      <w:r>
        <w:t>Executive conclusion</w:t>
      </w:r>
    </w:p>
    <w:p>
      <w:r>
        <w:t>The most useful path was not another large search over trial-level nonlinear equations. After correcting trial/epoch alignment, the best current candidate predicts the participant’s reported average pain over the prior four weeks from the mean and variability of five log EEG band-power measures. Its out-of-fold MAE was 1.43 NRS points versus 1.65 for a training-mean baseline (n=80 chronic-pain participants).</w:t>
      </w:r>
    </w:p>
    <w:p>
      <w:r>
        <w:t>The score is promising as a research hypothesis, not a validated patient grading tool. The model did not transport consistently to an entirely held-out diagnosis group, and categorical labels remained error-prone—especially high/severe pain. The package includes the exact equation, fit parameters, out-of-fold scores and an inference script, with these limits made explicit.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3528"/>
            <w:vAlign w:val="center"/>
            <w:shd w:fill="18315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648"/>
            <w:vAlign w:val="center"/>
            <w:shd w:fill="18315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</w:t>
            </w:r>
          </w:p>
        </w:tc>
        <w:tc>
          <w:tcPr>
            <w:tcW w:type="dxa" w:w="1440"/>
            <w:vAlign w:val="center"/>
            <w:shd w:fill="18315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EEG formula MAE</w:t>
            </w:r>
          </w:p>
        </w:tc>
        <w:tc>
          <w:tcPr>
            <w:tcW w:type="dxa" w:w="1584"/>
            <w:vAlign w:val="center"/>
            <w:shd w:fill="18315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 baseline MAE</w:t>
            </w:r>
          </w:p>
        </w:tc>
        <w:tc>
          <w:tcPr>
            <w:tcW w:type="dxa" w:w="792"/>
            <w:vAlign w:val="center"/>
            <w:shd w:fill="18315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R²</w:t>
            </w:r>
          </w:p>
        </w:tc>
        <w:tc>
          <w:tcPr>
            <w:tcW w:type="dxa" w:w="1080"/>
            <w:vAlign w:val="center"/>
            <w:shd w:fill="18315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Pearson r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Average pain, previous 4 weeks (primary)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1.430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1.650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0.233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0.482</w:t>
            </w:r>
          </w:p>
        </w:tc>
      </w:tr>
      <w:tr>
        <w:tc>
          <w:tcPr>
            <w:tcW w:type="dxa" w:w="3528"/>
            <w:vAlign w:val="center"/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Current pain (`NRS_now)</w:t>
            </w:r>
          </w:p>
        </w:tc>
        <w:tc>
          <w:tcPr>
            <w:tcW w:type="dxa" w:w="648"/>
            <w:vAlign w:val="center"/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80</w:t>
            </w:r>
          </w:p>
        </w:tc>
        <w:tc>
          <w:tcPr>
            <w:tcW w:type="dxa" w:w="1440"/>
            <w:vAlign w:val="center"/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1.873</w:t>
            </w:r>
          </w:p>
        </w:tc>
        <w:tc>
          <w:tcPr>
            <w:tcW w:type="dxa" w:w="1584"/>
            <w:vAlign w:val="center"/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1.848</w:t>
            </w:r>
          </w:p>
        </w:tc>
        <w:tc>
          <w:tcPr>
            <w:tcW w:type="dxa" w:w="792"/>
            <w:vAlign w:val="center"/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-0.116</w:t>
            </w:r>
          </w:p>
        </w:tc>
        <w:tc>
          <w:tcPr>
            <w:tcW w:type="dxa" w:w="1080"/>
            <w:vAlign w:val="center"/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0.150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Maximum pain, previous 4 weeks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1.698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1.704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-0.009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0.190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176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_target_ma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17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Dataset and alignment correction</w:t>
      </w:r>
    </w:p>
    <w:p>
      <w:r>
        <w:t>Source: Gozzi et al. (2024), “Unravelling the physiological and psychosocial signatures of pain by machine learning,” public Zenodo record 10.5281/zenodo.12570277. The archive contains `Trials.pkl` (physiological EEG/skin-conductance-derived features), `Subjects.csv` (demographic, clinical and questionnaire fields), and `SubjectAreas.csv` (pain-area / quantitative sensory testing features). The source repository distinguishes the pain-versus-baseline classification task from the regression task for subjective NRS.</w:t>
      </w:r>
    </w:p>
    <w:p>
      <w:r>
        <w:t>Local data audit: 22,428 feature rows, 117 participant IDs, and 11,214 unique `(id, Area, B, iTrial)` keys. Each key appears twice with the same NRS but a different binary `pain` flag and materially different EEG features. To avoid attaching a future pain rating to baseline activity, trial-level NRS estimation uses only `pain==1` response epochs. The flag is an epoch filter only, never a model predictor. That leaves 11,214 pain-response feature rows.</w:t>
      </w:r>
    </w:p>
    <w:p>
      <w:r>
        <w:t>For the patient-level task, each chronic-pain participant’s pain-response EEG features were aggregated over trials and linked to `NRS_avg4wk` as the target. Only 80 participants in CRPS, low-back-pain or SCI-neuropathic-pain cohorts had this clinical target available. Healthy controls were excluded from the patient-intensity model to avoid making the task mostly “healthy zero versus patient nonzero.” No demographic, cohort or questionnaire variable was used as a predictor.</w:t>
      </w:r>
    </w:p>
    <w:p>
      <w:pPr>
        <w:pStyle w:val="Heading1"/>
      </w:pPr>
      <w:r>
        <w:t>2. Formula families and validation design</w:t>
      </w:r>
    </w:p>
    <w:p>
      <w:r>
        <w:t>At trial level, 13 coefficient-based EEG-only formula families were evaluated: log band powers; relative band powers; log ratios/balances; log bands plus spectral-shape and moment features; a composite interpretable set; degree-2 and degree-3 polynomial expansions; additive splines; signed fractional-power transforms; clipped exponentials; tanh saturation; and Yeo–Johnson power transforms. Ridge shrinkage was used to keep the score an explicit equation rather than a black-box tree model.</w:t>
      </w:r>
    </w:p>
    <w:p>
      <w:r>
        <w:t>Outer validation used five folds grouped by participant; three inner participant-grouped folds selected the formula family. All imputation/scaling and fitted transformations were learned inside training folds. The Ridge penalty was fixed at 10 for the exhaustive family search. Patient-level models were similarly chosen inside grouped training folds. The continuous target was clipped to [0,10] only after prediction.</w:t>
      </w:r>
    </w:p>
    <w:p>
      <w:pPr>
        <w:pStyle w:val="Heading1"/>
      </w:pPr>
      <w:r>
        <w:t>3. Trial-level intensity score did not validate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168"/>
            <w:vAlign w:val="center"/>
            <w:shd w:fill="18315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160"/>
            <w:vAlign w:val="center"/>
            <w:shd w:fill="18315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Nested EEG formula</w:t>
            </w:r>
          </w:p>
        </w:tc>
        <w:tc>
          <w:tcPr>
            <w:tcW w:type="dxa" w:w="2736"/>
            <w:vAlign w:val="center"/>
            <w:shd w:fill="18315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Training-fold mean baseline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MAE (NRS points)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2.189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2.210</w:t>
            </w:r>
          </w:p>
        </w:tc>
      </w:tr>
      <w:tr>
        <w:tc>
          <w:tcPr>
            <w:tcW w:type="dxa" w:w="3168"/>
            <w:vAlign w:val="center"/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RMSE</w:t>
            </w:r>
          </w:p>
        </w:tc>
        <w:tc>
          <w:tcPr>
            <w:tcW w:type="dxa" w:w="2160"/>
            <w:vAlign w:val="center"/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2.631</w:t>
            </w:r>
          </w:p>
        </w:tc>
        <w:tc>
          <w:tcPr>
            <w:tcW w:type="dxa" w:w="2736"/>
            <w:vAlign w:val="center"/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2.634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R²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-0.009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-0.011</w:t>
            </w:r>
          </w:p>
        </w:tc>
      </w:tr>
      <w:tr>
        <w:tc>
          <w:tcPr>
            <w:tcW w:type="dxa" w:w="3168"/>
            <w:vAlign w:val="center"/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Pearson correlation</w:t>
            </w:r>
          </w:p>
        </w:tc>
        <w:tc>
          <w:tcPr>
            <w:tcW w:type="dxa" w:w="2160"/>
            <w:vAlign w:val="center"/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0.084</w:t>
            </w:r>
          </w:p>
        </w:tc>
        <w:tc>
          <w:tcPr>
            <w:tcW w:type="dxa" w:w="2736"/>
            <w:vAlign w:val="center"/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Spearman correlation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0.071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r>
        <w:t>Participant-weighted MAE difference (formula minus baseline) was -0.022, with participant-cluster bootstrap 95% CI [-0.059, 0.014]. Because the interval includes zero, the apparent improvement is not reliable. Trial-level 3-class labels had balanced accuracy 0.342 and macro-F1 0.292. Individual trial pain grades should not be used from this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8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score_calib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Patient-level average-pain equation</w:t>
      </w:r>
    </w:p>
    <w:p>
      <w:r>
        <w:t>For each participant and each band b in delta, theta, alpha, beta and gamma, calculate across that participant’s pain-response trials:</w:t>
      </w:r>
    </w:p>
    <w:p>
      <w:pPr>
        <w:ind w:left="360"/>
      </w:pPr>
      <w:r>
        <w:rPr>
          <w:b/>
        </w:rPr>
        <w:t>m_b = mean(log(P_b + 1e−6))     and     s_b = sample SD(log(P_b + 1e−6))</w:t>
      </w:r>
    </w:p>
    <w:p>
      <w:r>
        <w:t>Standardize each of the ten variables using its training reference mean and standard deviation from `patient_score_formula_parameters.csv`: z_j = (x_j − mean_j) / SD_j. Then calculate the score below and clip it to [0,10]. The coefficient values and normalization values are also exported as machine-readable CSV files.</w:t>
      </w:r>
    </w:p>
    <w:p>
      <w:pPr>
        <w:spacing w:before="40" w:after="140"/>
        <w:ind w:left="288" w:right="144"/>
      </w:pPr>
      <w:r>
        <w:rPr>
          <w:rFonts w:ascii="Consolas" w:hAnsi="Consolas"/>
          <w:sz w:val="17"/>
        </w:rPr>
        <w:t>score = clip(4.337500</w:t>
        <w:br/>
        <w:t xml:space="preserve">  + 0.037217 z(log_delta_mean)</w:t>
        <w:br/>
        <w:t xml:space="preserve">  + 0.090567 z(log_theta_mean)</w:t>
        <w:br/>
        <w:t xml:space="preserve">  - 0.000313 z(log_alpha_mean)</w:t>
        <w:br/>
        <w:t xml:space="preserve">  + 0.262936 z(log_beta_mean)</w:t>
        <w:br/>
        <w:t xml:space="preserve">  - 0.259798 z(log_gamma_mean)</w:t>
        <w:br/>
        <w:t xml:space="preserve">  - 0.167156 z(log_delta_sd)</w:t>
        <w:br/>
        <w:t xml:space="preserve">  + 0.267647 z(log_theta_sd)</w:t>
        <w:br/>
        <w:t xml:space="preserve">  + 0.672448 z(log_alpha_sd)</w:t>
        <w:br/>
        <w:t xml:space="preserve">  + 0.264137 z(log_beta_sd)</w:t>
        <w:br/>
        <w:t xml:space="preserve">  + 0.131118 z(log_gamma_sd), 0, 10)</w:t>
      </w:r>
    </w:p>
    <w:p>
      <w:r>
        <w:t>Five-fold participant-held-out results: MAE 1.430 vs 1.650 baseline, RMSE 1.762 vs 2.025, R² 0.233, Pearson r 0.482, Spearman rho 0.408, calibration slope 0.998. Paired patient bootstrap 95% CI for MAE difference was [-0.411, -0.036]. The empirical 90th percentile absolute held-out error was 2.89 NRS points, so individual scores can still be off by several points.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383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_avg4wk_oof_scat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383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Severity labels are not reliable enough for clinical use</w:t>
      </w:r>
    </w:p>
    <w:p>
      <w:r>
        <w:t>For descriptive comparisons, the continuous prediction was mapped into low/mild (&lt;4), moderate (4 to &lt;7), and high/severe (&gt;=7). These are operational research bins, not treatment thresholds. A separate linear multinomial formula predicts the three classes directly from the same ten EEG-only features.</w:t>
      </w:r>
    </w:p>
    <w:p>
      <w:r>
        <w:t>Thresholding the continuous score: accuracy 0.500, balanced accuracy 0.397, macro-F1 0.403. The direct multinomial formula: accuracy 0.400, balanced accuracy 0.433, macro-F1 0.390. The majority-label baseline has accuracy 0.500, balanced accuracy 0.333 and macro-F1 0.222.</w:t>
      </w:r>
    </w:p>
    <w:p>
      <w:r>
        <w:t>The direct formula correctly identifies 5/10 high/severe cases in held-out predictions, but only 5/19 patients predicted high/severe actually belong to that category (precision 0.263). Its class probabilities are not calibrated. This level of performance is not adequate for clinical classification.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41581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rity_label_confu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158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Cross-diagnosis validation failed to establish transportability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520"/>
            <w:vAlign w:val="center"/>
            <w:shd w:fill="18315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Entire cohort held out</w:t>
            </w:r>
          </w:p>
        </w:tc>
        <w:tc>
          <w:tcPr>
            <w:tcW w:type="dxa" w:w="648"/>
            <w:vAlign w:val="center"/>
            <w:shd w:fill="18315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</w:t>
            </w:r>
          </w:p>
        </w:tc>
        <w:tc>
          <w:tcPr>
            <w:tcW w:type="dxa" w:w="1440"/>
            <w:vAlign w:val="center"/>
            <w:shd w:fill="18315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EEG MAE</w:t>
            </w:r>
          </w:p>
        </w:tc>
        <w:tc>
          <w:tcPr>
            <w:tcW w:type="dxa" w:w="1728"/>
            <w:vAlign w:val="center"/>
            <w:shd w:fill="18315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Baseline MAE</w:t>
            </w:r>
          </w:p>
        </w:tc>
        <w:tc>
          <w:tcPr>
            <w:tcW w:type="dxa" w:w="792"/>
            <w:vAlign w:val="center"/>
            <w:shd w:fill="18315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R²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CRPS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1.982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2.311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0.056</w:t>
            </w:r>
          </w:p>
        </w:tc>
      </w:tr>
      <w:tr>
        <w:tc>
          <w:tcPr>
            <w:tcW w:type="dxa" w:w="2520"/>
            <w:vAlign w:val="center"/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LBP</w:t>
            </w:r>
          </w:p>
        </w:tc>
        <w:tc>
          <w:tcPr>
            <w:tcW w:type="dxa" w:w="648"/>
            <w:vAlign w:val="center"/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51</w:t>
            </w:r>
          </w:p>
        </w:tc>
        <w:tc>
          <w:tcPr>
            <w:tcW w:type="dxa" w:w="1440"/>
            <w:vAlign w:val="center"/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1.691</w:t>
            </w:r>
          </w:p>
        </w:tc>
        <w:tc>
          <w:tcPr>
            <w:tcW w:type="dxa" w:w="1728"/>
            <w:vAlign w:val="center"/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1.791</w:t>
            </w:r>
          </w:p>
        </w:tc>
        <w:tc>
          <w:tcPr>
            <w:tcW w:type="dxa" w:w="792"/>
            <w:vAlign w:val="center"/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-0.479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SCI_NP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1.445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1.146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-0.612</w:t>
            </w:r>
          </w:p>
        </w:tc>
      </w:tr>
    </w:tbl>
    <w:p>
      <w:pPr>
        <w:spacing w:after="20"/>
      </w:pPr>
    </w:p>
    <w:p>
      <w:r>
        <w:t>The formula improved MAE for CRPS and LBP by small margins but was worse than the mean baseline for SCI_NP; R² was negative in LBP and SCI_NP. Therefore random participant-fold performance does not establish that the equation generalizes to a new diagnostic cohort. Current NRS and maximum 4-week NRS also failed to outperform baseline reliably.</w:t>
      </w:r>
    </w:p>
    <w:p>
      <w:pPr>
        <w:pStyle w:val="Heading1"/>
      </w:pPr>
      <w:r>
        <w:t>7. How to run the prototype</w:t>
      </w:r>
    </w:p>
    <w:p>
      <w:r>
        <w:t>`score_patient_csv.py` accepts a CSV with participant ID, EEG_delta, EEG_theta, EEG_alpha, EEG_beta and EEG_gamma for pain-response trial epochs. If a `pain` column exists, it filters to pain==1. It computes the ten patient-level features, produces the continuous average-pain score and a direct-formula class label with uncalibrated probabilities. Features must be created with preprocessing and band definitions consistent with the development data. Participant ID is used only to group trials, never as a predictor.</w:t>
      </w:r>
    </w:p>
    <w:p>
      <w:r>
        <w:t>Example command:</w:t>
      </w:r>
    </w:p>
    <w:p>
      <w:r>
        <w:rPr>
          <w:rFonts w:ascii="Consolas" w:hAnsi="Consolas"/>
          <w:sz w:val="17"/>
        </w:rPr>
        <w:t>python score_patient_csv.py --input patient_trials.csv --output patient_score.csv</w:t>
      </w:r>
    </w:p>
    <w:p>
      <w:r>
        <w:t>A sample input and sample scored output are in the package. The continuous and classification model files are `EEG_patient_average_pain_score_prototype.joblib` and `EEG_patient_severity_label_formula_prototype.joblib`.</w:t>
      </w:r>
    </w:p>
    <w:p>
      <w:pPr>
        <w:pStyle w:val="Heading1"/>
      </w:pPr>
      <w:r>
        <w:t>8. Recommendation</w:t>
      </w:r>
    </w:p>
    <w:p>
      <w:r>
        <w:t>Use the continuous EEG-derived NRS_avg4wk estimate as the primary research candidate for follow-up, not the trial-level NRS score. Treat categories as provisional only. The decisive next step is a frozen validation on an independent clinical cohort with compatible EEG processing, aligned clinical NRS_avg4wk outcomes, and preregistered score/label thresholds. A robust clinical pain scale should not be claimed until external performance, calibration, high-pain sensitivity/precision, and cross-diagnosis transport are satisfactory.</w:t>
      </w:r>
    </w:p>
    <w:p>
      <w:pPr>
        <w:pStyle w:val="Heading1"/>
      </w:pPr>
      <w:r>
        <w:t>Sources</w:t>
      </w:r>
    </w:p>
    <w:p>
      <w:pPr>
        <w:pStyle w:val="ListBullet"/>
        <w:spacing w:after="40"/>
      </w:pPr>
      <w:r>
        <w:t>Gozzi N, Preatoni G, Ciotti F, Hubli M, Schweinhardt P, Curt A, Raspopovic S. “Unravelling the physiological and psychosocial signatures of pain by machine learning.” Med (2024). https://doi.org/10.1016/j.medj.2024.07.016</w:t>
      </w:r>
    </w:p>
    <w:p>
      <w:pPr>
        <w:pStyle w:val="ListBullet"/>
        <w:spacing w:after="40"/>
      </w:pPr>
      <w:r>
        <w:t>Data archive: Zenodo 10.5281/zenodo.12570277 — https://doi.org/10.5281/zenodo.12570277</w:t>
      </w:r>
    </w:p>
    <w:p>
      <w:pPr>
        <w:pStyle w:val="ListBullet"/>
        <w:spacing w:after="40"/>
      </w:pPr>
      <w:r>
        <w:t>Authors’ code and task documentation: https://github.com/neuroenglab/multidimensional_pain</w:t>
      </w:r>
    </w:p>
    <w:p>
      <w:pPr>
        <w:pStyle w:val="ListBullet"/>
        <w:spacing w:after="40"/>
      </w:pPr>
      <w:r>
        <w:t>Three-level NRS grouping example in contemporary EEG pain classification: IEEE TNSRE 2026, https://doi.org/10.1109/TNSRE.2026.3692232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Research prototype — not validated for clinical decisions  •  23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EEG-ONLY PAIN SCORING  |  DEVELOPMENT &amp;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0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1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6A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6A7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8315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