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EEG-Only Pain Score</w:t>
      </w:r>
    </w:p>
    <w:p>
      <w:pPr>
        <w:jc w:val="center"/>
      </w:pPr>
      <w:r>
        <w:rPr>
          <w:i/>
          <w:sz w:val="24"/>
        </w:rPr>
        <w:t>Nonlinear formula families, full-space nested validation, and external dataset plan</w:t>
      </w:r>
    </w:p>
    <w:p>
      <w:pPr>
        <w:jc w:val="center"/>
      </w:pPr>
      <w:r>
        <w:rPr>
          <w:sz w:val="18"/>
        </w:rPr>
        <w:t>Actual local results • generated 2026-10-23</w:t>
      </w:r>
    </w:p>
    <w:p>
      <w:r>
        <w:t>Evidence boundary: the nonlinear analysis below was rerun on the actual local precomputed EEG-feature table. An independent public raw-EEG dataset was identified and its protocol checked, but its signal files were not accessible from this runtime; no external performance scores are claimed.</w:t>
      </w:r>
    </w:p>
    <w:p>
      <w:pPr>
        <w:pStyle w:val="Heading1"/>
      </w:pPr>
      <w:r>
        <w:t>1. Executive findings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2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1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Fold-training mean baseline</w:t>
            </w:r>
          </w:p>
        </w:tc>
        <w:tc>
          <w:tcPr>
            <w:tcW w:type="dxa" w:w="3744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Full 342-family nested selector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MAE (NRS points)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2.2101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2.2023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RMSE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2.6342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2.6343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-0.0114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-0.0115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Pearson 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0.0173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Spearman rho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0.0132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Prediction SD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0.0936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0.3298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Calibration slope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unstable for near-constant fold mean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0.1376</w:t>
            </w:r>
          </w:p>
        </w:tc>
      </w:tr>
    </w:tbl>
    <w:p>
      <w:pPr>
        <w:spacing w:after="20"/>
      </w:pPr>
    </w:p>
    <w:p>
      <w:pPr>
        <w:spacing w:after="100"/>
      </w:pPr>
      <w:r>
        <w:t>The full nested formula selector lowers MAE by 0.0079 NRS points, but RMSE is marginally worse and R² remains negative. Prediction standard deviation is only 0.330 against observed NRS SD 2.619. Participant-cluster bootstrap of per-person MAE difference (selector minus baseline) is -0.0053, 95% CI [-0.0290, 0.0191], which includes zero. This is not evidence of a validated or clinically useful pain scale.</w:t>
      </w:r>
    </w:p>
    <w:p>
      <w:r>
        <w:rPr>
          <w:b/>
        </w:rPr>
        <w:t xml:space="preserve">Critical distinction. </w:t>
      </w:r>
      <w:r>
        <w:t>This is continuous NRS intensity regression. The binary dataset label `pain` was excluded from the predictor matrix and was not treated as the pain-intensity target.</w:t>
      </w:r>
    </w:p>
    <w:p>
      <w:pPr>
        <w:pStyle w:val="Heading1"/>
      </w:pPr>
      <w:r>
        <w:t>2. Local data and target handling</w:t>
      </w:r>
    </w:p>
    <w:p>
      <w:r>
        <w:t>The local Trials.pkl contains 22,428 rows and 59 columns from 117 participants. There are 11,214 unique (id, Area, B, iTrial) keys; every key occurs twice, each pair has the same NRS, and the binary pain label differs within pairs. The primary analysis treats the key as one rating unit: EEG features are averaged within each key and its NRS is counted once. This is a transparent working assumption that must be checked against the original event mapping. A row-level sensitivity analysis is included.</w:t>
      </w:r>
    </w:p>
    <w:p>
      <w:r>
        <w:t>Observed local NRS: range 0–10, mean 3.3658, SD 2.6194. Predictors were EEG features only: five band powers and derived EEG measures. NRS was outcome only. Skin conductance, demographics, questionnaires, IDs, block/trial/area metadata and binary pain condition were not NRS predictors. IDs were used only to group participants in cross-validation. The local dataset contains summary EEG metrics, not raw channel waveforms.</w:t>
      </w:r>
    </w:p>
    <w:p>
      <w:pPr>
        <w:pStyle w:val="Heading1"/>
      </w:pPr>
      <w:r>
        <w:t>3. Nonlinear formula space</w:t>
      </w:r>
    </w:p>
    <w:p>
      <w:r>
        <w:t>All 31 non-empty subsets of delta, theta, alpha, beta and gamma were tested across 11 transformation families (excluding five constant single-band CLR forms), plus composite EEG feature blocks, for 342 candidate specifications. Every output was a coefficient-based Ridge equation, not a Random Forest or other classifier.</w:t>
      </w:r>
    </w:p>
    <w:p>
      <w:pPr>
        <w:pStyle w:val="ListBullet"/>
        <w:spacing w:after="40"/>
      </w:pPr>
      <w:r>
        <w:t>Log-linear band powers: log(P_delta), log(P_theta), log(P_alpha), log(P_beta), log(P_gamma).</w:t>
      </w:r>
    </w:p>
    <w:p>
      <w:pPr>
        <w:pStyle w:val="ListBullet"/>
        <w:spacing w:after="40"/>
      </w:pPr>
      <w:r>
        <w:t>Polynomial degrees 2 and 3: squares, cubes and cross-band products such as z_theta*z_alpha and z_delta*z_beta*z_gamma.</w:t>
      </w:r>
    </w:p>
    <w:p>
      <w:pPr>
        <w:pStyle w:val="ListBullet"/>
        <w:spacing w:after="40"/>
      </w:pPr>
      <w:r>
        <w:t>Exponential bases: z, exp(clip(z,-3,3)), exp(-clip(z,-3,3)); pairwise exponential interactions.</w:t>
      </w:r>
    </w:p>
    <w:p>
      <w:pPr>
        <w:pStyle w:val="ListBullet"/>
        <w:spacing w:after="40"/>
      </w:pPr>
      <w:r>
        <w:t>Sigmoid/saturation: z, tanh(z), logistic sigmoid and z/sqrt(1+z²).</w:t>
      </w:r>
    </w:p>
    <w:p>
      <w:pPr>
        <w:pStyle w:val="ListBullet"/>
        <w:spacing w:after="40"/>
      </w:pPr>
      <w:r>
        <w:t>Fractional signed powers: sign(z)*sqrt(abs(z)), sign(z)*abs(z)^1.5 and z*abs(z).</w:t>
      </w:r>
    </w:p>
    <w:p>
      <w:pPr>
        <w:pStyle w:val="ListBullet"/>
        <w:spacing w:after="40"/>
      </w:pPr>
      <w:r>
        <w:t>Reciprocal/saturation transforms: 1/(1+abs(z)) and logistic variants.</w:t>
      </w:r>
    </w:p>
    <w:p>
      <w:pPr>
        <w:pStyle w:val="ListBullet"/>
        <w:spacing w:after="40"/>
      </w:pPr>
      <w:r>
        <w:t>Cubic additive splines and Yeo–Johnson power transforms with their learned transformations fitted only on training participants.</w:t>
      </w:r>
    </w:p>
    <w:p>
      <w:pPr>
        <w:pStyle w:val="ListBullet"/>
        <w:spacing w:after="40"/>
      </w:pPr>
      <w:r>
        <w:t>Relative powers P_b/sum(P), centered-log-ratio balances, log-ratios such as theta/alpha and delta/alpha, slow/fast balance, normalized spectral entropy, EEG moments, peak frequencies and sample entropy.</w:t>
      </w:r>
    </w:p>
    <w:p>
      <w:r>
        <w:t>Definition: z_b = (log(P_b) − training-fold mean)/(training-fold SD). The score is clip(intercept + Σ β_j φ_j(z, EEG features), 0, 10). Every fold fits imputers, standardizers, splines, Yeo–Johnson transforms and regression coefficients only on training participants. Primary full-space nested selection fixes Ridge alpha=10; penalties 1/10/100 are included in the separate exploratory screen sensitivity, rather than grid-tuned for every one of the 342 formulas in the nested selector.</w:t>
      </w:r>
    </w:p>
    <w:p>
      <w:pPr>
        <w:pStyle w:val="Heading1"/>
      </w:pPr>
      <w:r>
        <w:t>4. Exploratory screen versus valid nested result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28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Bands</w:t>
            </w:r>
          </w:p>
        </w:tc>
        <w:tc>
          <w:tcPr>
            <w:tcW w:type="dxa" w:w="2376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Family</w:t>
            </w:r>
          </w:p>
        </w:tc>
        <w:tc>
          <w:tcPr>
            <w:tcW w:type="dxa" w:w="79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Inputs</w:t>
            </w:r>
          </w:p>
        </w:tc>
        <w:tc>
          <w:tcPr>
            <w:tcW w:type="dxa" w:w="1008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1008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79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R²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theta+alpha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fractional_power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2.1850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fractional_power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2.1863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-0.0027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theta+alpha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2.1866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-0.0027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2.1873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-0.0025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theta+beta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fractional_power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2.1887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2.6269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-0.0058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delta+theta+alpha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2.1889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-0.0025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theta+gamma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fractional_power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2.1892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2.6289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-0.0073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theta+beta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2.1893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2.6261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-0.0052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delta+theta+alpha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fractional_power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2.1900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2.6245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-0.0040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delta+theta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2.1902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-0.0026</w:t>
            </w:r>
          </w:p>
        </w:tc>
      </w:tr>
    </w:tbl>
    <w:p>
      <w:pPr>
        <w:spacing w:after="20"/>
      </w:pPr>
    </w:p>
    <w:p>
      <w:r>
        <w:t>The best exploratory fixed-alpha screen model was theta+alpha fractional_power: MAE 2.184961, RMSE 2.622745, R² −0.002643, Pearson r 0.063138, Spearman rho 0.045656, calibration slope 0.4369 and prediction SD 0.3785. It improves MAE by only 0.0252 points versus baseline. Because it is the minimum from a 342-model screen, that number is selection-optimistic and must not be reported as unbiased expected performance.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864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Outer fold</w:t>
            </w:r>
          </w:p>
        </w:tc>
        <w:tc>
          <w:tcPr>
            <w:tcW w:type="dxa" w:w="2088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Selected bands</w:t>
            </w:r>
          </w:p>
        </w:tc>
        <w:tc>
          <w:tcPr>
            <w:tcW w:type="dxa" w:w="2448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Selected family</w:t>
            </w:r>
          </w:p>
        </w:tc>
        <w:tc>
          <w:tcPr>
            <w:tcW w:type="dxa" w:w="108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Inner MAE</w:t>
            </w:r>
          </w:p>
        </w:tc>
        <w:tc>
          <w:tcPr>
            <w:tcW w:type="dxa" w:w="115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Held-out MAE</w:t>
            </w:r>
          </w:p>
        </w:tc>
        <w:tc>
          <w:tcPr>
            <w:tcW w:type="dxa" w:w="144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Held-out people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gamma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polynomial_degree_2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2.2268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2.0168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ALL_BANDS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composite_linear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2.1214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2.3900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2.2097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2.2176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alpha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exponential_inverse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2.2436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2.0389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theta+beta+gamma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sigmoid_saturation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2.2465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2.3493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>
      <w:pPr>
        <w:spacing w:after="20"/>
      </w:pPr>
    </w:p>
    <w:p>
      <w:r>
        <w:t>The fold-specific formula changes considerably: gamma polynomial, composite linear, theta saturation, alpha exponential and theta+beta+gamma saturation. The selected terms/weights and predictions are in the CSV outputs. Formula instability plus low correlation indicates that apparent small MAE differences do not amount to a stable pain score.</w:t>
      </w:r>
    </w:p>
    <w:p>
      <w:pPr>
        <w:pStyle w:val="Heading1"/>
      </w:pPr>
      <w:r>
        <w:t>5. Ridge penalty sensitivity</w:t>
      </w:r>
    </w:p>
    <w:p>
      <w:r>
        <w:t>As a robustness check, the 20 candidates selected by the alpha=10 screen were rerun with Ridge alpha 1, 10 and 100. The top theta+alpha fractional-power candidate changed very little: this is not a penalty-tuning artifact that suddenly creates strong NRS association. Since the top-20 shortlist was itself selected at alpha 10, this is a sensitivity check rather than independent validation.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44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Ridge alpha</w:t>
            </w:r>
          </w:p>
        </w:tc>
        <w:tc>
          <w:tcPr>
            <w:tcW w:type="dxa" w:w="144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type="dxa" w:w="144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type="dxa" w:w="144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R²</w:t>
            </w:r>
          </w:p>
        </w:tc>
        <w:tc>
          <w:tcPr>
            <w:tcW w:type="dxa" w:w="1440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Pearson r</w:t>
            </w:r>
          </w:p>
        </w:tc>
        <w:tc>
          <w:tcPr>
            <w:tcW w:type="dxa" w:w="1584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Spearman rho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2.185650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2.623333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-0.003093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0.063609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0.046106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2.184961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2.622745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-0.002643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0.063138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0.045656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2.185313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2.622631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-0.002556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0.057742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0.041868</w:t>
            </w:r>
          </w:p>
        </w:tc>
      </w:tr>
    </w:tbl>
    <w:p>
      <w:pPr>
        <w:spacing w:after="20"/>
      </w:pPr>
    </w:p>
    <w:p>
      <w:pPr>
        <w:pStyle w:val="Heading1"/>
      </w:pPr>
      <w:r>
        <w:t>6. Example coefficients for reproducibility</w:t>
      </w:r>
    </w:p>
    <w:p>
      <w:r>
        <w:t>The table below discloses one concrete full-data descriptive equation: theta+alpha fractional_power, Ridge alpha=10, intercept 3.365837. z(theta) and z(alpha) are standardized log band powers. Each transformed basis is then centered and scaled using the basis means/scales in descriptive_equations_with_coefficients.md and descriptive_nonlinear_coefficients.csv.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439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Basis term</w:t>
            </w:r>
          </w:p>
        </w:tc>
        <w:tc>
          <w:tcPr>
            <w:tcW w:type="dxa" w:w="151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Coefficient</w:t>
            </w:r>
          </w:p>
        </w:tc>
        <w:tc>
          <w:tcPr>
            <w:tcW w:type="dxa" w:w="151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Basis mean</w:t>
            </w:r>
          </w:p>
        </w:tc>
        <w:tc>
          <w:tcPr>
            <w:tcW w:type="dxa" w:w="1512"/>
            <w:vAlign w:val="center"/>
            <w:shd w:fill="24415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Basis scale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z(theta)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-0.160567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+0.000000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1.000000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z(alpha)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-0.642382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-0.000000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1.000000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sign(z(theta))*sqrt(abs(z(theta)))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+0.557302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+0.001903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0.885663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sign(z(alpha))*sqrt(abs(z(alpha)))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+0.366089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-0.017891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0.883474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sign(z(theta))*abs(z(theta))^1.5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-0.143189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-0.007044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1.311988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sign(z(alpha))*abs(z(alpha))^1.5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-0.512519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+0.023993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1.303862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z(theta)*abs(z(theta))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+0.022110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-0.025764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1.952811</w:t>
            </w:r>
          </w:p>
        </w:tc>
      </w:tr>
      <w:tr>
        <w:trPr>
          <w:cantSplit/>
        </w:trPr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z(alpha)*abs(z(alpha))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+0.857351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+0.060990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1.881657</w:t>
            </w:r>
          </w:p>
        </w:tc>
      </w:tr>
    </w:tbl>
    <w:p>
      <w:pPr>
        <w:spacing w:after="20"/>
      </w:pPr>
    </w:p>
    <w:p>
      <w:r>
        <w:t>Equation: NRS_hat = clip(3.365837 + Σ β_j (φ_j(z) − mean_j)/scale_j, 0, 10). This is a full-data descriptive fit for coefficient inspection only. Do not deploy its global standardization or weights: the validated outer-fold weights differ, and the model does not meet predictive acceptance criteria.</w:t>
      </w:r>
    </w:p>
    <w:p>
      <w:pPr>
        <w:pStyle w:val="Heading1"/>
      </w:pPr>
      <w:r>
        <w:t>7. Independent public EEG data source and methods</w:t>
      </w:r>
    </w:p>
    <w:p>
      <w:r>
        <w:t>Selected target: OpenNeuro ds005293 / NEMAR on005293, experiment “95 By BP” (version 1.0.0). NEMAR documents 95 healthy participants, 80 trials each, four individually calibrated laser intensity levels nominally associated with ratings 2, 4, 6 and 8, left/right hand dorsum stimulation, and pain rating after each stimulus. The actual observed NRS must be the outcome; nominal calibration rating or delivered laser energy is never used as an EEG score predictor.</w:t>
      </w:r>
    </w:p>
    <w:p>
      <w:r>
        <w:t>The 2025 Scientific Data descriptor by Zhao et al. describes a broader collection of 678 participants across nine experiments, BIDS raw EEG, and single-trial ratings. It notes that stimulus intensity and subjective ratings are stored in the `EEG.epoch` structure of preprocessed EEGLAB `.set` files and describes filtering, baseline-corrected epochs, artifact rejection and ICA eye-artifact correction. The chosen cohort has a better rating range than a single fixed-intensity experiment, although it remains experimental acute pain in healthy volunteers—not chronic clinical pain.</w:t>
      </w:r>
    </w:p>
    <w:p>
      <w:pPr>
        <w:pStyle w:val="ListBullet"/>
        <w:spacing w:after="40"/>
      </w:pPr>
      <w:r>
        <w:t>Zhao et al. (2025), Scientific Data. https://doi.org/10.1038/s41597-025-05900-1</w:t>
      </w:r>
    </w:p>
    <w:p>
      <w:pPr>
        <w:pStyle w:val="ListBullet"/>
        <w:spacing w:after="40"/>
      </w:pPr>
      <w:r>
        <w:t>OpenNeuro ds005293: https://openneuro.org/datasets/ds005293</w:t>
      </w:r>
    </w:p>
    <w:p>
      <w:pPr>
        <w:pStyle w:val="ListBullet"/>
        <w:spacing w:after="40"/>
      </w:pPr>
      <w:r>
        <w:t>NEMAR on005293: https://nemar.org/dataset/on005293</w:t>
      </w:r>
    </w:p>
    <w:p>
      <w:pPr>
        <w:pStyle w:val="ListBullet"/>
        <w:spacing w:after="40"/>
      </w:pPr>
      <w:r>
        <w:t>Author supplementary processed data / MATLAB code: https://github.com/XiangyueZhao/Supplement-Data</w:t>
      </w:r>
    </w:p>
    <w:p>
      <w:r>
        <w:t>Access limitation: the complete dataset was listed at approximately 300.3 GB on NEMAR when checked. Download requests from this runtime failed with DNS name-resolution errors for external hosts. Consequently, no external raw EEG was fitted or scored here. The package includes an EEGLAB extractor and a grouped-validation runner for use once the files are available. This distinction matters: local nested CV is not independent external validation.</w:t>
      </w:r>
    </w:p>
    <w:p>
      <w:pPr>
        <w:pStyle w:val="Heading1"/>
      </w:pPr>
      <w:r>
        <w:t>8. Reproducibility and delivered files</w:t>
      </w:r>
    </w:p>
    <w:p>
      <w:pPr>
        <w:pStyle w:val="ListBullet"/>
        <w:spacing w:after="40"/>
      </w:pPr>
      <w:r>
        <w:t>formula_search_results.xlsx: 342 formula screen, full-space nested outer metrics, OOF predictions, coefficients, full-fit descriptive weights, data source/method limits.</w:t>
      </w:r>
    </w:p>
    <w:p>
      <w:pPr>
        <w:pStyle w:val="ListBullet"/>
        <w:spacing w:after="40"/>
      </w:pPr>
      <w:r>
        <w:t>all_subset_formula_screen.csv: 342 fixed-alpha candidate results.</w:t>
      </w:r>
    </w:p>
    <w:p>
      <w:pPr>
        <w:pStyle w:val="ListBullet"/>
        <w:spacing w:after="40"/>
      </w:pPr>
      <w:r>
        <w:t xml:space="preserve"> top20_alpha_sensitivity.csv: alpha 1/10/100 sensitivity for the top 20 candidates.</w:t>
      </w:r>
    </w:p>
    <w:p>
      <w:pPr>
        <w:pStyle w:val="ListBullet"/>
        <w:spacing w:after="40"/>
      </w:pPr>
      <w:r>
        <w:t>nested_fullspace_oof_predictions.csv: one outer held-out NRS prediction for each unique rating key.</w:t>
      </w:r>
    </w:p>
    <w:p>
      <w:pPr>
        <w:pStyle w:val="ListBullet"/>
        <w:spacing w:after="40"/>
      </w:pPr>
      <w:r>
        <w:t>nested_fullspace_outer_fold_metrics.csv; nested_fullspace_selected_formula_per_fold.csv; nested_fullspace_selected_coefficients.csv: actual fold-level formulas and fitted weights.</w:t>
      </w:r>
    </w:p>
    <w:p>
      <w:pPr>
        <w:pStyle w:val="ListBullet"/>
        <w:spacing w:after="40"/>
      </w:pPr>
      <w:r>
        <w:t>fullspace_nested_metrics.json and participant_cluster_bootstrap.csv: aggregate performance and participant-level uncertainty.</w:t>
      </w:r>
    </w:p>
    <w:p>
      <w:pPr>
        <w:pStyle w:val="ListBullet"/>
        <w:spacing w:after="40"/>
      </w:pPr>
      <w:r>
        <w:t>descriptive_equations_with_coefficients.md; descriptive_nonlinear_coefficients.csv: descriptive full-data weights and exact basis mean/scale settings.</w:t>
      </w:r>
    </w:p>
    <w:p>
      <w:pPr>
        <w:pStyle w:val="ListBullet"/>
        <w:spacing w:after="40"/>
      </w:pPr>
      <w:r>
        <w:t>run_nonlinear_formula_search.py; run_full_nested_formula_search.py; aggregate_full_nested_formula_search.py; export_descriptive_coefficients.py: local reproduction scripts.</w:t>
      </w:r>
    </w:p>
    <w:p>
      <w:pPr>
        <w:pStyle w:val="ListBullet"/>
        <w:spacing w:after="40"/>
      </w:pPr>
      <w:r>
        <w:t>Trials.pkl, Subjects.csv and SubjectAreas.csv: local source files; the latter two are not formula predictors.</w:t>
      </w:r>
    </w:p>
    <w:p>
      <w:pPr>
        <w:pStyle w:val="ListBullet"/>
        <w:spacing w:after="40"/>
      </w:pPr>
      <w:r>
        <w:t>export_lep_trials.m; run_external_ds005293.py; EXTERNAL_DATASET_RUNNER.md: external dataset pipeline and instructions.</w:t>
      </w:r>
    </w:p>
    <w:p>
      <w:pPr>
        <w:pStyle w:val="Heading1"/>
      </w:pPr>
      <w:r>
        <w:t>Conclusion</w:t>
      </w:r>
    </w:p>
    <w:p>
      <w:r>
        <w:t>The nonlinear search covered 342 explicit formulas, including polynomial, exponential, fractional power, log-ratio, sigmoid, reciprocal, spline and power-transform families. The full nested adaptive procedure barely improves MAE, does not improve RMSE, has negative R² and almost no association with observed NRS; its uncertainty interval includes zero. The current local features do not validate a useful EEG-only continuous pain scale. Next evidence must come from the independent raw EEG dataset after signal access and label alignment have been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4"/>
      </w:rPr>
      <w:t xml:space="preserve">Research analysis • 23 October 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4"/>
      </w:rPr>
      <w:t>EEG-ONLY PAIN SCORE RESEARCH  |  NONLINEAR FORMULA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