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Composite Pain Modulation Index (CPMI)</w:t>
      </w:r>
    </w:p>
    <w:p>
      <w:pPr>
        <w:jc w:val="center"/>
      </w:pPr>
      <w:r>
        <w:rPr>
          <w:b/>
          <w:sz w:val="24"/>
        </w:rPr>
        <w:t>Multi-Formula Scale Derived from the Multidimensional Pain Modulation Framework and Table 2 EEG Features</w:t>
      </w:r>
    </w:p>
    <w:p/>
    <w:p>
      <w:pPr>
        <w:pStyle w:val="Heading1"/>
      </w:pPr>
      <w:r>
        <w:t>1. Purpose and Scope</w:t>
      </w:r>
    </w:p>
    <w:p>
      <w:r>
        <w:t>This document defines a set of transparent, literature-directed formulae that convert simple clinical inputs (and, when available, EEG features) into a 0–10 Composite Pain Modulation Index. The formulae operationalise the hierarchical structure of the Multidimensional Pain Modulation Framework (Demographic / Biological factors, Experience factors including Psychological &amp; Sensory processes, Desensitisation &amp; Adaptation versus Sensitisation pathways, Genetic &amp; Molecular factors, and EEG &amp; Neural Signatures) together with the concrete EEG measurement roles listed in Table 2 of the accompanying review.</w:t>
      </w:r>
    </w:p>
    <w:p>
      <w:r>
        <w:t>All coefficients are heuristic starting values taken from published effect directions and magnitudes. They are not maximum-likelihood estimates fitted to a single labelled dataset. Local re-estimation is required before any clinical deployment.</w:t>
      </w:r>
    </w:p>
    <w:p>
      <w:pPr>
        <w:pStyle w:val="Heading1"/>
      </w:pPr>
      <w:r>
        <w:t>2. Glossary of Terms and Abbreviations</w:t>
      </w:r>
    </w:p>
    <w:p>
      <w:r>
        <w:rPr>
          <w:b/>
        </w:rPr>
        <w:t xml:space="preserve">NRS: </w:t>
      </w:r>
      <w:r>
        <w:t>Numerical Rating Scale – 11-point self-report of pain intensity from 0 (no pain) to 10 (worst imaginable pain).</w:t>
      </w:r>
    </w:p>
    <w:p>
      <w:r>
        <w:rPr>
          <w:b/>
        </w:rPr>
        <w:t xml:space="preserve">PCS: </w:t>
      </w:r>
      <w:r>
        <w:t>Pain Catastrophizing Scale – questionnaire measuring rumination, magnification and helplessness related to pain (typical total range 0–52).</w:t>
      </w:r>
    </w:p>
    <w:p>
      <w:r>
        <w:rPr>
          <w:b/>
        </w:rPr>
        <w:t xml:space="preserve">CPM: </w:t>
      </w:r>
      <w:r>
        <w:t>Conditioned Pain Modulation (human counterpart of Diffuse Noxious Inhibitory Control / DNIC) – the phenomenon whereby a noxious conditioning stimulus reduces the perceived intensity of a distant test stimulus; quantifies endogenous inhibitory capacity.</w:t>
      </w:r>
    </w:p>
    <w:p>
      <w:r>
        <w:rPr>
          <w:b/>
        </w:rPr>
        <w:t xml:space="preserve">DNIC: </w:t>
      </w:r>
      <w:r>
        <w:t>Diffuse Noxious Inhibitory Control – the original animal-physiology term for the “pain-inhibits-pain” descending inhibitory mechanism.</w:t>
      </w:r>
    </w:p>
    <w:p>
      <w:r>
        <w:rPr>
          <w:b/>
        </w:rPr>
        <w:t xml:space="preserve">PAF: </w:t>
      </w:r>
      <w:r>
        <w:t>Peak Alpha Frequency – the frequency (within approximately 8–13 Hz) at which alpha-band power reaches its maximum; slower PAF has been associated with higher experimental-pain sensitivity in several studies.</w:t>
      </w:r>
    </w:p>
    <w:p>
      <w:r>
        <w:rPr>
          <w:b/>
        </w:rPr>
        <w:t xml:space="preserve">EEG: </w:t>
      </w:r>
      <w:r>
        <w:t>Electroencephalography – non-invasive recording of electrical activity of the brain from the scalp.</w:t>
      </w:r>
    </w:p>
    <w:p>
      <w:r>
        <w:rPr>
          <w:b/>
        </w:rPr>
        <w:t xml:space="preserve">Sensorimotor alpha power: </w:t>
      </w:r>
      <w:r>
        <w:t>Power in the 8–13 Hz band recorded over central/sensorimotor electrodes; often suppressed during experimental pain.</w:t>
      </w:r>
    </w:p>
    <w:p>
      <w:r>
        <w:rPr>
          <w:b/>
        </w:rPr>
        <w:t xml:space="preserve">Beta power: </w:t>
      </w:r>
      <w:r>
        <w:t>Power in the 13–30 Hz band; frequently elevated in chronic-pain cohorts, though context- and medication-dependent.</w:t>
      </w:r>
    </w:p>
    <w:p>
      <w:r>
        <w:rPr>
          <w:b/>
        </w:rPr>
        <w:t xml:space="preserve">Theta power: </w:t>
      </w:r>
      <w:r>
        <w:t>Power in the 4–8 Hz band; elevated in many cross-sectional chronic-pain EEG studies.</w:t>
      </w:r>
    </w:p>
    <w:p>
      <w:r>
        <w:rPr>
          <w:b/>
        </w:rPr>
        <w:t xml:space="preserve">Gamma power: </w:t>
      </w:r>
      <w:r>
        <w:t>Power above approximately 30 Hz; associated with sensory and affective pain processing but highly susceptible to electromyographic (EMG) contamination.</w:t>
      </w:r>
    </w:p>
    <w:p>
      <w:r>
        <w:rPr>
          <w:b/>
        </w:rPr>
        <w:t xml:space="preserve">Connectivity / phase synchronisation: </w:t>
      </w:r>
      <w:r>
        <w:t>Statistical dependence between signals recorded at different electrodes or reconstructed sources (coherence, phase-locking value, etc.). Multivariate connectivity patterns spanning theta/alpha/beta frequencies showed the most robust association with pain intensity in the largest available mega-analysis.</w:t>
      </w:r>
    </w:p>
    <w:p>
      <w:r>
        <w:rPr>
          <w:b/>
        </w:rPr>
        <w:t xml:space="preserve">Spectral entropy: </w:t>
      </w:r>
      <w:r>
        <w:t>A summary measure of how evenly power is distributed across frequencies; higher values indicate a less peaked spectrum.</w:t>
      </w:r>
    </w:p>
    <w:p>
      <w:r>
        <w:rPr>
          <w:b/>
        </w:rPr>
        <w:t xml:space="preserve">HADS: </w:t>
      </w:r>
      <w:r>
        <w:t>Hospital Anxiety and Depression Scale – brief screening instrument yielding separate anxiety and depression subscale scores.</w:t>
      </w:r>
    </w:p>
    <w:p>
      <w:r>
        <w:rPr>
          <w:b/>
        </w:rPr>
        <w:t xml:space="preserve">BPI: </w:t>
      </w:r>
      <w:r>
        <w:t>Brief Pain Inventory – multidimensional pain questionnaire assessing intensity and interference.</w:t>
      </w:r>
    </w:p>
    <w:p>
      <w:r>
        <w:rPr>
          <w:b/>
        </w:rPr>
        <w:t xml:space="preserve">painDETECT / PDQ: </w:t>
      </w:r>
      <w:r>
        <w:t>Screening questionnaire designed to detect neuropathic pain components.</w:t>
      </w:r>
    </w:p>
    <w:p>
      <w:r>
        <w:rPr>
          <w:b/>
        </w:rPr>
        <w:t xml:space="preserve">CRPS: </w:t>
      </w:r>
      <w:r>
        <w:t>Complex Regional Pain Syndrome.</w:t>
      </w:r>
    </w:p>
    <w:p>
      <w:r>
        <w:rPr>
          <w:b/>
        </w:rPr>
        <w:t xml:space="preserve">LBP: </w:t>
      </w:r>
      <w:r>
        <w:t>Low Back Pain (chronic).</w:t>
      </w:r>
    </w:p>
    <w:p>
      <w:r>
        <w:rPr>
          <w:b/>
        </w:rPr>
        <w:t xml:space="preserve">SCI-NP: </w:t>
      </w:r>
      <w:r>
        <w:t>Spinal-cord-injury-related neuropathic pain.</w:t>
      </w:r>
    </w:p>
    <w:p>
      <w:r>
        <w:rPr>
          <w:b/>
        </w:rPr>
        <w:t xml:space="preserve">HC: </w:t>
      </w:r>
      <w:r>
        <w:t>Healthy control (pain-free) participants.</w:t>
      </w:r>
    </w:p>
    <w:p>
      <w:r>
        <w:rPr>
          <w:b/>
        </w:rPr>
        <w:t xml:space="preserve">EMG: </w:t>
      </w:r>
      <w:r>
        <w:t>Electromyography – electrical activity of muscles; a common artefact source for high-frequency EEG.</w:t>
      </w:r>
    </w:p>
    <w:p>
      <w:r>
        <w:rPr>
          <w:b/>
        </w:rPr>
        <w:t xml:space="preserve">Z-score: </w:t>
      </w:r>
      <w:r>
        <w:t>Standardised value = (observed – reference mean) / reference standard deviation; places features on a common scale.</w:t>
      </w:r>
    </w:p>
    <w:p>
      <w:pPr>
        <w:pStyle w:val="Heading1"/>
      </w:pPr>
      <w:r>
        <w:t>3. The Five Formulae</w:t>
      </w:r>
    </w:p>
    <w:p>
      <w:r>
        <w:t>Gender is coded as a binary indicator (1 = female / woman, 0 = male / man) on the basis of the coding present in the source files. Age is normalised roughly to the interval [0, 1] corresponding to ages 20–80 years. All continuous psychosocial and EEG features are z-scored against a healthy-central reference before weighting. Final scores are clamped to the closed interval [0, 10].</w:t>
      </w:r>
    </w:p>
    <w:p>
      <w:r>
        <w:rPr>
          <w:b/>
        </w:rPr>
        <w:t>A – Clinical Only (always available)</w:t>
      </w:r>
    </w:p>
    <w:p>
      <w:r>
        <w:t>Formula: 0.70·NRS + 0.40·Gender_F + 0.25·Age_norm + 0.45·PCS_z − 0.40·CPM_z + 0.35·CentralSens_z + 0.15·(Gender_F × Age_norm)</w:t>
      </w:r>
    </w:p>
    <w:p>
      <w:r>
        <w:t>Uses only questionnaire and demographic variables. No EEG required.</w:t>
      </w:r>
    </w:p>
    <w:p/>
    <w:p>
      <w:r>
        <w:rPr>
          <w:b/>
        </w:rPr>
        <w:t>B – Core EEG</w:t>
      </w:r>
    </w:p>
    <w:p>
      <w:r>
        <w:t>Formula: 0.60·NRS + 0.25·Gender_F + (−0.50·Z_α − 0.45·Z_PAF + 0.35·Z_β + 0.45·Z_θ + 0.30·Z_γ)</w:t>
      </w:r>
    </w:p>
    <w:p>
      <w:r>
        <w:t>Adds the Core spectral features identified in Table 2 (sensorimotor alpha, peak alpha frequency, beta, theta, gamma).</w:t>
      </w:r>
    </w:p>
    <w:p/>
    <w:p>
      <w:r>
        <w:rPr>
          <w:b/>
        </w:rPr>
        <w:t>C – Full Multidimensional (recommended when data permit)</w:t>
      </w:r>
    </w:p>
    <w:p>
      <w:r>
        <w:t>Formula: 0.55·NRS + 0.30·Gender_F + 0.18·Age_norm + 0.35·PCS_z − 0.32·CPM_z + 0.28·CentralSens_z + EEG_mod + interaction terms</w:t>
      </w:r>
    </w:p>
    <w:p>
      <w:r>
        <w:t>EEG_mod = −0.40·Z_α − 0.35·Z_PAF + 0.28·Z_β + 0.38·Z_θ + 0.22·Z_γ + 0.55·Z_connectivity + 0.18·Z_entropy. Interaction terms include Gender×Age, PCS amplification of adverse EEG, and CPM protective dampening.</w:t>
      </w:r>
    </w:p>
    <w:p/>
    <w:p>
      <w:r>
        <w:rPr>
          <w:b/>
        </w:rPr>
        <w:t>D – Connectivity-Heavy</w:t>
      </w:r>
    </w:p>
    <w:p>
      <w:r>
        <w:t>Formula: 0.50·NRS + 0.25·Gender_F + 0.30·PCS_z − 0.30·CPM_z + (0.70·Z_connectivity + 0.30·Z_entropy − 0.25·Z_PAF + 0.25·Z_θ)</w:t>
      </w:r>
    </w:p>
    <w:p>
      <w:r>
        <w:t>Emphasises the connectivity signal that emerged most robustly in the largest multi-site EEG mega-analysis of chronic pain.</w:t>
      </w:r>
    </w:p>
    <w:p/>
    <w:p>
      <w:r>
        <w:rPr>
          <w:b/>
        </w:rPr>
        <w:t>E – Conservative Power</w:t>
      </w:r>
    </w:p>
    <w:p>
      <w:r>
        <w:t>Formula: 0.75·NRS + 0.20·Gender_F + (−0.30·Z_α + 0.30·Z_θ + 0.20·Z_β)</w:t>
      </w:r>
    </w:p>
    <w:p>
      <w:r>
        <w:t>High weight on self-report and muted power-only EEG coefficients; intended for settings in which EEG quality or preprocessing is uncertain.</w:t>
      </w:r>
    </w:p>
    <w:p/>
    <w:p>
      <w:pPr>
        <w:pStyle w:val="Heading1"/>
      </w:pPr>
      <w:r>
        <w:t>4. Validation on Publicly Available Subject-Level Data</w:t>
      </w:r>
    </w:p>
    <w:p>
      <w:r>
        <w:t>The only publicly downloadable tabular file that simultaneously supplies individual-level demographics, pain-intensity ratings and psychosocial scores suitable for Formula A is the Subjects.csv file released with Gozzi et al. (Zenodo record 12570277). After removal of rows missing required fields, 140 participants remain (37 healthy controls, 103 participants with chronic pain: low-back pain, complex regional pain syndrome or spinal-cord-injury neuropathic pain).</w:t>
      </w:r>
    </w:p>
    <w:p>
      <w:r>
        <w:t>No public file provides the processed EEG features (sensorimotor alpha power, peak alpha frequency, band-limited power, connectivity or spectral entropy) that would be required to score Formulae B–E on the same individuals. Raw EEG recordings exist for several cohorts (including the Gozzi study and the Zolezzi chronic-neuropathic-pain Mendeley dataset), but the derived feature tables matching Table 2 variables have not been released. Consequently only Formula A was applied to real subject-level records. No EEG values were invented or imputed.</w:t>
      </w:r>
    </w:p>
    <w:p>
      <w:pPr>
        <w:pStyle w:val="Heading2"/>
      </w:pPr>
      <w:r>
        <w:t>4.1 Results of Formula A on the Gozzi et al. cohort</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Group</w:t>
            </w:r>
          </w:p>
        </w:tc>
        <w:tc>
          <w:tcPr>
            <w:tcW w:type="dxa" w:w="1608"/>
          </w:tcPr>
          <w:p>
            <w:r>
              <w:rPr>
                <w:b/>
              </w:rPr>
              <w:t>n</w:t>
            </w:r>
          </w:p>
        </w:tc>
        <w:tc>
          <w:tcPr>
            <w:tcW w:type="dxa" w:w="1608"/>
          </w:tcPr>
          <w:p>
            <w:r>
              <w:rPr>
                <w:b/>
              </w:rPr>
              <w:t>Mean CPMI_A</w:t>
            </w:r>
          </w:p>
        </w:tc>
        <w:tc>
          <w:tcPr>
            <w:tcW w:type="dxa" w:w="1608"/>
          </w:tcPr>
          <w:p>
            <w:r>
              <w:rPr>
                <w:b/>
              </w:rPr>
              <w:t>Std</w:t>
            </w:r>
          </w:p>
        </w:tc>
        <w:tc>
          <w:tcPr>
            <w:tcW w:type="dxa" w:w="1608"/>
          </w:tcPr>
          <w:p>
            <w:r>
              <w:rPr>
                <w:b/>
              </w:rPr>
              <w:t>Median</w:t>
            </w:r>
          </w:p>
        </w:tc>
        <w:tc>
          <w:tcPr>
            <w:tcW w:type="dxa" w:w="1608"/>
          </w:tcPr>
          <w:p>
            <w:r>
              <w:rPr>
                <w:b/>
              </w:rPr>
              <w:t>Max</w:t>
            </w:r>
          </w:p>
        </w:tc>
      </w:tr>
      <w:tr>
        <w:tc>
          <w:tcPr>
            <w:tcW w:type="dxa" w:w="1608"/>
          </w:tcPr>
          <w:p>
            <w:r>
              <w:t>Healthy controls</w:t>
            </w:r>
          </w:p>
        </w:tc>
        <w:tc>
          <w:tcPr>
            <w:tcW w:type="dxa" w:w="1608"/>
          </w:tcPr>
          <w:p>
            <w:r>
              <w:t>37</w:t>
            </w:r>
          </w:p>
        </w:tc>
        <w:tc>
          <w:tcPr>
            <w:tcW w:type="dxa" w:w="1608"/>
          </w:tcPr>
          <w:p>
            <w:r>
              <w:t>0.15</w:t>
            </w:r>
          </w:p>
        </w:tc>
        <w:tc>
          <w:tcPr>
            <w:tcW w:type="dxa" w:w="1608"/>
          </w:tcPr>
          <w:p>
            <w:r>
              <w:t>0.30</w:t>
            </w:r>
          </w:p>
        </w:tc>
        <w:tc>
          <w:tcPr>
            <w:tcW w:type="dxa" w:w="1608"/>
          </w:tcPr>
          <w:p>
            <w:r>
              <w:t>0.00</w:t>
            </w:r>
          </w:p>
        </w:tc>
        <w:tc>
          <w:tcPr>
            <w:tcW w:type="dxa" w:w="1608"/>
          </w:tcPr>
          <w:p>
            <w:r>
              <w:t>1.36</w:t>
            </w:r>
          </w:p>
        </w:tc>
      </w:tr>
      <w:tr>
        <w:tc>
          <w:tcPr>
            <w:tcW w:type="dxa" w:w="1608"/>
          </w:tcPr>
          <w:p>
            <w:r>
              <w:t>Chronic pain</w:t>
            </w:r>
          </w:p>
        </w:tc>
        <w:tc>
          <w:tcPr>
            <w:tcW w:type="dxa" w:w="1608"/>
          </w:tcPr>
          <w:p>
            <w:r>
              <w:t>103</w:t>
            </w:r>
          </w:p>
        </w:tc>
        <w:tc>
          <w:tcPr>
            <w:tcW w:type="dxa" w:w="1608"/>
          </w:tcPr>
          <w:p>
            <w:r>
              <w:t>3.15</w:t>
            </w:r>
          </w:p>
        </w:tc>
        <w:tc>
          <w:tcPr>
            <w:tcW w:type="dxa" w:w="1608"/>
          </w:tcPr>
          <w:p>
            <w:r>
              <w:t>2.03</w:t>
            </w:r>
          </w:p>
        </w:tc>
        <w:tc>
          <w:tcPr>
            <w:tcW w:type="dxa" w:w="1608"/>
          </w:tcPr>
          <w:p>
            <w:r>
              <w:t>2.87</w:t>
            </w:r>
          </w:p>
        </w:tc>
        <w:tc>
          <w:tcPr>
            <w:tcW w:type="dxa" w:w="1608"/>
          </w:tcPr>
          <w:p>
            <w:r>
              <w:t>8.78</w:t>
            </w:r>
          </w:p>
        </w:tc>
      </w:tr>
    </w:tbl>
    <w:p/>
    <w:p>
      <w:r>
        <w:t>Pearson correlation between CPMI_A and concurrent NRS_now = 0.96.</w:t>
      </w:r>
    </w:p>
    <w:p>
      <w:r>
        <w:t>Pearson correlation between CPMI_A and PCS total = 0.68.</w:t>
      </w:r>
    </w:p>
    <w:p>
      <w:r>
        <w:t>Healthy controls receive near-zero scores; chronic-pain participants receive clearly elevated scores. The pattern matches the expected behaviour of the demographic and experience-factor block of the framework.</w:t>
      </w:r>
    </w:p>
    <w:p>
      <w:pPr>
        <w:pStyle w:val="Heading2"/>
      </w:pPr>
      <w:r>
        <w:t>4.2 Temporal proxy</w:t>
      </w:r>
    </w:p>
    <w:p>
      <w:r>
        <w:t>The same file contains both NRS_now and NRS_avg4wk. Their difference provides a limited within-subject change indicator (mean difference approximately −0.3 points). The formulae themselves are static; genuine longitudinal validation requires repeated clinical and EEG assessments (for example the pre-/post-therapy recordings described by Heitmann et al.).</w:t>
      </w:r>
    </w:p>
    <w:p>
      <w:pPr>
        <w:pStyle w:val="Heading1"/>
      </w:pPr>
      <w:r>
        <w:t>5. Other Public Sources Examined</w:t>
      </w:r>
    </w:p>
    <w:p>
      <w:pPr>
        <w:pStyle w:val="ListBullet"/>
      </w:pPr>
      <w:r>
        <w:t>Zolezzi et al. Mendeley dataset (chronic neuropathic pain, n = 36): demographics, BPI, painDETECT and raw GDF EEG are available; processed spectral or connectivity tables matching Table 2 are not released.</w:t>
      </w:r>
    </w:p>
    <w:p>
      <w:pPr>
        <w:pStyle w:val="ListBullet"/>
      </w:pPr>
      <w:r>
        <w:t>OSF Ploner / Gil Ávila chronic-pain EEG collection: raw BIDS EEG is public; the accompanying clinical/behavioural spreadsheet is marked “not yet released”.</w:t>
      </w:r>
    </w:p>
    <w:p>
      <w:pPr>
        <w:pStyle w:val="ListBullet"/>
      </w:pPr>
      <w:r>
        <w:t>Bott et al. mega-analysis (n = 614): largest multi-site chronic-pain EEG resource; individual-level feature matrices are not distributed as a single open download.</w:t>
      </w:r>
    </w:p>
    <w:p>
      <w:pPr>
        <w:pStyle w:val="ListBullet"/>
      </w:pPr>
      <w:r>
        <w:t>OpenNeuro experimental-pain and laser-evoked-potential datasets: useful for healthy-reference distributions and acute-pain modelling, but do not contain chronic-pain intensity labels paired with the required EEG features.</w:t>
      </w:r>
    </w:p>
    <w:p>
      <w:pPr>
        <w:pStyle w:val="ListBullet"/>
      </w:pPr>
      <w:r>
        <w:t>Heitmann et al. longitudinal resting-state EEG (OSF): pre- and post-interdisciplinary multimodal pain therapy recordings exist; clinical change scores are reported in the associated paper.</w:t>
      </w:r>
    </w:p>
    <w:p>
      <w:pPr>
        <w:pStyle w:val="Heading1"/>
      </w:pPr>
      <w:r>
        <w:t>6. Closing the Remaining Gaps – Concrete Next Steps</w:t>
      </w:r>
    </w:p>
    <w:p>
      <w:r>
        <w:t>The principal missing ingredient is a public, subject-aligned table of the EEG features listed in Table 2 (sensorimotor alpha power, peak alpha frequency, beta/theta/gamma power, connectivity metrics, spectral entropy). Once such a table becomes available, Formulae B–E can be scored on the same individuals already used for Formula A, allowing direct head-to-head comparison and coefficient re-estimation.</w:t>
      </w:r>
    </w:p>
    <w:p>
      <w:r>
        <w:t>Recommended actions:</w:t>
      </w:r>
    </w:p>
    <w:p>
      <w:pPr>
        <w:pStyle w:val="ListNumber"/>
      </w:pPr>
      <w:r>
        <w:t>Request processed feature matrices from the authors of the Gozzi, Zolezzi, Ploner/Gil Ávila and Bott mega-analysis cohorts under data-use agreements.</w:t>
      </w:r>
    </w:p>
    <w:p>
      <w:pPr>
        <w:pStyle w:val="ListNumber"/>
      </w:pPr>
      <w:r>
        <w:t>Apply standardised, open preprocessing pipelines (for example the DISCOVER-EEG pipeline referenced in the Bott mega-analysis) to the already-public raw BIDS and GDF recordings and deposit the resulting feature tables.</w:t>
      </w:r>
    </w:p>
    <w:p>
      <w:pPr>
        <w:pStyle w:val="ListNumber"/>
      </w:pPr>
      <w:r>
        <w:t>Re-estimate all weights by regularised regression (or hierarchical Bayesian modelling) against concurrent NRS or clinical global impression on the enlarged multi-modal sample.</w:t>
      </w:r>
    </w:p>
    <w:p>
      <w:pPr>
        <w:pStyle w:val="ListNumber"/>
      </w:pPr>
      <w:r>
        <w:t>Evaluate longitudinal predictive validity on any pre-/post-therapy datasets that release both clinical change scores and repeated EEG features.</w:t>
      </w:r>
    </w:p>
    <w:p>
      <w:pPr>
        <w:pStyle w:val="ListNumber"/>
      </w:pPr>
      <w:r>
        <w:t>Perform decision-curve and calibration analyses to quantify clinical net benefit relative to NRS alone.</w:t>
      </w:r>
    </w:p>
    <w:p>
      <w:pPr>
        <w:pStyle w:val="Heading1"/>
      </w:pPr>
      <w:r>
        <w:t>7. Accompanying Files</w:t>
      </w:r>
    </w:p>
    <w:p>
      <w:pPr>
        <w:pStyle w:val="ListBullet"/>
      </w:pPr>
      <w:r>
        <w:t>cpmi_multi_formulas.py – complete source implementing all five formulae and evaluation suite</w:t>
      </w:r>
    </w:p>
    <w:p>
      <w:pPr>
        <w:pStyle w:val="ListBullet"/>
      </w:pPr>
      <w:r>
        <w:t>CPMI_MultiFormula_Validation.xlsx – metrics across synthetic cohorts plus feature metadata from Table 2</w:t>
      </w:r>
    </w:p>
    <w:p>
      <w:pPr>
        <w:pStyle w:val="ListBullet"/>
      </w:pPr>
      <w:r>
        <w:t>real_data/subjects_gozzi.csv – original public Subjects.csv used for real-data testing</w:t>
      </w:r>
    </w:p>
    <w:p>
      <w:pPr>
        <w:pStyle w:val="ListBullet"/>
      </w:pPr>
      <w:r>
        <w:t>real_data/gozzi_cpmi_A_results.csv – subject-level Formula A scores on the Gozzi cohort</w:t>
      </w:r>
    </w:p>
    <w:p>
      <w:pPr>
        <w:pStyle w:val="ListBullet"/>
      </w:pPr>
      <w:r>
        <w:t>This document (cleaned terminology, glossary, no generation timestamps)</w:t>
      </w:r>
    </w:p>
    <w:p/>
    <w:p>
      <w:r>
        <w:rPr>
          <w:b/>
        </w:rPr>
        <w:t xml:space="preserve">Primary references: </w:t>
      </w:r>
      <w:r>
        <w:t>Multidimensional Pain Modulation Framework (Excalidraw diagram); Table 2 EEG feature roles; Yarnitsky et al. (CPM/DNIC); Fillingim et al. (gender differences); Lautenbacher (age); Furman / Seminowicz groups (peak alpha frequency); Bott et al. mega-analysis (connectivity); Gozzi et al. Zenodo dataset (subject-level clinical validation).</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