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K-EL/01 Comprehensive Gap Closure Plan</w:t>
      </w:r>
    </w:p>
    <w:p>
      <w:pPr>
        <w:spacing w:after="160"/>
      </w:pPr>
      <w:r>
        <w:rPr>
          <w:i/>
          <w:color w:val="557080"/>
          <w:sz w:val="20"/>
        </w:rPr>
        <w:t>Original-brief review, generation plan, acceptance gates and residual unknowns</w:t>
      </w:r>
    </w:p>
    <w:p>
      <w:pPr>
        <w:pStyle w:val="Heading1"/>
      </w:pPr>
      <w:r>
        <w:t>1. Purpose and governing principle</w:t>
      </w:r>
    </w:p>
    <w:p>
      <w:r>
        <w:t>This plan maps each requirement in KR-MECH-INT-001 to a concrete file/evidence item, states what has been generated, defines how to generate/check anything still missing, and prevents assumptions from being presented as verified facts. The challenge explicitly says this is conceptual work; it does not require physical prototype, purchases, detailed FEA or manufacturing-ready drawings.</w:t>
      </w:r>
    </w:p>
    <w:p>
      <w:pPr>
        <w:pStyle w:val="Heading1"/>
      </w:pPr>
      <w:r>
        <w:t>2. Required deliverables versus generated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872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2592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Brief asks</w:t>
            </w:r>
          </w:p>
        </w:tc>
        <w:tc>
          <w:tcPr>
            <w:tcW w:type="dxa" w:w="3384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Evidence/generated output</w:t>
            </w:r>
          </w:p>
        </w:tc>
        <w:tc>
          <w:tcPr>
            <w:tcW w:type="dxa" w:w="2880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Acceptance / outstanding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1. Calculation sheet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Static torque, target factor, output speed and motor speed/ratio.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Calculations.csv + Engineering Workbook.xlsx + report tables.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Formula and units checked against brief; input cells highlighted in workbook.</w:t>
            </w:r>
          </w:p>
        </w:tc>
      </w:tr>
      <w:tr>
        <w:tc>
          <w:tcPr>
            <w:tcW w:type="dxa" w:w="187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2. Component selection</w:t>
            </w:r>
          </w:p>
        </w:tc>
        <w:tc>
          <w:tcPr>
            <w:tcW w:type="dxa" w:w="259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One candidate motor + gearbox with official datasheets/product references.</w:t>
            </w:r>
          </w:p>
        </w:tc>
        <w:tc>
          <w:tcPr>
            <w:tcW w:type="dxa" w:w="3384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Component_Research.csv + report with official URLs + Supplier_Clarifications.csv.</w:t>
            </w:r>
          </w:p>
        </w:tc>
        <w:tc>
          <w:tcPr>
            <w:tcW w:type="dxa" w:w="288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Shortlist only; request exact configured combination and loaded curve; not frozen until response.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3. CAD files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Elbow concept and simplified arm assembly; CAD may be FreeCAD/SolidWorks/Fusion/equivalent.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STEP + Build_K_EL01_STEP.py + FCMacro.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STEP re-import valid, 21 solids. Native .FCStd deferred: run macro inside FreeCAD; do not claim macro generated it here.</w:t>
            </w:r>
          </w:p>
        </w:tc>
      </w:tr>
      <w:tr>
        <w:tc>
          <w:tcPr>
            <w:tcW w:type="dxa" w:w="187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4. Drawing</w:t>
            </w:r>
          </w:p>
        </w:tc>
        <w:tc>
          <w:tcPr>
            <w:tcW w:type="dxa" w:w="259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One assembly drawing or clearly labelled CAD view.</w:t>
            </w:r>
          </w:p>
        </w:tc>
        <w:tc>
          <w:tcPr>
            <w:tcW w:type="dxa" w:w="3384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STEP model plus concept drawing PDF/SVG/PNG.</w:t>
            </w:r>
          </w:p>
        </w:tc>
        <w:tc>
          <w:tcPr>
            <w:tcW w:type="dxa" w:w="288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Views and load paths included; concept dimensions only, no manufacturing tolerances.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5. Draft artwork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One isometric whole arm, enlarged elbow/exploded view, labels/load paths, key dimensions, torque/speed, trade-off note.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K_EL01_Concept_Drawing.pdf/.svg/.png.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One A3 landscape page; perform visual check at full resolution before packaging.</w:t>
            </w:r>
          </w:p>
        </w:tc>
      </w:tr>
      <w:tr>
        <w:tc>
          <w:tcPr>
            <w:tcW w:type="dxa" w:w="187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6. BOM</w:t>
            </w:r>
          </w:p>
        </w:tc>
        <w:tc>
          <w:tcPr>
            <w:tcW w:type="dxa" w:w="259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Main components, quantities, manufacturer/model if known.</w:t>
            </w:r>
          </w:p>
        </w:tc>
        <w:tc>
          <w:tcPr>
            <w:tcW w:type="dxa" w:w="3384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BOM.csv + workbook BOM sheet.</w:t>
            </w:r>
          </w:p>
        </w:tc>
        <w:tc>
          <w:tcPr>
            <w:tcW w:type="dxa" w:w="288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Separates candidate/catalogue, original concept, conditional and TBD elements; no invented stock number for custom part.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7. Short report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~3–5 pages; assumptions, critical-thinking answers, two risks, rationale.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Kritva_K_EL01_Design_Report.docx/.pdf.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Target 3–5 PDF pages; DOCX rendered and visually inspected before final release.</w:t>
            </w:r>
          </w:p>
        </w:tc>
      </w:tr>
      <w:tr>
        <w:tc>
          <w:tcPr>
            <w:tcW w:type="dxa" w:w="187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Critical thinking Q1–Q6</w:t>
            </w:r>
          </w:p>
        </w:tc>
        <w:tc>
          <w:tcPr>
            <w:tcW w:type="dxa" w:w="259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Brief asks brief answers to each.</w:t>
            </w:r>
          </w:p>
        </w:tc>
        <w:tc>
          <w:tcPr>
            <w:tcW w:type="dxa" w:w="3384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Report + speaker Q&amp;A.</w:t>
            </w:r>
          </w:p>
        </w:tc>
        <w:tc>
          <w:tcPr>
            <w:tcW w:type="dxa" w:w="288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Answers checked against source framing.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Final review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10-minute presentation then 10-minute technical discussion.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PPTX/PDF + timed speaker notes + technical Q&amp;A.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User must rehearse/deliver; live review itself cannot be performed by deliverable generation.</w:t>
            </w:r>
          </w:p>
        </w:tc>
      </w:tr>
      <w:tr>
        <w:tc>
          <w:tcPr>
            <w:tcW w:type="dxa" w:w="187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Original-source audit</w:t>
            </w:r>
          </w:p>
        </w:tc>
        <w:tc>
          <w:tcPr>
            <w:tcW w:type="dxa" w:w="2592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Preserve original wording/requirements and show trace.</w:t>
            </w:r>
          </w:p>
        </w:tc>
        <w:tc>
          <w:tcPr>
            <w:tcW w:type="dxa" w:w="3384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Original brief PDF included; Assignment_Traceability.csv.</w:t>
            </w:r>
          </w:p>
        </w:tc>
        <w:tc>
          <w:tcPr>
            <w:tcW w:type="dxa" w:w="288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Each original requirement maps to evidence/status; source remains unchanged.</w:t>
            </w:r>
          </w:p>
        </w:tc>
      </w:tr>
    </w:tbl>
    <w:p>
      <w:pPr>
        <w:spacing w:after="0"/>
      </w:pPr>
    </w:p>
    <w:p>
      <w:pPr>
        <w:pStyle w:val="Heading1"/>
      </w:pPr>
      <w:r>
        <w:t>3. Remaining technical closure plan (in order)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800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Gate</w:t>
            </w:r>
          </w:p>
        </w:tc>
        <w:tc>
          <w:tcPr>
            <w:tcW w:type="dxa" w:w="3888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Actions</w:t>
            </w:r>
          </w:p>
        </w:tc>
        <w:tc>
          <w:tcPr>
            <w:tcW w:type="dxa" w:w="3096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Evidence / outputs</w:t>
            </w:r>
          </w:p>
        </w:tc>
        <w:tc>
          <w:tcPr>
            <w:tcW w:type="dxa" w:w="2160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Entry/exit rule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Gate 0 — Clarify system mission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Obtain duty cycle, trajectory, accelerations, max speed, dwell/reversals, impact/stop cases, ambient temperature, accuracy/backlash, life, cable force, load orientation and power-loss holding.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Project lead answers; revised requirement spec and signed assumption log.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Before motor/reducer design freeze; currently open because brief omits these inputs.</w:t>
            </w:r>
          </w:p>
        </w:tc>
      </w:tr>
      <w:tr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Gate 1 — Supplier configuration</w:t>
            </w:r>
          </w:p>
        </w:tc>
        <w:tc>
          <w:tcPr>
            <w:tcW w:type="dxa" w:w="388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Send exact motor 579165, GP52C ratio 91:1 candidate, encoder 512 CPT, controller 688770 concept to maxon. Ask compatible configured order number, actual torque-speed curve at 4095 rpm, output torque at 45 rpm, loaded efficiency, thermal limits, continuous/intermittent/duty curves, the 180 W versus nominal Tω power arithmetic, maximum input/output loads and regen needs. Do not treat the EC-i 0.321 rpm/mNm gradient as constant; Maxon support describes its iron-winding speed/torque characteristic as nonlinear.</w:t>
            </w:r>
          </w:p>
        </w:tc>
        <w:tc>
          <w:tcPr>
            <w:tcW w:type="dxa" w:w="3096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Written vendor response, official datasheet revision, exact order code and performance point saved to Component_Research and Supplier_Clarifications.</w:t>
            </w:r>
          </w:p>
        </w:tc>
        <w:tc>
          <w:tcPr>
            <w:tcW w:type="dxa" w:w="216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Do not release part numbers or claim operational pass before response.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Gate 2 — Transmission interface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Select coupling hubs/bore/key, axial retention, permitted misalignment, peak/reversing torque, service factor, torsional stiffness and speed. Confirm KTR hub compatible with 12 mm spindle and gearhead’s actual keyed output.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Vendor-confirmed coupling assembly and interface sketch.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Current size 19/98ShA is a candidate family only, not full set of order codes.</w:t>
            </w:r>
          </w:p>
        </w:tc>
      </w:tr>
      <w:tr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Gate 3 — CAD native file and assembly</w:t>
            </w:r>
          </w:p>
        </w:tc>
        <w:tc>
          <w:tcPr>
            <w:tcW w:type="dxa" w:w="388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Open STEP in FreeCAD (or accepted CAD), execute K_EL01_Split_Yoke_Concept.FCMacro, save .FCStd. Compare it to STEP; inspect object tree/units/orientation. Add proper constraints/joints only if supported by selected CAD package.</w:t>
            </w:r>
          </w:p>
        </w:tc>
        <w:tc>
          <w:tcPr>
            <w:tcW w:type="dxa" w:w="3096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Native file saved from CAD; screenshot of assembly tree and isometric; export refreshed STEP.</w:t>
            </w:r>
          </w:p>
        </w:tc>
        <w:tc>
          <w:tcPr>
            <w:tcW w:type="dxa" w:w="216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FreeCAD unavailable in current authoring environment; user/FreeCAD workstation execution needed.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Gate 4 — Engineering detail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Specify shaft material/condition, shoulders, keyway, hub contact, retaining features, bearing fits, axial load/retention, seals, bolt grades/preload, flange bolt pattern, housing wall thickness, cable route, motor mount, tolerances and assembly access.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Released detailed drawings and calculation notes, reviewed by mechanical designer.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Not required for conceptual assignment; required before building hardware.</w:t>
            </w:r>
          </w:p>
        </w:tc>
      </w:tr>
      <w:tr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Gate 5 — Calculations</w:t>
            </w:r>
          </w:p>
        </w:tc>
        <w:tc>
          <w:tcPr>
            <w:tcW w:type="dxa" w:w="388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Include link inertia, motor rotor/gearhead inertia reflected through ratio, acceleration/deceleration, gravity across full range, impact/stop events, peak and RMS torque/current, output deflection, shaft combined stress with notch/ fatigue, key/hub contact, fasteners, carrier stiffness, bearing L10/oscillation and thermal equilibrium.</w:t>
            </w:r>
          </w:p>
        </w:tc>
        <w:tc>
          <w:tcPr>
            <w:tcW w:type="dxa" w:w="3096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Updated calculation workbook; independent engineering review; explicit pass/fail thresholds derived from requirements.</w:t>
            </w:r>
          </w:p>
        </w:tc>
        <w:tc>
          <w:tcPr>
            <w:tcW w:type="dxa" w:w="216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Current static screens are inadequate for final release.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Gate 6 — Digital analysis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Perform CAD interference/motion checks; hand calculations first; FEA for yoke/shaft/flange only if useful, with mesh convergence, boundary-condition rationale and load cases. Use bearing/vendor tools for life and manufacturer reducer sizing tool.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Native model, assumptions, solver/settings, mesh convergence, plots and output tables.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FEA is explicitly not required in assignment; do not manufacture simulation output without running it.</w:t>
            </w:r>
          </w:p>
        </w:tc>
      </w:tr>
      <w:tr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Gate 7 — Safety and controls</w:t>
            </w:r>
          </w:p>
        </w:tc>
        <w:tc>
          <w:tcPr>
            <w:tcW w:type="dxa" w:w="388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Define safe state and power-loss hold. If gravity-load hold required, size normally engaged brake (including margin and release logic) or external support. Validate emergency stop, limits, encoder polarity, regenerative bus and controller derating.</w:t>
            </w:r>
          </w:p>
        </w:tc>
        <w:tc>
          <w:tcPr>
            <w:tcW w:type="dxa" w:w="3096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Control concept, brake data or explicit excluded operating envelope, interface schematic and risk assessment.</w:t>
            </w:r>
          </w:p>
        </w:tc>
        <w:tc>
          <w:tcPr>
            <w:tcW w:type="dxa" w:w="216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No brake selected; supervised de-energized setup must remain externally supported.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Gate 8 — Bench verification (future, not assignment task)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Only after component configuration and detailed design: guarded, restrained test stand, no personnel under load, increment torque/speed; measure output torque/speed, current, temperature, backlash and stop response.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Calibrated test setup, protocol, raw logs, uncertainty statement, comparison against requirement thresholds.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No hardware purchased/manufactured; this gate is a future plan, not reported as performed.</w:t>
            </w:r>
          </w:p>
        </w:tc>
      </w:tr>
      <w:tr>
        <w:tc>
          <w:tcPr>
            <w:tcW w:type="dxa" w:w="180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Gate 9 — Release decision</w:t>
            </w:r>
          </w:p>
        </w:tc>
        <w:tc>
          <w:tcPr>
            <w:tcW w:type="dxa" w:w="388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Close every requirement and hazard; resolve supplier clarifications; sign drawings/BOM/configuration; archive revision, source, test evidence and review approval.</w:t>
            </w:r>
          </w:p>
        </w:tc>
        <w:tc>
          <w:tcPr>
            <w:tcW w:type="dxa" w:w="3096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Design review record and controlled release package.</w:t>
            </w:r>
          </w:p>
        </w:tc>
        <w:tc>
          <w:tcPr>
            <w:tcW w:type="dxa" w:w="2160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Current package stays “assignment concept only”.</w:t>
            </w:r>
          </w:p>
        </w:tc>
      </w:tr>
    </w:tbl>
    <w:p>
      <w:pPr>
        <w:spacing w:after="0"/>
      </w:pPr>
    </w:p>
    <w:p>
      <w:pPr>
        <w:pStyle w:val="Heading1"/>
      </w:pPr>
      <w:r>
        <w:t>4. Suggested 5-day execution plan (aligned to brief duration)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944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Day</w:t>
            </w:r>
          </w:p>
        </w:tc>
        <w:tc>
          <w:tcPr>
            <w:tcW w:type="dxa" w:w="4464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Activities</w:t>
            </w:r>
          </w:p>
        </w:tc>
        <w:tc>
          <w:tcPr>
            <w:tcW w:type="dxa" w:w="4608"/>
            <w:vAlign w:val="center"/>
            <w:shd w:fill="1832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End-of-day evidence / acceptance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Day 1 — Requirements &amp; sizing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Extract brief; establish source/assumption log; torque, power and speed math; identify missing duty/accuracy inputs.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Reviewed calculation sheet and clarification list; all units and assumptions traceable.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Day 2 — Drive shortlist</w:t>
            </w:r>
          </w:p>
        </w:tc>
        <w:tc>
          <w:tcPr>
            <w:tcW w:type="dxa" w:w="4464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Compare motor/reducer candidates, official references, ratio, current/power/efficiency sensitivity and controller/encoder options.</w:t>
            </w:r>
          </w:p>
        </w:tc>
        <w:tc>
          <w:tcPr>
            <w:tcW w:type="dxa" w:w="460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Candidate stack and supplier questions; do not call it selected until configured point is validated.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Day 3 — Architecture &amp; CAD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Create support-bearing load path, actuator envelope, simplified arm/wrist, assembly view, link lengths and assembly access review.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Valid STEP, editable builder source/macro, key dimensions and drawing export.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Day 4 — Risk, report and artwork</w:t>
            </w:r>
          </w:p>
        </w:tc>
        <w:tc>
          <w:tcPr>
            <w:tcW w:type="dxa" w:w="4464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BOM, six Q answers, two major risks, one-page artwork, traceability, design/verification register.</w:t>
            </w:r>
          </w:p>
        </w:tc>
        <w:tc>
          <w:tcPr>
            <w:tcW w:type="dxa" w:w="4608"/>
            <w:vAlign w:val="center"/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3–5 page report, drawing PDF/SVG/PNG, risk and gap registers.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Day 5 — QA &amp; presentation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Peer review calculations/files, render every PDF/DOCX page and slides, archive checksums, rehearse 10-minute talk and Q&amp;A.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Integrity-checked release package and clear residual-risk statement.</w:t>
            </w:r>
          </w:p>
        </w:tc>
      </w:tr>
    </w:tbl>
    <w:p>
      <w:pPr>
        <w:spacing w:after="0"/>
      </w:pPr>
    </w:p>
    <w:p>
      <w:pPr>
        <w:pStyle w:val="Heading1"/>
      </w:pPr>
      <w:r>
        <w:t>5. Required acceptance checklists</w:t>
      </w:r>
    </w:p>
    <w:p>
      <w:pPr>
        <w:pStyle w:val="ListBullet"/>
        <w:spacing w:after="30"/>
      </w:pPr>
      <w:r>
        <w:t>Calculation acceptance: inputs match brief; torque terms independently recomputed; units are visible on every equation; target factor labelled assumption; speed ratio and output power reconcile; sensitivity rows recalculate from formulas.</w:t>
      </w:r>
    </w:p>
    <w:p>
      <w:pPr>
        <w:pStyle w:val="ListBullet"/>
        <w:spacing w:after="30"/>
      </w:pPr>
      <w:r>
        <w:t>Component acceptance: official part links reachable; revision/date captured; exact order codes and accessories verified; torque-speed-thermal point confirmed; no rated maximum or maximum efficiency represented as guaranteed operating point.</w:t>
      </w:r>
    </w:p>
    <w:p>
      <w:pPr>
        <w:pStyle w:val="ListBullet"/>
        <w:spacing w:after="30"/>
      </w:pPr>
      <w:r>
        <w:t>CAD acceptance: file opens without warnings; global unit system stated; part coordinates and assembly placement documented; model geometry valid; no overlap/interference assumed merely from STEP validity; native editable source opened in target CAD and re-export round-trip compared.</w:t>
      </w:r>
    </w:p>
    <w:p>
      <w:pPr>
        <w:pStyle w:val="ListBullet"/>
        <w:spacing w:after="30"/>
      </w:pPr>
      <w:r>
        <w:t>Drawing acceptance: whole-arm isometric and enlarged elbow/exploded view; labels distinguish candidate vendor envelopes from original parts; load-path arrows; COM radii and link lengths; torque and speed callout; at least one trade-off/open issue; text readable at 100%.</w:t>
      </w:r>
    </w:p>
    <w:p>
      <w:pPr>
        <w:pStyle w:val="ListBullet"/>
        <w:spacing w:after="30"/>
      </w:pPr>
      <w:r>
        <w:t>Report acceptance: 3–5 pages; assumptions and limitations; concise BOM rationale; two risks with mitigations; all Q1–Q6 answered; source URLs; no broken placeholders; consistent spindle/coupling architecture.</w:t>
      </w:r>
    </w:p>
    <w:p>
      <w:pPr>
        <w:pStyle w:val="ListBullet"/>
        <w:spacing w:after="30"/>
      </w:pPr>
      <w:r>
        <w:t>Presentation acceptance: 10-minute timed presentation, covering torque math, sizing, component evidence, load path, drawing/CAD, trade-offs and next validation; 10-minute discussion question prep; explicitly acknowledge unknowns.</w:t>
      </w:r>
    </w:p>
    <w:p>
      <w:pPr>
        <w:pStyle w:val="ListBullet"/>
        <w:spacing w:after="30"/>
      </w:pPr>
      <w:r>
        <w:t>Package acceptance: generated source/editable file, PDF preview, named versions, index/hash, archive integrity; no intermediate QA image folders in final zip unless explicitly useful.</w:t>
      </w:r>
    </w:p>
    <w:p>
      <w:pPr>
        <w:pStyle w:val="Heading1"/>
      </w:pPr>
      <w:r>
        <w:t>6. Current status and residual open items</w:t>
      </w:r>
    </w:p>
    <w:p>
      <w:r>
        <w:t>At the time of this plan, the concept calculations, one-page artwork, candidate component references, STEP model, source CAD builder/macro, report, BOM and registers can be generated and checked. A native FreeCAD .FCStd file, supplier-confirmed drive combination, real thermal/motion proof, manufacturing detail, controlled safety design and physical-test results cannot responsibly be asserted from the provided assignment input. They have explicit routes and acceptance evidence above.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7080"/>
        <w:sz w:val="14"/>
      </w:rPr>
      <w:t>Concept design only • 25 October 2026 • Not a manufacturing release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57080"/>
        <w:sz w:val="16"/>
      </w:rPr>
      <w:t>KRITVA ROBOTICS  |  KR-MECH-INT-001  |  K-EL/01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47" w:lineRule="auto"/>
    </w:pPr>
    <w:rPr>
      <w:rFonts w:ascii="Aptos" w:hAnsi="Aptos"/>
      <w:color w:val="2331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749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97922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8324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