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Phase-2 Research Report</w:t>
        <w:br/>
        <w:t>Data-Backed Milling Tool-Life Equation and Simulation Engine</w:t>
      </w:r>
    </w:p>
    <w:p>
      <w:pPr>
        <w:jc w:val="center"/>
      </w:pPr>
      <w:r>
        <w:rPr>
          <w:i/>
        </w:rPr>
        <w:t>Prepared on 2026-04-14</w:t>
      </w:r>
    </w:p>
    <w:p>
      <w:r>
        <w:t>This report summarizes the phase-2 research workflow built from the NUAA orthogonal milling bundle, the PHM 2010 milling challenge dataset, and the NASA milling dataset. The objective was to derive a data-backed analytical wear equation that can be inverted into a practical tool-life simulator.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The fitted early-stage wear exponent is 0.6347 on NUAA and 0.6471 on PHM 2010, which justifies the selected operating value of 0.64.</w:t>
      </w:r>
    </w:p>
    <w:p>
      <w:pPr>
        <w:pStyle w:val="ListBullet"/>
      </w:pPr>
      <w:r>
        <w:t>The fitted late-stage wear exponent on the NASA run-to-failure traces is 1.2873, supporting an accelerated end-of-life regime.</w:t>
      </w:r>
    </w:p>
    <w:p>
      <w:pPr>
        <w:pStyle w:val="ListBullet"/>
      </w:pPr>
      <w:r>
        <w:t>The derived condition term is dominated by feed sensitivity (3.956), followed by depth (0.688); spindle-speed sensitivity is weaker (0.360) in the available data range.</w:t>
      </w:r>
    </w:p>
    <w:p>
      <w:pPr>
        <w:pStyle w:val="ListBullet"/>
      </w:pPr>
      <w:r>
        <w:t>The selected final model is piecewise rather than single-regime: early wear is sub-linear in time, while late wear accelerates.</w:t>
      </w:r>
    </w:p>
    <w:p>
      <w:pPr>
        <w:pStyle w:val="ListBullet"/>
      </w:pPr>
      <w:r>
        <w:t>A closed-form simulator was implemented so tool life can be predicted analytically for any target wear threshold once a calibration factor is chosen.</w:t>
      </w:r>
    </w:p>
    <w:p>
      <w:pPr>
        <w:pStyle w:val="Heading1"/>
      </w:pPr>
      <w:r>
        <w:t>2. Data Base Used</w:t>
      </w:r>
    </w:p>
    <w:p>
      <w:r>
        <w:t>Three public milling datasets available in the local workspace were used for complementary roles: NUAA to identify the process-parameter law, PHM 2010 to verify the early-regime exponent on a second milling source, and NASA to identify the accelerated late wear regime.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t>dataset</w:t>
            </w:r>
          </w:p>
        </w:tc>
        <w:tc>
          <w:tcPr>
            <w:tcW w:type="dxa" w:w="1632"/>
          </w:tcPr>
          <w:p>
            <w:r>
              <w:t>series_count</w:t>
            </w:r>
          </w:p>
        </w:tc>
        <w:tc>
          <w:tcPr>
            <w:tcW w:type="dxa" w:w="1632"/>
          </w:tcPr>
          <w:p>
            <w:r>
              <w:t>total_points</w:t>
            </w:r>
          </w:p>
        </w:tc>
        <w:tc>
          <w:tcPr>
            <w:tcW w:type="dxa" w:w="1632"/>
          </w:tcPr>
          <w:p>
            <w:r>
              <w:t>min_wear_mm</w:t>
            </w:r>
          </w:p>
        </w:tc>
        <w:tc>
          <w:tcPr>
            <w:tcW w:type="dxa" w:w="1632"/>
          </w:tcPr>
          <w:p>
            <w:r>
              <w:t>max_wear_mm</w:t>
            </w:r>
          </w:p>
        </w:tc>
        <w:tc>
          <w:tcPr>
            <w:tcW w:type="dxa" w:w="1632"/>
          </w:tcPr>
          <w:p>
            <w:r>
              <w:t>max_time</w:t>
            </w:r>
          </w:p>
        </w:tc>
      </w:tr>
      <w:tr>
        <w:tc>
          <w:tcPr>
            <w:tcW w:type="dxa" w:w="1632"/>
          </w:tcPr>
          <w:p>
            <w:r>
              <w:t>NASA</w:t>
            </w:r>
          </w:p>
        </w:tc>
        <w:tc>
          <w:tcPr>
            <w:tcW w:type="dxa" w:w="1632"/>
          </w:tcPr>
          <w:p>
            <w:r>
              <w:t>16</w:t>
            </w:r>
          </w:p>
        </w:tc>
        <w:tc>
          <w:tcPr>
            <w:tcW w:type="dxa" w:w="1632"/>
          </w:tcPr>
          <w:p>
            <w:r>
              <w:t>146</w:t>
            </w:r>
          </w:p>
        </w:tc>
        <w:tc>
          <w:tcPr>
            <w:tcW w:type="dxa" w:w="1632"/>
          </w:tcPr>
          <w:p>
            <w:r>
              <w:t>0.00</w:t>
            </w:r>
          </w:p>
        </w:tc>
        <w:tc>
          <w:tcPr>
            <w:tcW w:type="dxa" w:w="1632"/>
          </w:tcPr>
          <w:p>
            <w:r>
              <w:t>1.53</w:t>
            </w:r>
          </w:p>
        </w:tc>
        <w:tc>
          <w:tcPr>
            <w:tcW w:type="dxa" w:w="1632"/>
          </w:tcPr>
          <w:p>
            <w:r>
              <w:t>105.00</w:t>
            </w:r>
          </w:p>
        </w:tc>
      </w:tr>
      <w:tr>
        <w:tc>
          <w:tcPr>
            <w:tcW w:type="dxa" w:w="1632"/>
          </w:tcPr>
          <w:p>
            <w:r>
              <w:t>NUAA</w:t>
            </w:r>
          </w:p>
        </w:tc>
        <w:tc>
          <w:tcPr>
            <w:tcW w:type="dxa" w:w="1632"/>
          </w:tcPr>
          <w:p>
            <w:r>
              <w:t>9</w:t>
            </w:r>
          </w:p>
        </w:tc>
        <w:tc>
          <w:tcPr>
            <w:tcW w:type="dxa" w:w="1632"/>
          </w:tcPr>
          <w:p>
            <w:r>
              <w:t>152</w:t>
            </w:r>
          </w:p>
        </w:tc>
        <w:tc>
          <w:tcPr>
            <w:tcW w:type="dxa" w:w="1632"/>
          </w:tcPr>
          <w:p>
            <w:r>
              <w:t>0.06</w:t>
            </w:r>
          </w:p>
        </w:tc>
        <w:tc>
          <w:tcPr>
            <w:tcW w:type="dxa" w:w="1632"/>
          </w:tcPr>
          <w:p>
            <w:r>
              <w:t>0.31</w:t>
            </w:r>
          </w:p>
        </w:tc>
        <w:tc>
          <w:tcPr>
            <w:tcW w:type="dxa" w:w="1632"/>
          </w:tcPr>
          <w:p>
            <w:r>
              <w:t>55.40</w:t>
            </w:r>
          </w:p>
        </w:tc>
      </w:tr>
      <w:tr>
        <w:tc>
          <w:tcPr>
            <w:tcW w:type="dxa" w:w="1632"/>
          </w:tcPr>
          <w:p>
            <w:r>
              <w:t>PHM2010</w:t>
            </w:r>
          </w:p>
        </w:tc>
        <w:tc>
          <w:tcPr>
            <w:tcW w:type="dxa" w:w="1632"/>
          </w:tcPr>
          <w:p>
            <w:r>
              <w:t>3</w:t>
            </w:r>
          </w:p>
        </w:tc>
        <w:tc>
          <w:tcPr>
            <w:tcW w:type="dxa" w:w="1632"/>
          </w:tcPr>
          <w:p>
            <w:r>
              <w:t>945</w:t>
            </w:r>
          </w:p>
        </w:tc>
        <w:tc>
          <w:tcPr>
            <w:tcW w:type="dxa" w:w="1632"/>
          </w:tcPr>
          <w:p>
            <w:r>
              <w:t>0.02</w:t>
            </w:r>
          </w:p>
        </w:tc>
        <w:tc>
          <w:tcPr>
            <w:tcW w:type="dxa" w:w="1632"/>
          </w:tcPr>
          <w:p>
            <w:r>
              <w:t>0.22</w:t>
            </w:r>
          </w:p>
        </w:tc>
        <w:tc>
          <w:tcPr>
            <w:tcW w:type="dxa" w:w="1632"/>
          </w:tcPr>
          <w:p>
            <w:r>
              <w:t>315.00</w:t>
            </w:r>
          </w:p>
        </w:tc>
      </w:tr>
    </w:tbl>
    <w:p>
      <w:pPr>
        <w:pStyle w:val="Heading1"/>
      </w:pPr>
      <w:r>
        <w:t>3. Selected Equation</w:t>
      </w:r>
    </w:p>
    <w:p>
      <w:r>
        <w:rPr>
          <w:b/>
        </w:rPr>
        <w:t>Condition intensity:</w:t>
        <w:br/>
      </w:r>
      <w:r>
        <w:t>phi = (speed_rpm / 1800)^0.3600 * (feed_mm_tooth / 0.05)^3.9560 * (depth_mm / 3.0)^0.6881</w:t>
      </w:r>
    </w:p>
    <w:p>
      <w:r>
        <w:rPr>
          <w:b/>
        </w:rPr>
        <w:t>Early regime (VB &lt;= 0.25 mm):</w:t>
        <w:br/>
      </w:r>
      <w:r>
        <w:t>VB(t) = VB0 + lambda * 0.01858 * phi * t^0.64</w:t>
      </w:r>
    </w:p>
    <w:p>
      <w:r>
        <w:rPr>
          <w:b/>
        </w:rPr>
        <w:t>Late regime (VB &gt; 0.25 mm):</w:t>
        <w:br/>
      </w:r>
      <w:r>
        <w:t>VB(t) = 0.25 + lambda * rho * 0.01858 * phi * (t - t0.25)^1.29</w:t>
      </w:r>
    </w:p>
    <w:p>
      <w:r>
        <w:t>This structure was selected because forcing a single exponent over the full milling life cycle underfits the early stage and misrepresents end-of-life acceleration. The transition wear of 0.25 mm is treated as the regime boundary.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item</w:t>
            </w:r>
          </w:p>
        </w:tc>
        <w:tc>
          <w:tcPr>
            <w:tcW w:type="dxa" w:w="3264"/>
          </w:tcPr>
          <w:p>
            <w:r>
              <w:t>value</w:t>
            </w:r>
          </w:p>
        </w:tc>
        <w:tc>
          <w:tcPr>
            <w:tcW w:type="dxa" w:w="3264"/>
          </w:tcPr>
          <w:p>
            <w:r>
              <w:t>notes</w:t>
            </w:r>
          </w:p>
        </w:tc>
      </w:tr>
      <w:tr>
        <w:tc>
          <w:tcPr>
            <w:tcW w:type="dxa" w:w="3264"/>
          </w:tcPr>
          <w:p>
            <w:r>
              <w:t>NUAA early exponent</w:t>
            </w:r>
          </w:p>
        </w:tc>
        <w:tc>
          <w:tcPr>
            <w:tcW w:type="dxa" w:w="3264"/>
          </w:tcPr>
          <w:p>
            <w:r>
              <w:t>0.6347</w:t>
            </w:r>
          </w:p>
        </w:tc>
        <w:tc>
          <w:tcPr>
            <w:tcW w:type="dxa" w:w="3264"/>
          </w:tcPr>
          <w:p>
            <w:r>
              <w:t>Run-level fit on orthogonal milling experiments</w:t>
            </w:r>
          </w:p>
        </w:tc>
      </w:tr>
      <w:tr>
        <w:tc>
          <w:tcPr>
            <w:tcW w:type="dxa" w:w="3264"/>
          </w:tcPr>
          <w:p>
            <w:r>
              <w:t>PHM early exponent</w:t>
            </w:r>
          </w:p>
        </w:tc>
        <w:tc>
          <w:tcPr>
            <w:tcW w:type="dxa" w:w="3264"/>
          </w:tcPr>
          <w:p>
            <w:r>
              <w:t>0.6471</w:t>
            </w:r>
          </w:p>
        </w:tc>
        <w:tc>
          <w:tcPr>
            <w:tcW w:type="dxa" w:w="3264"/>
          </w:tcPr>
          <w:p>
            <w:r>
              <w:t>Cut-level fit on PHM 2010 cutter wear traces</w:t>
            </w:r>
          </w:p>
        </w:tc>
      </w:tr>
      <w:tr>
        <w:tc>
          <w:tcPr>
            <w:tcW w:type="dxa" w:w="3264"/>
          </w:tcPr>
          <w:p>
            <w:r>
              <w:t>NASA late exponent</w:t>
            </w:r>
          </w:p>
        </w:tc>
        <w:tc>
          <w:tcPr>
            <w:tcW w:type="dxa" w:w="3264"/>
          </w:tcPr>
          <w:p>
            <w:r>
              <w:t>1.2873</w:t>
            </w:r>
          </w:p>
        </w:tc>
        <w:tc>
          <w:tcPr>
            <w:tcW w:type="dxa" w:w="3264"/>
          </w:tcPr>
          <w:p>
            <w:r>
              <w:t>Case-level fit on measured wear points</w:t>
            </w:r>
          </w:p>
        </w:tc>
      </w:tr>
      <w:tr>
        <w:tc>
          <w:tcPr>
            <w:tcW w:type="dxa" w:w="3264"/>
          </w:tcPr>
          <w:p>
            <w:r>
              <w:t>Selected early exponent</w:t>
            </w:r>
          </w:p>
        </w:tc>
        <w:tc>
          <w:tcPr>
            <w:tcW w:type="dxa" w:w="3264"/>
          </w:tcPr>
          <w:p>
            <w:r>
              <w:t>0.6400</w:t>
            </w:r>
          </w:p>
        </w:tc>
        <w:tc>
          <w:tcPr>
            <w:tcW w:type="dxa" w:w="3264"/>
          </w:tcPr>
          <w:p>
            <w:r>
              <w:t>Rounded operating value for simulator</w:t>
            </w:r>
          </w:p>
        </w:tc>
      </w:tr>
      <w:tr>
        <w:tc>
          <w:tcPr>
            <w:tcW w:type="dxa" w:w="3264"/>
          </w:tcPr>
          <w:p>
            <w:r>
              <w:t>Selected late exponent</w:t>
            </w:r>
          </w:p>
        </w:tc>
        <w:tc>
          <w:tcPr>
            <w:tcW w:type="dxa" w:w="3264"/>
          </w:tcPr>
          <w:p>
            <w:r>
              <w:t>1.2900</w:t>
            </w:r>
          </w:p>
        </w:tc>
        <w:tc>
          <w:tcPr>
            <w:tcW w:type="dxa" w:w="3264"/>
          </w:tcPr>
          <w:p>
            <w:r>
              <w:t>Rounded operating value for simulator</w:t>
            </w:r>
          </w:p>
        </w:tc>
      </w:tr>
      <w:tr>
        <w:tc>
          <w:tcPr>
            <w:tcW w:type="dxa" w:w="3264"/>
          </w:tcPr>
          <w:p>
            <w:r>
              <w:t>Early k coefficient</w:t>
            </w:r>
          </w:p>
        </w:tc>
        <w:tc>
          <w:tcPr>
            <w:tcW w:type="dxa" w:w="3264"/>
          </w:tcPr>
          <w:p>
            <w:r>
              <w:t>0.0186</w:t>
            </w:r>
          </w:p>
        </w:tc>
        <w:tc>
          <w:tcPr>
            <w:tcW w:type="dxa" w:w="3264"/>
          </w:tcPr>
          <w:p>
            <w:r>
              <w:t>Minutes-based NUAA condition law</w:t>
            </w:r>
          </w:p>
        </w:tc>
      </w:tr>
      <w:tr>
        <w:tc>
          <w:tcPr>
            <w:tcW w:type="dxa" w:w="3264"/>
          </w:tcPr>
          <w:p>
            <w:r>
              <w:t>Speed exponent</w:t>
            </w:r>
          </w:p>
        </w:tc>
        <w:tc>
          <w:tcPr>
            <w:tcW w:type="dxa" w:w="3264"/>
          </w:tcPr>
          <w:p>
            <w:r>
              <w:t>0.3600</w:t>
            </w:r>
          </w:p>
        </w:tc>
        <w:tc>
          <w:tcPr>
            <w:tcW w:type="dxa" w:w="3264"/>
          </w:tcPr>
          <w:p>
            <w:r>
              <w:t>Condition-intensity term around 1800 rpm</w:t>
            </w:r>
          </w:p>
        </w:tc>
      </w:tr>
      <w:tr>
        <w:tc>
          <w:tcPr>
            <w:tcW w:type="dxa" w:w="3264"/>
          </w:tcPr>
          <w:p>
            <w:r>
              <w:t>Feed exponent</w:t>
            </w:r>
          </w:p>
        </w:tc>
        <w:tc>
          <w:tcPr>
            <w:tcW w:type="dxa" w:w="3264"/>
          </w:tcPr>
          <w:p>
            <w:r>
              <w:t>3.9560</w:t>
            </w:r>
          </w:p>
        </w:tc>
        <w:tc>
          <w:tcPr>
            <w:tcW w:type="dxa" w:w="3264"/>
          </w:tcPr>
          <w:p>
            <w:r>
              <w:t>Condition-intensity term around 0.05 mm/tooth</w:t>
            </w:r>
          </w:p>
        </w:tc>
      </w:tr>
      <w:tr>
        <w:tc>
          <w:tcPr>
            <w:tcW w:type="dxa" w:w="3264"/>
          </w:tcPr>
          <w:p>
            <w:r>
              <w:t>Depth exponent</w:t>
            </w:r>
          </w:p>
        </w:tc>
        <w:tc>
          <w:tcPr>
            <w:tcW w:type="dxa" w:w="3264"/>
          </w:tcPr>
          <w:p>
            <w:r>
              <w:t>0.6881</w:t>
            </w:r>
          </w:p>
        </w:tc>
        <w:tc>
          <w:tcPr>
            <w:tcW w:type="dxa" w:w="3264"/>
          </w:tcPr>
          <w:p>
            <w:r>
              <w:t>Condition-intensity term around 3.0 mm axial depth</w:t>
            </w:r>
          </w:p>
        </w:tc>
      </w:tr>
    </w:tbl>
    <w:p>
      <w:pPr>
        <w:pStyle w:val="Heading1"/>
      </w:pPr>
      <w:r>
        <w:t>4. Fitted Wear Curves</w:t>
      </w:r>
    </w:p>
    <w:p>
      <w:r>
        <w:t>The figures below show how the selected power-law family tracks the measured wear trajectories in each dataset role.</w:t>
      </w:r>
    </w:p>
    <w:p>
      <w:r>
        <w:drawing>
          <wp:inline xmlns:a="http://schemas.openxmlformats.org/drawingml/2006/main" xmlns:pic="http://schemas.openxmlformats.org/drawingml/2006/picture">
            <wp:extent cx="5943600" cy="5349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aa_early_regime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NUAA early-regime fit used for the condition law.</w:t>
      </w:r>
    </w:p>
    <w:p>
      <w:r>
        <w:drawing>
          <wp:inline xmlns:a="http://schemas.openxmlformats.org/drawingml/2006/main" xmlns:pic="http://schemas.openxmlformats.org/drawingml/2006/picture">
            <wp:extent cx="594360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m_early_regime_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PHM 2010 fit used to confirm early-regime behavior.</w:t>
      </w:r>
    </w:p>
    <w:p>
      <w:r>
        <w:drawing>
          <wp:inline xmlns:a="http://schemas.openxmlformats.org/drawingml/2006/main" xmlns:pic="http://schemas.openxmlformats.org/drawingml/2006/picture">
            <wp:extent cx="5943600" cy="10698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sa_late_regime_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NASA fit used to identify late-stage acceleration.</w:t>
      </w:r>
    </w:p>
    <w:p>
      <w:pPr>
        <w:pStyle w:val="Heading1"/>
      </w:pPr>
      <w:r>
        <w:t>5. Deeper Validation</w:t>
      </w:r>
    </w:p>
    <w:p>
      <w:r>
        <w:t>A deeper validation layer was added beyond the original phase-2 fit: bootstrap stability of the exponents, leave-one-experiment-out benchmarking against machine-learning baselines, and material-family analysis of late-stage acceleration.</w:t>
      </w:r>
    </w:p>
    <w:p>
      <w:r>
        <w:drawing>
          <wp:inline xmlns:a="http://schemas.openxmlformats.org/drawingml/2006/main" xmlns:pic="http://schemas.openxmlformats.org/drawingml/2006/picture">
            <wp:extent cx="5943600" cy="4086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strap_exponent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Bootstrap distribution of early and late fitted exponents.</w:t>
      </w:r>
    </w:p>
    <w:p>
      <w:r>
        <w:drawing>
          <wp:inline xmlns:a="http://schemas.openxmlformats.org/drawingml/2006/main" xmlns:pic="http://schemas.openxmlformats.org/drawingml/2006/picture">
            <wp:extent cx="5943600" cy="20378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aa_loeo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NUAA leave-one-experiment-out benchmark across interpretable and ML models.</w:t>
      </w:r>
    </w:p>
    <w:p>
      <w:r>
        <w:drawing>
          <wp:inline xmlns:a="http://schemas.openxmlformats.org/drawingml/2006/main" xmlns:pic="http://schemas.openxmlformats.org/drawingml/2006/picture">
            <wp:extent cx="5943600" cy="2701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aa_parity_equation_vs_lin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Parity comparison of the explicit equation and the best ML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model</w:t>
            </w:r>
          </w:p>
        </w:tc>
        <w:tc>
          <w:tcPr>
            <w:tcW w:type="dxa" w:w="2448"/>
          </w:tcPr>
          <w:p>
            <w:r>
              <w:t>rmse_mm</w:t>
            </w:r>
          </w:p>
        </w:tc>
        <w:tc>
          <w:tcPr>
            <w:tcW w:type="dxa" w:w="2448"/>
          </w:tcPr>
          <w:p>
            <w:r>
              <w:t>mae_mm</w:t>
            </w:r>
          </w:p>
        </w:tc>
        <w:tc>
          <w:tcPr>
            <w:tcW w:type="dxa" w:w="2448"/>
          </w:tcPr>
          <w:p>
            <w:r>
              <w:t>r2</w:t>
            </w:r>
          </w:p>
        </w:tc>
      </w:tr>
      <w:tr>
        <w:tc>
          <w:tcPr>
            <w:tcW w:type="dxa" w:w="2448"/>
          </w:tcPr>
          <w:p>
            <w:r>
              <w:t>Linear Regression</w:t>
            </w:r>
          </w:p>
        </w:tc>
        <w:tc>
          <w:tcPr>
            <w:tcW w:type="dxa" w:w="2448"/>
          </w:tcPr>
          <w:p>
            <w:r>
              <w:t>0.0336</w:t>
            </w:r>
          </w:p>
        </w:tc>
        <w:tc>
          <w:tcPr>
            <w:tcW w:type="dxa" w:w="2448"/>
          </w:tcPr>
          <w:p>
            <w:r>
              <w:t>0.0262</w:t>
            </w:r>
          </w:p>
        </w:tc>
        <w:tc>
          <w:tcPr>
            <w:tcW w:type="dxa" w:w="2448"/>
          </w:tcPr>
          <w:p>
            <w:r>
              <w:t>0.7742</w:t>
            </w:r>
          </w:p>
        </w:tc>
      </w:tr>
      <w:tr>
        <w:tc>
          <w:tcPr>
            <w:tcW w:type="dxa" w:w="2448"/>
          </w:tcPr>
          <w:p>
            <w:r>
              <w:t>Random Forest</w:t>
            </w:r>
          </w:p>
        </w:tc>
        <w:tc>
          <w:tcPr>
            <w:tcW w:type="dxa" w:w="2448"/>
          </w:tcPr>
          <w:p>
            <w:r>
              <w:t>0.0376</w:t>
            </w:r>
          </w:p>
        </w:tc>
        <w:tc>
          <w:tcPr>
            <w:tcW w:type="dxa" w:w="2448"/>
          </w:tcPr>
          <w:p>
            <w:r>
              <w:t>0.0280</w:t>
            </w:r>
          </w:p>
        </w:tc>
        <w:tc>
          <w:tcPr>
            <w:tcW w:type="dxa" w:w="2448"/>
          </w:tcPr>
          <w:p>
            <w:r>
              <w:t>0.7164</w:t>
            </w:r>
          </w:p>
        </w:tc>
      </w:tr>
      <w:tr>
        <w:tc>
          <w:tcPr>
            <w:tcW w:type="dxa" w:w="2448"/>
          </w:tcPr>
          <w:p>
            <w:r>
              <w:t>Equation</w:t>
            </w:r>
          </w:p>
        </w:tc>
        <w:tc>
          <w:tcPr>
            <w:tcW w:type="dxa" w:w="2448"/>
          </w:tcPr>
          <w:p>
            <w:r>
              <w:t>0.0437</w:t>
            </w:r>
          </w:p>
        </w:tc>
        <w:tc>
          <w:tcPr>
            <w:tcW w:type="dxa" w:w="2448"/>
          </w:tcPr>
          <w:p>
            <w:r>
              <w:t>0.0316</w:t>
            </w:r>
          </w:p>
        </w:tc>
        <w:tc>
          <w:tcPr>
            <w:tcW w:type="dxa" w:w="2448"/>
          </w:tcPr>
          <w:p>
            <w:r>
              <w:t>0.6174</w:t>
            </w:r>
          </w:p>
        </w:tc>
      </w:tr>
      <w:tr>
        <w:tc>
          <w:tcPr>
            <w:tcW w:type="dxa" w:w="2448"/>
          </w:tcPr>
          <w:p>
            <w:r>
              <w:t>XGBoost</w:t>
            </w:r>
          </w:p>
        </w:tc>
        <w:tc>
          <w:tcPr>
            <w:tcW w:type="dxa" w:w="2448"/>
          </w:tcPr>
          <w:p>
            <w:r>
              <w:t>0.0450</w:t>
            </w:r>
          </w:p>
        </w:tc>
        <w:tc>
          <w:tcPr>
            <w:tcW w:type="dxa" w:w="2448"/>
          </w:tcPr>
          <w:p>
            <w:r>
              <w:t>0.0368</w:t>
            </w:r>
          </w:p>
        </w:tc>
        <w:tc>
          <w:tcPr>
            <w:tcW w:type="dxa" w:w="2448"/>
          </w:tcPr>
          <w:p>
            <w:r>
              <w:t>0.5946</w:t>
            </w:r>
          </w:p>
        </w:tc>
      </w:tr>
    </w:tbl>
    <w:p>
      <w:r>
        <w:t>Interpretation: the explicit equation is not the numerically best pointwise predictor on held-out NUAA trajectories; a plain linear regression achieves lower error in this benchmark. However, the explicit equation remains the preferred phase-2 model because it is analytically invertible, exposes the machining parameters directly, and can be used as a simulation engine rather than only as a black-box regressor.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sa_late_stage_materi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 Late-stage acceleration ratio grouped by material family in the NASA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t>material_family</w:t>
            </w:r>
          </w:p>
        </w:tc>
        <w:tc>
          <w:tcPr>
            <w:tcW w:type="dxa" w:w="1399"/>
          </w:tcPr>
          <w:p>
            <w:r>
              <w:t>count</w:t>
            </w:r>
          </w:p>
        </w:tc>
        <w:tc>
          <w:tcPr>
            <w:tcW w:type="dxa" w:w="1399"/>
          </w:tcPr>
          <w:p>
            <w:r>
              <w:t>mean</w:t>
            </w:r>
          </w:p>
        </w:tc>
        <w:tc>
          <w:tcPr>
            <w:tcW w:type="dxa" w:w="1399"/>
          </w:tcPr>
          <w:p>
            <w:r>
              <w:t>median</w:t>
            </w:r>
          </w:p>
        </w:tc>
        <w:tc>
          <w:tcPr>
            <w:tcW w:type="dxa" w:w="1399"/>
          </w:tcPr>
          <w:p>
            <w:r>
              <w:t>std</w:t>
            </w:r>
          </w:p>
        </w:tc>
        <w:tc>
          <w:tcPr>
            <w:tcW w:type="dxa" w:w="1399"/>
          </w:tcPr>
          <w:p>
            <w:r>
              <w:t>min</w:t>
            </w:r>
          </w:p>
        </w:tc>
        <w:tc>
          <w:tcPr>
            <w:tcW w:type="dxa" w:w="1399"/>
          </w:tcPr>
          <w:p>
            <w:r>
              <w:t>max</w:t>
            </w:r>
          </w:p>
        </w:tc>
      </w:tr>
      <w:tr>
        <w:tc>
          <w:tcPr>
            <w:tcW w:type="dxa" w:w="1399"/>
          </w:tcPr>
          <w:p>
            <w:r>
              <w:t>cast_iron</w:t>
            </w:r>
          </w:p>
        </w:tc>
        <w:tc>
          <w:tcPr>
            <w:tcW w:type="dxa" w:w="1399"/>
          </w:tcPr>
          <w:p>
            <w:r>
              <w:t>8</w:t>
            </w:r>
          </w:p>
        </w:tc>
        <w:tc>
          <w:tcPr>
            <w:tcW w:type="dxa" w:w="1399"/>
          </w:tcPr>
          <w:p>
            <w:r>
              <w:t>0.1568</w:t>
            </w:r>
          </w:p>
        </w:tc>
        <w:tc>
          <w:tcPr>
            <w:tcW w:type="dxa" w:w="1399"/>
          </w:tcPr>
          <w:p>
            <w:r>
              <w:t>0.1488</w:t>
            </w:r>
          </w:p>
        </w:tc>
        <w:tc>
          <w:tcPr>
            <w:tcW w:type="dxa" w:w="1399"/>
          </w:tcPr>
          <w:p>
            <w:r>
              <w:t>0.0423</w:t>
            </w:r>
          </w:p>
        </w:tc>
        <w:tc>
          <w:tcPr>
            <w:tcW w:type="dxa" w:w="1399"/>
          </w:tcPr>
          <w:p>
            <w:r>
              <w:t>0.0886</w:t>
            </w:r>
          </w:p>
        </w:tc>
        <w:tc>
          <w:tcPr>
            <w:tcW w:type="dxa" w:w="1399"/>
          </w:tcPr>
          <w:p>
            <w:r>
              <w:t>0.2268</w:t>
            </w:r>
          </w:p>
        </w:tc>
      </w:tr>
      <w:tr>
        <w:tc>
          <w:tcPr>
            <w:tcW w:type="dxa" w:w="1399"/>
          </w:tcPr>
          <w:p>
            <w:r>
              <w:t>steel</w:t>
            </w:r>
          </w:p>
        </w:tc>
        <w:tc>
          <w:tcPr>
            <w:tcW w:type="dxa" w:w="1399"/>
          </w:tcPr>
          <w:p>
            <w:r>
              <w:t>7</w:t>
            </w:r>
          </w:p>
        </w:tc>
        <w:tc>
          <w:tcPr>
            <w:tcW w:type="dxa" w:w="1399"/>
          </w:tcPr>
          <w:p>
            <w:r>
              <w:t>0.5062</w:t>
            </w:r>
          </w:p>
        </w:tc>
        <w:tc>
          <w:tcPr>
            <w:tcW w:type="dxa" w:w="1399"/>
          </w:tcPr>
          <w:p>
            <w:r>
              <w:t>0.3994</w:t>
            </w:r>
          </w:p>
        </w:tc>
        <w:tc>
          <w:tcPr>
            <w:tcW w:type="dxa" w:w="1399"/>
          </w:tcPr>
          <w:p>
            <w:r>
              <w:t>0.3681</w:t>
            </w:r>
          </w:p>
        </w:tc>
        <w:tc>
          <w:tcPr>
            <w:tcW w:type="dxa" w:w="1399"/>
          </w:tcPr>
          <w:p>
            <w:r>
              <w:t>0.2636</w:t>
            </w:r>
          </w:p>
        </w:tc>
        <w:tc>
          <w:tcPr>
            <w:tcW w:type="dxa" w:w="1399"/>
          </w:tcPr>
          <w:p>
            <w:r>
              <w:t>1.3148</w:t>
            </w:r>
          </w:p>
        </w:tc>
      </w:tr>
    </w:tbl>
    <w:p>
      <w:pPr>
        <w:pStyle w:val="Heading1"/>
      </w:pPr>
      <w:r>
        <w:t>6. Simulator Behavior</w:t>
      </w:r>
    </w:p>
    <w:p>
      <w:r>
        <w:t>The simulator was built on top of the selected piecewise equation. The baseline example below corresponds to speed = 1800 rpm, feed = 0.05 mm/tooth, depth = 3.0 mm, initial wear = 0.05 mm, threshold = 0.30 mm, and calibration factor = 1.0.</w:t>
      </w:r>
    </w:p>
    <w:p>
      <w:pPr>
        <w:pStyle w:val="ListBullet"/>
      </w:pPr>
      <w:r>
        <w:t>Predicted generic baseline life: 47.28 min</w:t>
      </w:r>
    </w:p>
    <w:p>
      <w:pPr>
        <w:pStyle w:val="ListBullet"/>
      </w:pPr>
      <w:r>
        <w:t>Predicted cast-iron baseline life: 50.40 min</w:t>
      </w:r>
    </w:p>
    <w:p>
      <w:pPr>
        <w:pStyle w:val="ListBullet"/>
      </w:pPr>
      <w:r>
        <w:t>Predicted steel baseline life: 45.36 min</w:t>
      </w:r>
    </w:p>
    <w:p>
      <w:r>
        <w:drawing>
          <wp:inline xmlns:a="http://schemas.openxmlformats.org/drawingml/2006/main" xmlns:pic="http://schemas.openxmlformats.org/drawingml/2006/picture">
            <wp:extent cx="5943600" cy="4086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_example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8. Example simulated wear curves under low, medium, and high load.</w:t>
      </w:r>
    </w:p>
    <w:p>
      <w:r>
        <w:drawing>
          <wp:inline xmlns:a="http://schemas.openxmlformats.org/drawingml/2006/main" xmlns:pic="http://schemas.openxmlformats.org/drawingml/2006/picture">
            <wp:extent cx="5943600" cy="18205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_sensitivity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9. Predicted tool-life sensitivity around the baseline condition.</w:t>
      </w:r>
    </w:p>
    <w:p>
      <w:pPr>
        <w:pStyle w:val="Heading1"/>
      </w:pPr>
      <w:r>
        <w:t>7. Findings</w:t>
      </w:r>
    </w:p>
    <w:p>
      <w:pPr>
        <w:pStyle w:val="ListBullet"/>
      </w:pPr>
      <w:r>
        <w:t>The most stable observation across datasets is the existence of two wear regimes rather than one universal Taylor-like regime.</w:t>
      </w:r>
    </w:p>
    <w:p>
      <w:pPr>
        <w:pStyle w:val="ListBullet"/>
      </w:pPr>
      <w:r>
        <w:t>Feed per tooth is the strongest driver in the fitted early condition law. Within this dataset family, increasing feed rapidly shortens life.</w:t>
      </w:r>
    </w:p>
    <w:p>
      <w:pPr>
        <w:pStyle w:val="ListBullet"/>
      </w:pPr>
      <w:r>
        <w:t>Depth of cut has a clear but secondary influence. Spindle speed is less identifiable because the NUAA speed range is relatively narrow.</w:t>
      </w:r>
    </w:p>
    <w:p>
      <w:pPr>
        <w:pStyle w:val="ListBullet"/>
      </w:pPr>
      <w:r>
        <w:t>Late-stage acceleration differs strongly by material family in the NASA cases, so a single absolute post-threshold constant is not justified.</w:t>
      </w:r>
    </w:p>
    <w:p>
      <w:pPr>
        <w:pStyle w:val="ListBullet"/>
      </w:pPr>
      <w:r>
        <w:t>The explicit equation is best suited as a hybrid engineering model: interpretable, calibratable, and analytically invertible.</w:t>
      </w:r>
    </w:p>
    <w:p>
      <w:pPr>
        <w:pStyle w:val="Heading1"/>
      </w:pPr>
      <w:r>
        <w:t>8. Limits and Recommended Next Work</w:t>
      </w:r>
    </w:p>
    <w:p>
      <w:pPr>
        <w:pStyle w:val="ListBullet"/>
      </w:pPr>
      <w:r>
        <w:t>Collect a wider spindle-speed sweep under otherwise fixed conditions. This is the cleanest way to stabilize the speed exponent.</w:t>
      </w:r>
    </w:p>
    <w:p>
      <w:pPr>
        <w:pStyle w:val="ListBullet"/>
      </w:pPr>
      <w:r>
        <w:t>Add true run-to-failure data at the same parameter grid used for the early-regime fit. That would remove the current split between NUAA/PHM early evidence and NASA late evidence.</w:t>
      </w:r>
    </w:p>
    <w:p>
      <w:pPr>
        <w:pStyle w:val="ListBullet"/>
      </w:pPr>
      <w:r>
        <w:t>Estimate the calibration factor lambda separately for each tool-workpiece pair before using the simulator in production planning.</w:t>
      </w:r>
    </w:p>
    <w:p>
      <w:pPr>
        <w:pStyle w:val="ListBullet"/>
      </w:pPr>
      <w:r>
        <w:t>If maximum predictive accuracy is the only objective, keep a parallel ML baseline. If interpretability and simulation matter, keep the explicit equation as the main model.</w:t>
      </w:r>
    </w:p>
    <w:p>
      <w:pPr>
        <w:pStyle w:val="Heading1"/>
      </w:pPr>
      <w:r>
        <w:t>9. References</w:t>
      </w:r>
    </w:p>
    <w:p>
      <w:pPr>
        <w:pStyle w:val="ListBullet"/>
      </w:pPr>
      <w:r>
        <w:t>PHM Society. 2010 PHM Society Conference Data Challenge. https://phmsociety.org/phm_competition/2010-phm-society-conference-data-challenge/</w:t>
      </w:r>
    </w:p>
    <w:p>
      <w:pPr>
        <w:pStyle w:val="ListBullet"/>
      </w:pPr>
      <w:r>
        <w:t>NASA Ames / UC Berkeley. Documentation for Mill Data Set. Local copy used from data/nasa_milling/Readme.pdf.</w:t>
      </w:r>
    </w:p>
    <w:p>
      <w:pPr>
        <w:pStyle w:val="ListBullet"/>
      </w:pPr>
      <w:r>
        <w:t>Piecuch, G., &amp; Żabiński, T. (2025). A new open dataset from a milling process – data for classification and estimation of tool life. Scientific Data, 12, 650. https://www.nature.com/articles/s41597-025-04923-y</w:t>
      </w:r>
    </w:p>
    <w:p>
      <w:pPr>
        <w:pStyle w:val="ListBullet"/>
      </w:pPr>
      <w:r>
        <w:t>Paszkiewicz, A. et al. (2023). Estimation of Tool Life in the Milling Process—Testing Regression Models. Sensors, 23(23), 9346. https://doi.org/10.3390/s23239346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Appendix: Output Inventory</w:t>
      </w:r>
    </w:p>
    <w:p>
      <w:r>
        <w:t>Primary generated artifacts are stored in the phase-2 output directory: coefficients JSON, CSV tables, plots, and this Word report.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