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8716C"/>
          <w:sz w:val="22"/>
        </w:rPr>
        <w:t>UNIVERSITY OF ENERGY AND NATURAL RESOURCES</w:t>
        <w:br/>
        <w:t>DEPARTMENT OF INFORMATION TECHNOLOGY &amp; DECISION SCIENCES</w:t>
        <w:br/>
        <w:br/>
      </w:r>
      <w:r>
        <w:rPr>
          <w:rFonts w:ascii="Arial" w:hAnsi="Arial"/>
          <w:b/>
          <w:color w:val="1C1917"/>
          <w:sz w:val="28"/>
        </w:rPr>
        <w:t>AUTOMATED DETECTION AND CLASSIFICATION OF PHOTOVOLTAIC PANEL DEFECTS USING INTEL-POWERED VISION API AND EDGE AI TELEMETRY</w:t>
        <w:br/>
        <w:br/>
      </w:r>
      <w:r>
        <w:rPr>
          <w:rFonts w:ascii="Arial" w:hAnsi="Arial"/>
          <w:i/>
          <w:color w:val="D97706"/>
          <w:sz w:val="20"/>
        </w:rPr>
        <w:t>HUMANIZED FINAL YEAR PROJECT THESIS (CHAPTERS 1 - 5)</w:t>
        <w:br/>
        <w:t>Academic Year 2025/2026 • Sunyani, Ghana</w:t>
      </w:r>
    </w:p>
    <w:p>
      <w:pPr>
        <w:spacing w:after="280"/>
      </w:pPr>
    </w:p>
    <w:p>
      <w:pPr>
        <w:keepNext/>
        <w:spacing w:before="440" w:after="160"/>
        <w:pBrd>
          <w:bottom w:val="single" w:sz="18" w:space="6" w:color="D97706"/>
        </w:pBrd>
      </w:pPr>
      <w:r>
        <w:rPr>
          <w:rFonts w:ascii="Arial" w:hAnsi="Arial"/>
          <w:b/>
          <w:color w:val="1C1917"/>
          <w:sz w:val="28"/>
        </w:rPr>
        <w:t>CHAPTER 1: INTRODUCTION</w:t>
      </w:r>
    </w:p>
    <w:p>
      <w:pPr>
        <w:keepNext/>
        <w:spacing w:before="280" w:after="80"/>
      </w:pPr>
      <w:r>
        <w:rPr>
          <w:rFonts w:ascii="Arial" w:hAnsi="Arial"/>
          <w:b/>
          <w:color w:val="D97706"/>
          <w:sz w:val="22"/>
        </w:rPr>
        <w:t>1.1 Background of the Study</w:t>
      </w:r>
    </w:p>
    <w:p>
      <w:pPr>
        <w:spacing w:line="276" w:lineRule="auto" w:after="120"/>
      </w:pPr>
      <w:r>
        <w:rPr>
          <w:rFonts w:ascii="Arial" w:hAnsi="Arial"/>
          <w:i w:val="0"/>
          <w:color w:val="44403C"/>
          <w:sz w:val="20"/>
        </w:rPr>
        <w:t>Solar power has quickly become a major pillar of clean energy in West Africa, especially across regional installations in Ghana. In regions like Sunyani and surrounding districts, solar arrays face harsh weather realities. Seasonal Harmattan winds deposit heavy dust layers, while high ambient temperatures cause severe thermal stress on silicon wafers. Over time, these environmental factors create physical cracks, cell hotspots, wiring diode failures, and layer delamination.</w:t>
      </w:r>
    </w:p>
    <w:p>
      <w:pPr>
        <w:spacing w:line="276" w:lineRule="auto" w:after="120"/>
      </w:pPr>
      <w:r>
        <w:rPr>
          <w:rFonts w:ascii="Arial" w:hAnsi="Arial"/>
          <w:i w:val="0"/>
          <w:color w:val="44403C"/>
          <w:sz w:val="20"/>
        </w:rPr>
        <w:t>When a single solar panel breaks or accumulates heavy dirt, power output drops rapidly. Even worse, localized cell overheating can ignite junction box fires. Inspecting thousands of panels manually is slow, dangerous, and expensive for local energy teams. Field technicians need a fast, accessible tool that works right on their mobile devices.</w:t>
      </w:r>
    </w:p>
    <w:p>
      <w:pPr>
        <w:keepNext/>
        <w:spacing w:before="280" w:after="80"/>
      </w:pPr>
      <w:r>
        <w:rPr>
          <w:rFonts w:ascii="Arial" w:hAnsi="Arial"/>
          <w:b/>
          <w:color w:val="D97706"/>
          <w:sz w:val="22"/>
        </w:rPr>
        <w:t>1.2 Statement of the Problem</w:t>
      </w:r>
    </w:p>
    <w:p>
      <w:pPr>
        <w:spacing w:line="276" w:lineRule="auto" w:after="120"/>
      </w:pPr>
      <w:r>
        <w:rPr>
          <w:rFonts w:ascii="Arial" w:hAnsi="Arial"/>
          <w:i w:val="0"/>
          <w:color w:val="44403C"/>
          <w:sz w:val="20"/>
        </w:rPr>
        <w:t>Solar plant managers lose significant revenue every month simply because hidden panel defects go unnoticed. Existing inspection methods present two major bottlenecks:</w:t>
      </w:r>
    </w:p>
    <w:p>
      <w:pPr>
        <w:spacing w:line="276" w:lineRule="auto" w:after="120"/>
      </w:pPr>
      <w:r>
        <w:rPr>
          <w:rFonts w:ascii="Arial" w:hAnsi="Arial"/>
          <w:i w:val="0"/>
          <w:color w:val="44403C"/>
          <w:sz w:val="20"/>
        </w:rPr>
        <w:t>1. Reliance on High-Speed Internet: Most commercial cloud diagnostics stop working when technicians travel to off-grid solar sites with no cellular signal.</w:t>
      </w:r>
    </w:p>
    <w:p>
      <w:pPr>
        <w:spacing w:line="276" w:lineRule="auto" w:after="120"/>
      </w:pPr>
      <w:r>
        <w:rPr>
          <w:rFonts w:ascii="Arial" w:hAnsi="Arial"/>
          <w:i w:val="0"/>
          <w:color w:val="44403C"/>
          <w:sz w:val="20"/>
        </w:rPr>
        <w:t>2. Technical Jargon Obstacles: Traditional software outputs complex labels like 'EL cell micro-fracture' or 'Bypass Diode Open-Circuit'. Field technicians need straight answers: What is broken, how much power is lost, and how do we fix it?</w:t>
      </w:r>
    </w:p>
    <w:p>
      <w:pPr>
        <w:keepNext/>
        <w:spacing w:before="280" w:after="80"/>
      </w:pPr>
      <w:r>
        <w:rPr>
          <w:rFonts w:ascii="Arial" w:hAnsi="Arial"/>
          <w:b/>
          <w:color w:val="D97706"/>
          <w:sz w:val="22"/>
        </w:rPr>
        <w:t>1.3 Project Objectives</w:t>
      </w:r>
    </w:p>
    <w:p>
      <w:pPr>
        <w:spacing w:line="276" w:lineRule="auto" w:after="120"/>
      </w:pPr>
      <w:r>
        <w:rPr>
          <w:rFonts w:ascii="Arial" w:hAnsi="Arial"/>
          <w:i w:val="0"/>
          <w:color w:val="44403C"/>
          <w:sz w:val="20"/>
        </w:rPr>
        <w:t>Primary Goal: To build SolarScan AI—a practical web and mobile inspection console that detects solar panel faults, calculates financial power loss, and explains maintenance steps in plain English.</w:t>
      </w:r>
    </w:p>
    <w:p>
      <w:pPr>
        <w:spacing w:line="276" w:lineRule="auto" w:after="120"/>
      </w:pPr>
      <w:r>
        <w:rPr>
          <w:rFonts w:ascii="Arial" w:hAnsi="Arial"/>
          <w:i w:val="0"/>
          <w:color w:val="44403C"/>
          <w:sz w:val="20"/>
        </w:rPr>
        <w:t>Specific Tasks:</w:t>
      </w:r>
    </w:p>
    <w:p>
      <w:pPr>
        <w:spacing w:line="276" w:lineRule="auto" w:after="120"/>
      </w:pPr>
      <w:r>
        <w:rPr>
          <w:rFonts w:ascii="Arial" w:hAnsi="Arial"/>
          <w:i w:val="0"/>
          <w:color w:val="44403C"/>
          <w:sz w:val="20"/>
        </w:rPr>
        <w:t>1. Gather and annotate 4,312 solar panel defect images across 8 defect classes.</w:t>
      </w:r>
    </w:p>
    <w:p>
      <w:pPr>
        <w:spacing w:line="276" w:lineRule="auto" w:after="120"/>
      </w:pPr>
      <w:r>
        <w:rPr>
          <w:rFonts w:ascii="Arial" w:hAnsi="Arial"/>
          <w:i w:val="0"/>
          <w:color w:val="44403C"/>
          <w:sz w:val="20"/>
        </w:rPr>
        <w:t>2. Integrate Google Cloud Vision REST API as the live cloud classification engine.</w:t>
      </w:r>
    </w:p>
    <w:p>
      <w:pPr>
        <w:spacing w:line="276" w:lineRule="auto" w:after="120"/>
      </w:pPr>
      <w:r>
        <w:rPr>
          <w:rFonts w:ascii="Arial" w:hAnsi="Arial"/>
          <w:i w:val="0"/>
          <w:color w:val="44403C"/>
          <w:sz w:val="20"/>
        </w:rPr>
        <w:t>3. Develop an on-device YOLOv8 Edge AI Simulator to model offline field inspections under 200ms latency.</w:t>
      </w:r>
    </w:p>
    <w:p>
      <w:pPr>
        <w:spacing w:line="276" w:lineRule="auto" w:after="120"/>
      </w:pPr>
      <w:r>
        <w:rPr>
          <w:rFonts w:ascii="Arial" w:hAnsi="Arial"/>
          <w:i w:val="0"/>
          <w:color w:val="44403C"/>
          <w:sz w:val="20"/>
        </w:rPr>
        <w:t>4. Build a thermodynamic loss engine that calculates power loss and financial repair ROI.</w:t>
      </w:r>
    </w:p>
    <w:p>
      <w:pPr>
        <w:spacing w:line="276" w:lineRule="auto" w:after="120"/>
      </w:pPr>
      <w:r>
        <w:rPr>
          <w:rFonts w:ascii="Arial" w:hAnsi="Arial"/>
          <w:i w:val="0"/>
          <w:color w:val="44403C"/>
          <w:sz w:val="20"/>
        </w:rPr>
        <w:t>5. Translate technical computer vision labels into plain-English technician terms (e.g. 'Broken / Damaged Panel').</w:t>
      </w:r>
    </w:p>
    <w:p>
      <w:pPr>
        <w:spacing w:line="276" w:lineRule="auto" w:after="120"/>
      </w:pPr>
      <w:r>
        <w:rPr>
          <w:rFonts w:ascii="Arial" w:hAnsi="Arial"/>
          <w:i w:val="0"/>
          <w:color w:val="44403C"/>
          <w:sz w:val="20"/>
        </w:rPr>
        <w:t>6. Conduct empirical System Usability Scale (SUS) testing with local solar technicians and students.</w:t>
      </w:r>
    </w:p>
    <w:p>
      <w:pPr>
        <w:keepNext/>
        <w:spacing w:before="280" w:after="80"/>
      </w:pPr>
      <w:r>
        <w:rPr>
          <w:rFonts w:ascii="Arial" w:hAnsi="Arial"/>
          <w:b/>
          <w:color w:val="D97706"/>
          <w:sz w:val="22"/>
        </w:rPr>
        <w:t>1.4 Significance &amp; Scope</w:t>
      </w:r>
    </w:p>
    <w:p>
      <w:pPr>
        <w:spacing w:line="276" w:lineRule="auto" w:after="120"/>
      </w:pPr>
      <w:r>
        <w:rPr>
          <w:rFonts w:ascii="Arial" w:hAnsi="Arial"/>
          <w:i w:val="0"/>
          <w:color w:val="44403C"/>
          <w:sz w:val="20"/>
        </w:rPr>
        <w:t>This project gives local solar maintenance teams a simple, reliable tool to protect solar investments. It covers 8 key defect types: Hotspots, Physical Cracks, Dust/Soiling, Diode Faults, Delamination, Discoloration, Snail Trails, and PID Degradation.</w:t>
      </w:r>
    </w:p>
    <w:p>
      <w:pPr>
        <w:keepNext/>
        <w:spacing w:before="440" w:after="160"/>
        <w:pBrd>
          <w:bottom w:val="single" w:sz="18" w:space="6" w:color="D97706"/>
        </w:pBrd>
      </w:pPr>
      <w:r>
        <w:rPr>
          <w:rFonts w:ascii="Arial" w:hAnsi="Arial"/>
          <w:b/>
          <w:color w:val="1C1917"/>
          <w:sz w:val="28"/>
        </w:rPr>
        <w:t>CHAPTER 2: LITERATURE REVIEW</w:t>
      </w:r>
    </w:p>
    <w:p>
      <w:pPr>
        <w:keepNext/>
        <w:spacing w:before="280" w:after="80"/>
      </w:pPr>
      <w:r>
        <w:rPr>
          <w:rFonts w:ascii="Arial" w:hAnsi="Arial"/>
          <w:b/>
          <w:color w:val="D97706"/>
          <w:sz w:val="22"/>
        </w:rPr>
        <w:t>2.1 Solar Inspection Methods in Practice</w:t>
      </w:r>
    </w:p>
    <w:p>
      <w:pPr>
        <w:spacing w:line="276" w:lineRule="auto" w:after="120"/>
      </w:pPr>
      <w:r>
        <w:rPr>
          <w:rFonts w:ascii="Arial" w:hAnsi="Arial"/>
          <w:i w:val="0"/>
          <w:color w:val="44403C"/>
          <w:sz w:val="20"/>
        </w:rPr>
        <w:t>Field teams traditionally rely on visual checks, thermal infrared (IR) cameras, or electroluminescence (EL) testing. Visual checks miss internal cell cracks. Thermal cameras find hotspots but require certified thermographers. EL testing requires dismounting panels at night. Automated computer vision solves these bottlenecks by analyzing panel images instantly.</w:t>
      </w:r>
    </w:p>
    <w:p>
      <w:pPr>
        <w:keepNext/>
        <w:spacing w:before="280" w:after="80"/>
      </w:pPr>
      <w:r>
        <w:rPr>
          <w:rFonts w:ascii="Arial" w:hAnsi="Arial"/>
          <w:b/>
          <w:color w:val="D97706"/>
          <w:sz w:val="22"/>
        </w:rPr>
        <w:t>2.2 Deep Learning &amp; Object Detection</w:t>
      </w:r>
    </w:p>
    <w:p>
      <w:pPr>
        <w:spacing w:line="276" w:lineRule="auto" w:after="120"/>
      </w:pPr>
      <w:r>
        <w:rPr>
          <w:rFonts w:ascii="Arial" w:hAnsi="Arial"/>
          <w:i w:val="0"/>
          <w:color w:val="44403C"/>
          <w:sz w:val="20"/>
        </w:rPr>
        <w:t>Object detection networks like YOLOv8 have revolutionized automated visual inspections. However, most previous research focused on high-end desktop computers with expensive graphics cards. Little attention was given to creating simple interfaces for field workers operating in off-grid environments.</w:t>
      </w:r>
    </w:p>
    <w:p>
      <w:pPr>
        <w:keepNext/>
        <w:spacing w:before="280" w:after="80"/>
      </w:pPr>
      <w:r>
        <w:rPr>
          <w:rFonts w:ascii="Arial" w:hAnsi="Arial"/>
          <w:b/>
          <w:color w:val="D97706"/>
          <w:sz w:val="22"/>
        </w:rPr>
        <w:t>2.3 Key Gaps Targeted</w:t>
      </w:r>
    </w:p>
    <w:p>
      <w:pPr>
        <w:spacing w:line="276" w:lineRule="auto" w:after="120"/>
      </w:pPr>
      <w:r>
        <w:rPr>
          <w:rFonts w:ascii="Arial" w:hAnsi="Arial"/>
          <w:i w:val="0"/>
          <w:color w:val="44403C"/>
          <w:sz w:val="20"/>
        </w:rPr>
        <w:t>Our research fills three clear gaps: 1) Providing a dual cloud-and-offline inspection design; 2) Combining computer vision with real-world thermodynamic power loss math; and 3) Designing plain-English user interfaces tested with real field users.</w:t>
      </w:r>
    </w:p>
    <w:p>
      <w:pPr>
        <w:keepNext/>
        <w:spacing w:before="440" w:after="160"/>
        <w:pBrd>
          <w:bottom w:val="single" w:sz="18" w:space="6" w:color="D97706"/>
        </w:pBrd>
      </w:pPr>
      <w:r>
        <w:rPr>
          <w:rFonts w:ascii="Arial" w:hAnsi="Arial"/>
          <w:b/>
          <w:color w:val="1C1917"/>
          <w:sz w:val="28"/>
        </w:rPr>
        <w:t>CHAPTER 3: SYSTEM DESIGN AND METHODOLOGY</w:t>
      </w:r>
    </w:p>
    <w:p>
      <w:pPr>
        <w:keepNext/>
        <w:spacing w:before="280" w:after="80"/>
      </w:pPr>
      <w:r>
        <w:rPr>
          <w:rFonts w:ascii="Arial" w:hAnsi="Arial"/>
          <w:b/>
          <w:color w:val="D97706"/>
          <w:sz w:val="22"/>
        </w:rPr>
        <w:t>3.1 System Architecture &amp; Dual-Engine Core</w:t>
      </w:r>
    </w:p>
    <w:p>
      <w:pPr>
        <w:spacing w:line="276" w:lineRule="auto" w:after="120"/>
      </w:pPr>
      <w:r>
        <w:rPr>
          <w:rFonts w:ascii="Arial" w:hAnsi="Arial"/>
          <w:i w:val="0"/>
          <w:color w:val="44403C"/>
          <w:sz w:val="20"/>
        </w:rPr>
        <w:t>SolarScan AI uses a 3-tier architecture: a React 18 user interface, a dual-engine analysis tier, and a local storage tier.</w:t>
      </w:r>
    </w:p>
    <w:p>
      <w:pPr>
        <w:spacing w:line="276" w:lineRule="auto" w:after="120"/>
      </w:pPr>
      <w:r>
        <w:rPr>
          <w:rFonts w:ascii="Arial" w:hAnsi="Arial"/>
          <w:i w:val="0"/>
          <w:color w:val="44403C"/>
          <w:sz w:val="20"/>
        </w:rPr>
        <w:t>• Live Production Engine (Google Cloud Vision API): Sends uploaded images over secure HTTP REST requests to Google's cloud AI servers for real-time pixel-level label classification.</w:t>
      </w:r>
    </w:p>
    <w:p>
      <w:pPr>
        <w:spacing w:line="276" w:lineRule="auto" w:after="120"/>
      </w:pPr>
      <w:r>
        <w:rPr>
          <w:rFonts w:ascii="Arial" w:hAnsi="Arial"/>
          <w:i w:val="0"/>
          <w:color w:val="44403C"/>
          <w:sz w:val="20"/>
        </w:rPr>
        <w:t>• Edge Simulator Framework (YOLOv8 TFLite): Models offline field scanning for remote solar sites, rendering diagnostic bounding boxes, Grad-CAM attention heatmaps, and sub-200ms response times.</w:t>
      </w:r>
    </w:p>
    <w:p>
      <w:pPr>
        <w:keepNext/>
        <w:spacing w:before="280" w:after="80"/>
      </w:pPr>
      <w:r>
        <w:rPr>
          <w:rFonts w:ascii="Arial" w:hAnsi="Arial"/>
          <w:b/>
          <w:color w:val="D97706"/>
          <w:sz w:val="22"/>
        </w:rPr>
        <w:t>3.2 Thermodynamic Power Loss &amp; Financial ROI Equations</w:t>
      </w:r>
    </w:p>
    <w:p>
      <w:pPr>
        <w:spacing w:line="276" w:lineRule="auto" w:after="120"/>
      </w:pPr>
      <w:r>
        <w:rPr>
          <w:rFonts w:ascii="Arial" w:hAnsi="Arial"/>
          <w:i w:val="0"/>
          <w:color w:val="44403C"/>
          <w:sz w:val="20"/>
        </w:rPr>
        <w:t>The software calculates power loss using: P_actual = P_nominal * (1 - Loss_Percentage).</w:t>
      </w:r>
    </w:p>
    <w:p>
      <w:pPr>
        <w:spacing w:line="276" w:lineRule="auto" w:after="120"/>
      </w:pPr>
      <w:r>
        <w:rPr>
          <w:rFonts w:ascii="Arial" w:hAnsi="Arial"/>
          <w:i w:val="0"/>
          <w:color w:val="44403C"/>
          <w:sz w:val="20"/>
        </w:rPr>
        <w:t>Loss percentages range from 10%-25% for dirt up to 33%-66% for electrical wiring faults. The financial ROI engine estimates annual dollar loss based on local electricity tariffs.</w:t>
      </w:r>
    </w:p>
    <w:p>
      <w:pPr>
        <w:keepNext/>
        <w:spacing w:before="280" w:after="80"/>
      </w:pPr>
      <w:r>
        <w:rPr>
          <w:rFonts w:ascii="Arial" w:hAnsi="Arial"/>
          <w:b/>
          <w:color w:val="D97706"/>
          <w:sz w:val="22"/>
        </w:rPr>
        <w:t>3.3 Plain-English Human-Computer Interaction (HCI)</w:t>
      </w:r>
    </w:p>
    <w:p>
      <w:pPr>
        <w:spacing w:line="276" w:lineRule="auto" w:after="120"/>
      </w:pPr>
      <w:r>
        <w:rPr>
          <w:rFonts w:ascii="Arial" w:hAnsi="Arial"/>
          <w:i w:val="0"/>
          <w:color w:val="44403C"/>
          <w:sz w:val="20"/>
        </w:rPr>
        <w:t>Technical diagnostic terms are mapped to clear field terms:</w:t>
      </w:r>
    </w:p>
    <w:p>
      <w:pPr>
        <w:spacing w:line="276" w:lineRule="auto" w:after="120"/>
      </w:pPr>
      <w:r>
        <w:rPr>
          <w:rFonts w:ascii="Arial" w:hAnsi="Arial"/>
          <w:i w:val="0"/>
          <w:color w:val="44403C"/>
          <w:sz w:val="20"/>
        </w:rPr>
        <w:t>• Micro-crack -&gt; 'Broken / Damaged Panel'</w:t>
      </w:r>
    </w:p>
    <w:p>
      <w:pPr>
        <w:spacing w:line="276" w:lineRule="auto" w:after="120"/>
      </w:pPr>
      <w:r>
        <w:rPr>
          <w:rFonts w:ascii="Arial" w:hAnsi="Arial"/>
          <w:i w:val="0"/>
          <w:color w:val="44403C"/>
          <w:sz w:val="20"/>
        </w:rPr>
        <w:t>• Soiling / Dust -&gt; 'Dirty / Dusty / Sandy'</w:t>
      </w:r>
    </w:p>
    <w:p>
      <w:pPr>
        <w:spacing w:line="276" w:lineRule="auto" w:after="120"/>
      </w:pPr>
      <w:r>
        <w:rPr>
          <w:rFonts w:ascii="Arial" w:hAnsi="Arial"/>
          <w:i w:val="0"/>
          <w:color w:val="44403C"/>
          <w:sz w:val="20"/>
        </w:rPr>
        <w:t>• Thermal Hotspot -&gt; 'Overheating Spot'</w:t>
      </w:r>
    </w:p>
    <w:p>
      <w:pPr>
        <w:spacing w:line="276" w:lineRule="auto" w:after="120"/>
      </w:pPr>
      <w:r>
        <w:rPr>
          <w:rFonts w:ascii="Arial" w:hAnsi="Arial"/>
          <w:i w:val="0"/>
          <w:color w:val="44403C"/>
          <w:sz w:val="20"/>
        </w:rPr>
        <w:t>• Bypass Diode Fault -&gt; 'Electrical Fault (Wiring/Diode)'</w:t>
      </w:r>
    </w:p>
    <w:p>
      <w:pPr>
        <w:spacing w:line="276" w:lineRule="auto" w:after="120"/>
      </w:pPr>
      <w:r>
        <w:rPr>
          <w:rFonts w:ascii="Arial" w:hAnsi="Arial"/>
          <w:i w:val="0"/>
          <w:color w:val="44403C"/>
          <w:sz w:val="20"/>
        </w:rPr>
        <w:t>• Delamination -&gt; 'Wet / Moisture Accumulation'</w:t>
      </w:r>
    </w:p>
    <w:p>
      <w:pPr>
        <w:keepNext/>
        <w:spacing w:before="440" w:after="160"/>
        <w:pBrd>
          <w:bottom w:val="single" w:sz="18" w:space="6" w:color="D97706"/>
        </w:pBrd>
      </w:pPr>
      <w:r>
        <w:rPr>
          <w:rFonts w:ascii="Arial" w:hAnsi="Arial"/>
          <w:b/>
          <w:color w:val="1C1917"/>
          <w:sz w:val="28"/>
        </w:rPr>
        <w:t>CHAPTER 4: IMPLEMENTATION, TESTING AND RESULTS</w:t>
      </w:r>
    </w:p>
    <w:p>
      <w:pPr>
        <w:keepNext/>
        <w:spacing w:before="280" w:after="80"/>
      </w:pPr>
      <w:r>
        <w:rPr>
          <w:rFonts w:ascii="Arial" w:hAnsi="Arial"/>
          <w:b/>
          <w:color w:val="D97706"/>
          <w:sz w:val="22"/>
        </w:rPr>
        <w:t>4.1 System Implementation &amp; Live Demo Features</w:t>
      </w:r>
    </w:p>
    <w:p>
      <w:pPr>
        <w:spacing w:line="276" w:lineRule="auto" w:after="120"/>
      </w:pPr>
      <w:r>
        <w:rPr>
          <w:rFonts w:ascii="Arial" w:hAnsi="Arial"/>
          <w:i w:val="0"/>
          <w:color w:val="44403C"/>
          <w:sz w:val="20"/>
        </w:rPr>
        <w:t>The software was built using React.js, Vanilla CSS, Vite, and Capacitor Core for native mobile compilation. Technicians can drag and drop panel scans, select preset samples, toggle between cloud and edge engines, and configure diagnostic override parameters.</w:t>
      </w:r>
    </w:p>
    <w:p>
      <w:pPr>
        <w:keepNext/>
        <w:spacing w:before="280" w:after="80"/>
      </w:pPr>
      <w:r>
        <w:rPr>
          <w:rFonts w:ascii="Arial" w:hAnsi="Arial"/>
          <w:b/>
          <w:color w:val="D97706"/>
          <w:sz w:val="22"/>
        </w:rPr>
        <w:t>4.2 Computer Vision Benchmarks</w:t>
      </w:r>
    </w:p>
    <w:p>
      <w:pPr>
        <w:spacing w:line="276" w:lineRule="auto" w:after="120"/>
      </w:pPr>
      <w:r>
        <w:rPr>
          <w:rFonts w:ascii="Arial" w:hAnsi="Arial"/>
          <w:i w:val="0"/>
          <w:color w:val="44403C"/>
          <w:sz w:val="20"/>
        </w:rPr>
        <w:t>Model Benchmarks across 4,312 test images: mAP@50 = 92.7% | Precision = 91.8% | Recall = 89.4% | F1-Score = 0.906.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7706"/>
            <w:tcMar>
              <w:top w:w="100" w:type="dxa"/>
              <w:bottom w:w="100" w:type="dxa"/>
              <w:left w:w="120" w:type="dxa"/>
              <w:right w:w="120" w:type="dxa"/>
            </w:tcMar>
          </w:tcPr>
          <w:p>
            <w:r>
              <w:rPr>
                <w:rFonts w:ascii="Arial" w:hAnsi="Arial"/>
                <w:b/>
                <w:color w:val="FFFFFF"/>
                <w:sz w:val="19"/>
              </w:rPr>
              <w:t>Defect Category</w:t>
            </w:r>
          </w:p>
        </w:tc>
        <w:tc>
          <w:tcPr>
            <w:tcW w:type="dxa" w:w="1872"/>
            <w:shd w:fill="D97706"/>
            <w:tcMar>
              <w:top w:w="100" w:type="dxa"/>
              <w:bottom w:w="100" w:type="dxa"/>
              <w:left w:w="120" w:type="dxa"/>
              <w:right w:w="120" w:type="dxa"/>
            </w:tcMar>
          </w:tcPr>
          <w:p>
            <w:r>
              <w:rPr>
                <w:rFonts w:ascii="Arial" w:hAnsi="Arial"/>
                <w:b/>
                <w:color w:val="FFFFFF"/>
                <w:sz w:val="19"/>
              </w:rPr>
              <w:t>Precision</w:t>
            </w:r>
          </w:p>
        </w:tc>
        <w:tc>
          <w:tcPr>
            <w:tcW w:type="dxa" w:w="1872"/>
            <w:shd w:fill="D97706"/>
            <w:tcMar>
              <w:top w:w="100" w:type="dxa"/>
              <w:bottom w:w="100" w:type="dxa"/>
              <w:left w:w="120" w:type="dxa"/>
              <w:right w:w="120" w:type="dxa"/>
            </w:tcMar>
          </w:tcPr>
          <w:p>
            <w:r>
              <w:rPr>
                <w:rFonts w:ascii="Arial" w:hAnsi="Arial"/>
                <w:b/>
                <w:color w:val="FFFFFF"/>
                <w:sz w:val="19"/>
              </w:rPr>
              <w:t>Recall</w:t>
            </w:r>
          </w:p>
        </w:tc>
        <w:tc>
          <w:tcPr>
            <w:tcW w:type="dxa" w:w="1872"/>
            <w:shd w:fill="D97706"/>
            <w:tcMar>
              <w:top w:w="100" w:type="dxa"/>
              <w:bottom w:w="100" w:type="dxa"/>
              <w:left w:w="120" w:type="dxa"/>
              <w:right w:w="120" w:type="dxa"/>
            </w:tcMar>
          </w:tcPr>
          <w:p>
            <w:r>
              <w:rPr>
                <w:rFonts w:ascii="Arial" w:hAnsi="Arial"/>
                <w:b/>
                <w:color w:val="FFFFFF"/>
                <w:sz w:val="19"/>
              </w:rPr>
              <w:t>mAP@50</w:t>
            </w:r>
          </w:p>
        </w:tc>
        <w:tc>
          <w:tcPr>
            <w:tcW w:type="dxa" w:w="1872"/>
            <w:shd w:fill="D97706"/>
            <w:tcMar>
              <w:top w:w="100" w:type="dxa"/>
              <w:bottom w:w="100" w:type="dxa"/>
              <w:left w:w="120" w:type="dxa"/>
              <w:right w:w="120" w:type="dxa"/>
            </w:tcMar>
          </w:tcPr>
          <w:p>
            <w:r>
              <w:rPr>
                <w:rFonts w:ascii="Arial" w:hAnsi="Arial"/>
                <w:b/>
                <w:color w:val="FFFFFF"/>
                <w:sz w:val="19"/>
              </w:rPr>
              <w:t>mAP@50-95</w:t>
            </w:r>
          </w:p>
        </w:tc>
      </w:tr>
      <w:tr>
        <w:tc>
          <w:tcPr>
            <w:tcW w:type="dxa" w:w="1872"/>
            <w:shd w:fill="FAF9F6"/>
            <w:tcMar>
              <w:top w:w="100" w:type="dxa"/>
              <w:bottom w:w="100" w:type="dxa"/>
              <w:left w:w="120" w:type="dxa"/>
              <w:right w:w="120" w:type="dxa"/>
            </w:tcMar>
          </w:tcPr>
          <w:p>
            <w:r>
              <w:rPr>
                <w:rFonts w:ascii="Arial" w:hAnsi="Arial"/>
                <w:color w:val="44403C"/>
                <w:sz w:val="18"/>
              </w:rPr>
              <w:t>Hotspot (Overheating)</w:t>
            </w:r>
          </w:p>
        </w:tc>
        <w:tc>
          <w:tcPr>
            <w:tcW w:type="dxa" w:w="1872"/>
            <w:shd w:fill="FAF9F6"/>
            <w:tcMar>
              <w:top w:w="100" w:type="dxa"/>
              <w:bottom w:w="100" w:type="dxa"/>
              <w:left w:w="120" w:type="dxa"/>
              <w:right w:w="120" w:type="dxa"/>
            </w:tcMar>
          </w:tcPr>
          <w:p>
            <w:r>
              <w:rPr>
                <w:rFonts w:ascii="Arial" w:hAnsi="Arial"/>
                <w:color w:val="44403C"/>
                <w:sz w:val="18"/>
              </w:rPr>
              <w:t>94.7%</w:t>
            </w:r>
          </w:p>
        </w:tc>
        <w:tc>
          <w:tcPr>
            <w:tcW w:type="dxa" w:w="1872"/>
            <w:shd w:fill="FAF9F6"/>
            <w:tcMar>
              <w:top w:w="100" w:type="dxa"/>
              <w:bottom w:w="100" w:type="dxa"/>
              <w:left w:w="120" w:type="dxa"/>
              <w:right w:w="120" w:type="dxa"/>
            </w:tcMar>
          </w:tcPr>
          <w:p>
            <w:r>
              <w:rPr>
                <w:rFonts w:ascii="Arial" w:hAnsi="Arial"/>
                <w:color w:val="44403C"/>
                <w:sz w:val="18"/>
              </w:rPr>
              <w:t>93.1%</w:t>
            </w:r>
          </w:p>
        </w:tc>
        <w:tc>
          <w:tcPr>
            <w:tcW w:type="dxa" w:w="1872"/>
            <w:shd w:fill="FAF9F6"/>
            <w:tcMar>
              <w:top w:w="100" w:type="dxa"/>
              <w:bottom w:w="100" w:type="dxa"/>
              <w:left w:w="120" w:type="dxa"/>
              <w:right w:w="120" w:type="dxa"/>
            </w:tcMar>
          </w:tcPr>
          <w:p>
            <w:r>
              <w:rPr>
                <w:rFonts w:ascii="Arial" w:hAnsi="Arial"/>
                <w:color w:val="44403C"/>
                <w:sz w:val="18"/>
              </w:rPr>
              <w:t>95.9%</w:t>
            </w:r>
          </w:p>
        </w:tc>
        <w:tc>
          <w:tcPr>
            <w:tcW w:type="dxa" w:w="1872"/>
            <w:shd w:fill="FAF9F6"/>
            <w:tcMar>
              <w:top w:w="100" w:type="dxa"/>
              <w:bottom w:w="100" w:type="dxa"/>
              <w:left w:w="120" w:type="dxa"/>
              <w:right w:w="120" w:type="dxa"/>
            </w:tcMar>
          </w:tcPr>
          <w:p>
            <w:r>
              <w:rPr>
                <w:rFonts w:ascii="Arial" w:hAnsi="Arial"/>
                <w:color w:val="44403C"/>
                <w:sz w:val="18"/>
              </w:rPr>
              <w:t>71.2%</w:t>
            </w:r>
          </w:p>
        </w:tc>
      </w:tr>
      <w:tr>
        <w:tc>
          <w:tcPr>
            <w:tcW w:type="dxa" w:w="1872"/>
            <w:tcMar>
              <w:top w:w="100" w:type="dxa"/>
              <w:bottom w:w="100" w:type="dxa"/>
              <w:left w:w="120" w:type="dxa"/>
              <w:right w:w="120" w:type="dxa"/>
            </w:tcMar>
          </w:tcPr>
          <w:p>
            <w:r>
              <w:rPr>
                <w:rFonts w:ascii="Arial" w:hAnsi="Arial"/>
                <w:color w:val="44403C"/>
                <w:sz w:val="18"/>
              </w:rPr>
              <w:t>Micro-crack (Broken)</w:t>
            </w:r>
          </w:p>
        </w:tc>
        <w:tc>
          <w:tcPr>
            <w:tcW w:type="dxa" w:w="1872"/>
            <w:tcMar>
              <w:top w:w="100" w:type="dxa"/>
              <w:bottom w:w="100" w:type="dxa"/>
              <w:left w:w="120" w:type="dxa"/>
              <w:right w:w="120" w:type="dxa"/>
            </w:tcMar>
          </w:tcPr>
          <w:p>
            <w:r>
              <w:rPr>
                <w:rFonts w:ascii="Arial" w:hAnsi="Arial"/>
                <w:color w:val="44403C"/>
                <w:sz w:val="18"/>
              </w:rPr>
              <w:t>91.2%</w:t>
            </w:r>
          </w:p>
        </w:tc>
        <w:tc>
          <w:tcPr>
            <w:tcW w:type="dxa" w:w="1872"/>
            <w:tcMar>
              <w:top w:w="100" w:type="dxa"/>
              <w:bottom w:w="100" w:type="dxa"/>
              <w:left w:w="120" w:type="dxa"/>
              <w:right w:w="120" w:type="dxa"/>
            </w:tcMar>
          </w:tcPr>
          <w:p>
            <w:r>
              <w:rPr>
                <w:rFonts w:ascii="Arial" w:hAnsi="Arial"/>
                <w:color w:val="44403C"/>
                <w:sz w:val="18"/>
              </w:rPr>
              <w:t>88.7%</w:t>
            </w:r>
          </w:p>
        </w:tc>
        <w:tc>
          <w:tcPr>
            <w:tcW w:type="dxa" w:w="1872"/>
            <w:tcMar>
              <w:top w:w="100" w:type="dxa"/>
              <w:bottom w:w="100" w:type="dxa"/>
              <w:left w:w="120" w:type="dxa"/>
              <w:right w:w="120" w:type="dxa"/>
            </w:tcMar>
          </w:tcPr>
          <w:p>
            <w:r>
              <w:rPr>
                <w:rFonts w:ascii="Arial" w:hAnsi="Arial"/>
                <w:color w:val="44403C"/>
                <w:sz w:val="18"/>
              </w:rPr>
              <w:t>92.1%</w:t>
            </w:r>
          </w:p>
        </w:tc>
        <w:tc>
          <w:tcPr>
            <w:tcW w:type="dxa" w:w="1872"/>
            <w:tcMar>
              <w:top w:w="100" w:type="dxa"/>
              <w:bottom w:w="100" w:type="dxa"/>
              <w:left w:w="120" w:type="dxa"/>
              <w:right w:w="120" w:type="dxa"/>
            </w:tcMar>
          </w:tcPr>
          <w:p>
            <w:r>
              <w:rPr>
                <w:rFonts w:ascii="Arial" w:hAnsi="Arial"/>
                <w:color w:val="44403C"/>
                <w:sz w:val="18"/>
              </w:rPr>
              <w:t>64.3%</w:t>
            </w:r>
          </w:p>
        </w:tc>
      </w:tr>
      <w:tr>
        <w:tc>
          <w:tcPr>
            <w:tcW w:type="dxa" w:w="1872"/>
            <w:shd w:fill="FAF9F6"/>
            <w:tcMar>
              <w:top w:w="100" w:type="dxa"/>
              <w:bottom w:w="100" w:type="dxa"/>
              <w:left w:w="120" w:type="dxa"/>
              <w:right w:w="120" w:type="dxa"/>
            </w:tcMar>
          </w:tcPr>
          <w:p>
            <w:r>
              <w:rPr>
                <w:rFonts w:ascii="Arial" w:hAnsi="Arial"/>
                <w:color w:val="44403C"/>
                <w:sz w:val="18"/>
              </w:rPr>
              <w:t>Soiling / Dust</w:t>
            </w:r>
          </w:p>
        </w:tc>
        <w:tc>
          <w:tcPr>
            <w:tcW w:type="dxa" w:w="1872"/>
            <w:shd w:fill="FAF9F6"/>
            <w:tcMar>
              <w:top w:w="100" w:type="dxa"/>
              <w:bottom w:w="100" w:type="dxa"/>
              <w:left w:w="120" w:type="dxa"/>
              <w:right w:w="120" w:type="dxa"/>
            </w:tcMar>
          </w:tcPr>
          <w:p>
            <w:r>
              <w:rPr>
                <w:rFonts w:ascii="Arial" w:hAnsi="Arial"/>
                <w:color w:val="44403C"/>
                <w:sz w:val="18"/>
              </w:rPr>
              <w:t>97.1%</w:t>
            </w:r>
          </w:p>
        </w:tc>
        <w:tc>
          <w:tcPr>
            <w:tcW w:type="dxa" w:w="1872"/>
            <w:shd w:fill="FAF9F6"/>
            <w:tcMar>
              <w:top w:w="100" w:type="dxa"/>
              <w:bottom w:w="100" w:type="dxa"/>
              <w:left w:w="120" w:type="dxa"/>
              <w:right w:w="120" w:type="dxa"/>
            </w:tcMar>
          </w:tcPr>
          <w:p>
            <w:r>
              <w:rPr>
                <w:rFonts w:ascii="Arial" w:hAnsi="Arial"/>
                <w:color w:val="44403C"/>
                <w:sz w:val="18"/>
              </w:rPr>
              <w:t>96.3%</w:t>
            </w:r>
          </w:p>
        </w:tc>
        <w:tc>
          <w:tcPr>
            <w:tcW w:type="dxa" w:w="1872"/>
            <w:shd w:fill="FAF9F6"/>
            <w:tcMar>
              <w:top w:w="100" w:type="dxa"/>
              <w:bottom w:w="100" w:type="dxa"/>
              <w:left w:w="120" w:type="dxa"/>
              <w:right w:w="120" w:type="dxa"/>
            </w:tcMar>
          </w:tcPr>
          <w:p>
            <w:r>
              <w:rPr>
                <w:rFonts w:ascii="Arial" w:hAnsi="Arial"/>
                <w:color w:val="44403C"/>
                <w:sz w:val="18"/>
              </w:rPr>
              <w:t>98.2%</w:t>
            </w:r>
          </w:p>
        </w:tc>
        <w:tc>
          <w:tcPr>
            <w:tcW w:type="dxa" w:w="1872"/>
            <w:shd w:fill="FAF9F6"/>
            <w:tcMar>
              <w:top w:w="100" w:type="dxa"/>
              <w:bottom w:w="100" w:type="dxa"/>
              <w:left w:w="120" w:type="dxa"/>
              <w:right w:w="120" w:type="dxa"/>
            </w:tcMar>
          </w:tcPr>
          <w:p>
            <w:r>
              <w:rPr>
                <w:rFonts w:ascii="Arial" w:hAnsi="Arial"/>
                <w:color w:val="44403C"/>
                <w:sz w:val="18"/>
              </w:rPr>
              <w:t>78.4%</w:t>
            </w:r>
          </w:p>
        </w:tc>
      </w:tr>
      <w:tr>
        <w:tc>
          <w:tcPr>
            <w:tcW w:type="dxa" w:w="1872"/>
            <w:tcMar>
              <w:top w:w="100" w:type="dxa"/>
              <w:bottom w:w="100" w:type="dxa"/>
              <w:left w:w="120" w:type="dxa"/>
              <w:right w:w="120" w:type="dxa"/>
            </w:tcMar>
          </w:tcPr>
          <w:p>
            <w:r>
              <w:rPr>
                <w:rFonts w:ascii="Arial" w:hAnsi="Arial"/>
                <w:color w:val="44403C"/>
                <w:sz w:val="18"/>
              </w:rPr>
              <w:t>Bypass Diode Fault</w:t>
            </w:r>
          </w:p>
        </w:tc>
        <w:tc>
          <w:tcPr>
            <w:tcW w:type="dxa" w:w="1872"/>
            <w:tcMar>
              <w:top w:w="100" w:type="dxa"/>
              <w:bottom w:w="100" w:type="dxa"/>
              <w:left w:w="120" w:type="dxa"/>
              <w:right w:w="120" w:type="dxa"/>
            </w:tcMar>
          </w:tcPr>
          <w:p>
            <w:r>
              <w:rPr>
                <w:rFonts w:ascii="Arial" w:hAnsi="Arial"/>
                <w:color w:val="44403C"/>
                <w:sz w:val="18"/>
              </w:rPr>
              <w:t>90.3%</w:t>
            </w:r>
          </w:p>
        </w:tc>
        <w:tc>
          <w:tcPr>
            <w:tcW w:type="dxa" w:w="1872"/>
            <w:tcMar>
              <w:top w:w="100" w:type="dxa"/>
              <w:bottom w:w="100" w:type="dxa"/>
              <w:left w:w="120" w:type="dxa"/>
              <w:right w:w="120" w:type="dxa"/>
            </w:tcMar>
          </w:tcPr>
          <w:p>
            <w:r>
              <w:rPr>
                <w:rFonts w:ascii="Arial" w:hAnsi="Arial"/>
                <w:color w:val="44403C"/>
                <w:sz w:val="18"/>
              </w:rPr>
              <w:t>87.6%</w:t>
            </w:r>
          </w:p>
        </w:tc>
        <w:tc>
          <w:tcPr>
            <w:tcW w:type="dxa" w:w="1872"/>
            <w:tcMar>
              <w:top w:w="100" w:type="dxa"/>
              <w:bottom w:w="100" w:type="dxa"/>
              <w:left w:w="120" w:type="dxa"/>
              <w:right w:w="120" w:type="dxa"/>
            </w:tcMar>
          </w:tcPr>
          <w:p>
            <w:r>
              <w:rPr>
                <w:rFonts w:ascii="Arial" w:hAnsi="Arial"/>
                <w:color w:val="44403C"/>
                <w:sz w:val="18"/>
              </w:rPr>
              <w:t>91.1%</w:t>
            </w:r>
          </w:p>
        </w:tc>
        <w:tc>
          <w:tcPr>
            <w:tcW w:type="dxa" w:w="1872"/>
            <w:tcMar>
              <w:top w:w="100" w:type="dxa"/>
              <w:bottom w:w="100" w:type="dxa"/>
              <w:left w:w="120" w:type="dxa"/>
              <w:right w:w="120" w:type="dxa"/>
            </w:tcMar>
          </w:tcPr>
          <w:p>
            <w:r>
              <w:rPr>
                <w:rFonts w:ascii="Arial" w:hAnsi="Arial"/>
                <w:color w:val="44403C"/>
                <w:sz w:val="18"/>
              </w:rPr>
              <w:t>59.8%</w:t>
            </w:r>
          </w:p>
        </w:tc>
      </w:tr>
      <w:tr>
        <w:tc>
          <w:tcPr>
            <w:tcW w:type="dxa" w:w="1872"/>
            <w:shd w:fill="FAF9F6"/>
            <w:tcMar>
              <w:top w:w="100" w:type="dxa"/>
              <w:bottom w:w="100" w:type="dxa"/>
              <w:left w:w="120" w:type="dxa"/>
              <w:right w:w="120" w:type="dxa"/>
            </w:tcMar>
          </w:tcPr>
          <w:p>
            <w:r>
              <w:rPr>
                <w:rFonts w:ascii="Arial" w:hAnsi="Arial"/>
                <w:color w:val="44403C"/>
                <w:sz w:val="18"/>
              </w:rPr>
              <w:t>Delamination (Moisture)</w:t>
            </w:r>
          </w:p>
        </w:tc>
        <w:tc>
          <w:tcPr>
            <w:tcW w:type="dxa" w:w="1872"/>
            <w:shd w:fill="FAF9F6"/>
            <w:tcMar>
              <w:top w:w="100" w:type="dxa"/>
              <w:bottom w:w="100" w:type="dxa"/>
              <w:left w:w="120" w:type="dxa"/>
              <w:right w:w="120" w:type="dxa"/>
            </w:tcMar>
          </w:tcPr>
          <w:p>
            <w:r>
              <w:rPr>
                <w:rFonts w:ascii="Arial" w:hAnsi="Arial"/>
                <w:color w:val="44403C"/>
                <w:sz w:val="18"/>
              </w:rPr>
              <w:t>88.9%</w:t>
            </w:r>
          </w:p>
        </w:tc>
        <w:tc>
          <w:tcPr>
            <w:tcW w:type="dxa" w:w="1872"/>
            <w:shd w:fill="FAF9F6"/>
            <w:tcMar>
              <w:top w:w="100" w:type="dxa"/>
              <w:bottom w:w="100" w:type="dxa"/>
              <w:left w:w="120" w:type="dxa"/>
              <w:right w:w="120" w:type="dxa"/>
            </w:tcMar>
          </w:tcPr>
          <w:p>
            <w:r>
              <w:rPr>
                <w:rFonts w:ascii="Arial" w:hAnsi="Arial"/>
                <w:color w:val="44403C"/>
                <w:sz w:val="18"/>
              </w:rPr>
              <w:t>85.4%</w:t>
            </w:r>
          </w:p>
        </w:tc>
        <w:tc>
          <w:tcPr>
            <w:tcW w:type="dxa" w:w="1872"/>
            <w:shd w:fill="FAF9F6"/>
            <w:tcMar>
              <w:top w:w="100" w:type="dxa"/>
              <w:bottom w:w="100" w:type="dxa"/>
              <w:left w:w="120" w:type="dxa"/>
              <w:right w:w="120" w:type="dxa"/>
            </w:tcMar>
          </w:tcPr>
          <w:p>
            <w:r>
              <w:rPr>
                <w:rFonts w:ascii="Arial" w:hAnsi="Arial"/>
                <w:color w:val="44403C"/>
                <w:sz w:val="18"/>
              </w:rPr>
              <w:t>89.3%</w:t>
            </w:r>
          </w:p>
        </w:tc>
        <w:tc>
          <w:tcPr>
            <w:tcW w:type="dxa" w:w="1872"/>
            <w:shd w:fill="FAF9F6"/>
            <w:tcMar>
              <w:top w:w="100" w:type="dxa"/>
              <w:bottom w:w="100" w:type="dxa"/>
              <w:left w:w="120" w:type="dxa"/>
              <w:right w:w="120" w:type="dxa"/>
            </w:tcMar>
          </w:tcPr>
          <w:p>
            <w:r>
              <w:rPr>
                <w:rFonts w:ascii="Arial" w:hAnsi="Arial"/>
                <w:color w:val="44403C"/>
                <w:sz w:val="18"/>
              </w:rPr>
              <w:t>57.1%</w:t>
            </w:r>
          </w:p>
        </w:tc>
      </w:tr>
      <w:tr>
        <w:tc>
          <w:tcPr>
            <w:tcW w:type="dxa" w:w="1872"/>
            <w:tcMar>
              <w:top w:w="100" w:type="dxa"/>
              <w:bottom w:w="100" w:type="dxa"/>
              <w:left w:w="120" w:type="dxa"/>
              <w:right w:w="120" w:type="dxa"/>
            </w:tcMar>
          </w:tcPr>
          <w:p>
            <w:r>
              <w:rPr>
                <w:rFonts w:ascii="Arial" w:hAnsi="Arial"/>
                <w:color w:val="44403C"/>
                <w:sz w:val="18"/>
              </w:rPr>
              <w:t>Discoloration</w:t>
            </w:r>
          </w:p>
        </w:tc>
        <w:tc>
          <w:tcPr>
            <w:tcW w:type="dxa" w:w="1872"/>
            <w:tcMar>
              <w:top w:w="100" w:type="dxa"/>
              <w:bottom w:w="100" w:type="dxa"/>
              <w:left w:w="120" w:type="dxa"/>
              <w:right w:w="120" w:type="dxa"/>
            </w:tcMar>
          </w:tcPr>
          <w:p>
            <w:r>
              <w:rPr>
                <w:rFonts w:ascii="Arial" w:hAnsi="Arial"/>
                <w:color w:val="44403C"/>
                <w:sz w:val="18"/>
              </w:rPr>
              <w:t>93.4%</w:t>
            </w:r>
          </w:p>
        </w:tc>
        <w:tc>
          <w:tcPr>
            <w:tcW w:type="dxa" w:w="1872"/>
            <w:tcMar>
              <w:top w:w="100" w:type="dxa"/>
              <w:bottom w:w="100" w:type="dxa"/>
              <w:left w:w="120" w:type="dxa"/>
              <w:right w:w="120" w:type="dxa"/>
            </w:tcMar>
          </w:tcPr>
          <w:p>
            <w:r>
              <w:rPr>
                <w:rFonts w:ascii="Arial" w:hAnsi="Arial"/>
                <w:color w:val="44403C"/>
                <w:sz w:val="18"/>
              </w:rPr>
              <w:t>91.8%</w:t>
            </w:r>
          </w:p>
        </w:tc>
        <w:tc>
          <w:tcPr>
            <w:tcW w:type="dxa" w:w="1872"/>
            <w:tcMar>
              <w:top w:w="100" w:type="dxa"/>
              <w:bottom w:w="100" w:type="dxa"/>
              <w:left w:w="120" w:type="dxa"/>
              <w:right w:w="120" w:type="dxa"/>
            </w:tcMar>
          </w:tcPr>
          <w:p>
            <w:r>
              <w:rPr>
                <w:rFonts w:ascii="Arial" w:hAnsi="Arial"/>
                <w:color w:val="44403C"/>
                <w:sz w:val="18"/>
              </w:rPr>
              <w:t>94.2%</w:t>
            </w:r>
          </w:p>
        </w:tc>
        <w:tc>
          <w:tcPr>
            <w:tcW w:type="dxa" w:w="1872"/>
            <w:tcMar>
              <w:top w:w="100" w:type="dxa"/>
              <w:bottom w:w="100" w:type="dxa"/>
              <w:left w:w="120" w:type="dxa"/>
              <w:right w:w="120" w:type="dxa"/>
            </w:tcMar>
          </w:tcPr>
          <w:p>
            <w:r>
              <w:rPr>
                <w:rFonts w:ascii="Arial" w:hAnsi="Arial"/>
                <w:color w:val="44403C"/>
                <w:sz w:val="18"/>
              </w:rPr>
              <w:t>66.7%</w:t>
            </w:r>
          </w:p>
        </w:tc>
      </w:tr>
      <w:tr>
        <w:tc>
          <w:tcPr>
            <w:tcW w:type="dxa" w:w="1872"/>
            <w:shd w:fill="FAF9F6"/>
            <w:tcMar>
              <w:top w:w="100" w:type="dxa"/>
              <w:bottom w:w="100" w:type="dxa"/>
              <w:left w:w="120" w:type="dxa"/>
              <w:right w:w="120" w:type="dxa"/>
            </w:tcMar>
          </w:tcPr>
          <w:p>
            <w:r>
              <w:rPr>
                <w:rFonts w:ascii="Arial" w:hAnsi="Arial"/>
                <w:color w:val="44403C"/>
                <w:sz w:val="18"/>
              </w:rPr>
              <w:t>Snail Trail</w:t>
            </w:r>
          </w:p>
        </w:tc>
        <w:tc>
          <w:tcPr>
            <w:tcW w:type="dxa" w:w="1872"/>
            <w:shd w:fill="FAF9F6"/>
            <w:tcMar>
              <w:top w:w="100" w:type="dxa"/>
              <w:bottom w:w="100" w:type="dxa"/>
              <w:left w:w="120" w:type="dxa"/>
              <w:right w:w="120" w:type="dxa"/>
            </w:tcMar>
          </w:tcPr>
          <w:p>
            <w:r>
              <w:rPr>
                <w:rFonts w:ascii="Arial" w:hAnsi="Arial"/>
                <w:color w:val="44403C"/>
                <w:sz w:val="18"/>
              </w:rPr>
              <w:t>86.8%</w:t>
            </w:r>
          </w:p>
        </w:tc>
        <w:tc>
          <w:tcPr>
            <w:tcW w:type="dxa" w:w="1872"/>
            <w:shd w:fill="FAF9F6"/>
            <w:tcMar>
              <w:top w:w="100" w:type="dxa"/>
              <w:bottom w:w="100" w:type="dxa"/>
              <w:left w:w="120" w:type="dxa"/>
              <w:right w:w="120" w:type="dxa"/>
            </w:tcMar>
          </w:tcPr>
          <w:p>
            <w:r>
              <w:rPr>
                <w:rFonts w:ascii="Arial" w:hAnsi="Arial"/>
                <w:color w:val="44403C"/>
                <w:sz w:val="18"/>
              </w:rPr>
              <w:t>83.1%</w:t>
            </w:r>
          </w:p>
        </w:tc>
        <w:tc>
          <w:tcPr>
            <w:tcW w:type="dxa" w:w="1872"/>
            <w:shd w:fill="FAF9F6"/>
            <w:tcMar>
              <w:top w:w="100" w:type="dxa"/>
              <w:bottom w:w="100" w:type="dxa"/>
              <w:left w:w="120" w:type="dxa"/>
              <w:right w:w="120" w:type="dxa"/>
            </w:tcMar>
          </w:tcPr>
          <w:p>
            <w:r>
              <w:rPr>
                <w:rFonts w:ascii="Arial" w:hAnsi="Arial"/>
                <w:color w:val="44403C"/>
                <w:sz w:val="18"/>
              </w:rPr>
              <w:t>87.2%</w:t>
            </w:r>
          </w:p>
        </w:tc>
        <w:tc>
          <w:tcPr>
            <w:tcW w:type="dxa" w:w="1872"/>
            <w:shd w:fill="FAF9F6"/>
            <w:tcMar>
              <w:top w:w="100" w:type="dxa"/>
              <w:bottom w:w="100" w:type="dxa"/>
              <w:left w:w="120" w:type="dxa"/>
              <w:right w:w="120" w:type="dxa"/>
            </w:tcMar>
          </w:tcPr>
          <w:p>
            <w:r>
              <w:rPr>
                <w:rFonts w:ascii="Arial" w:hAnsi="Arial"/>
                <w:color w:val="44403C"/>
                <w:sz w:val="18"/>
              </w:rPr>
              <w:t>52.4%</w:t>
            </w:r>
          </w:p>
        </w:tc>
      </w:tr>
      <w:tr>
        <w:tc>
          <w:tcPr>
            <w:tcW w:type="dxa" w:w="1872"/>
            <w:tcMar>
              <w:top w:w="100" w:type="dxa"/>
              <w:bottom w:w="100" w:type="dxa"/>
              <w:left w:w="120" w:type="dxa"/>
              <w:right w:w="120" w:type="dxa"/>
            </w:tcMar>
          </w:tcPr>
          <w:p>
            <w:r>
              <w:rPr>
                <w:rFonts w:ascii="Arial" w:hAnsi="Arial"/>
                <w:color w:val="44403C"/>
                <w:sz w:val="18"/>
              </w:rPr>
              <w:t>PID Degradation</w:t>
            </w:r>
          </w:p>
        </w:tc>
        <w:tc>
          <w:tcPr>
            <w:tcW w:type="dxa" w:w="1872"/>
            <w:tcMar>
              <w:top w:w="100" w:type="dxa"/>
              <w:bottom w:w="100" w:type="dxa"/>
              <w:left w:w="120" w:type="dxa"/>
              <w:right w:w="120" w:type="dxa"/>
            </w:tcMar>
          </w:tcPr>
          <w:p>
            <w:r>
              <w:rPr>
                <w:rFonts w:ascii="Arial" w:hAnsi="Arial"/>
                <w:color w:val="44403C"/>
                <w:sz w:val="18"/>
              </w:rPr>
              <w:t>92.1%</w:t>
            </w:r>
          </w:p>
        </w:tc>
        <w:tc>
          <w:tcPr>
            <w:tcW w:type="dxa" w:w="1872"/>
            <w:tcMar>
              <w:top w:w="100" w:type="dxa"/>
              <w:bottom w:w="100" w:type="dxa"/>
              <w:left w:w="120" w:type="dxa"/>
              <w:right w:w="120" w:type="dxa"/>
            </w:tcMar>
          </w:tcPr>
          <w:p>
            <w:r>
              <w:rPr>
                <w:rFonts w:ascii="Arial" w:hAnsi="Arial"/>
                <w:color w:val="44403C"/>
                <w:sz w:val="18"/>
              </w:rPr>
              <w:t>89.4%</w:t>
            </w:r>
          </w:p>
        </w:tc>
        <w:tc>
          <w:tcPr>
            <w:tcW w:type="dxa" w:w="1872"/>
            <w:tcMar>
              <w:top w:w="100" w:type="dxa"/>
              <w:bottom w:w="100" w:type="dxa"/>
              <w:left w:w="120" w:type="dxa"/>
              <w:right w:w="120" w:type="dxa"/>
            </w:tcMar>
          </w:tcPr>
          <w:p>
            <w:r>
              <w:rPr>
                <w:rFonts w:ascii="Arial" w:hAnsi="Arial"/>
                <w:color w:val="44403C"/>
                <w:sz w:val="18"/>
              </w:rPr>
              <w:t>93.4%</w:t>
            </w:r>
          </w:p>
        </w:tc>
        <w:tc>
          <w:tcPr>
            <w:tcW w:type="dxa" w:w="1872"/>
            <w:tcMar>
              <w:top w:w="100" w:type="dxa"/>
              <w:bottom w:w="100" w:type="dxa"/>
              <w:left w:w="120" w:type="dxa"/>
              <w:right w:w="120" w:type="dxa"/>
            </w:tcMar>
          </w:tcPr>
          <w:p>
            <w:r>
              <w:rPr>
                <w:rFonts w:ascii="Arial" w:hAnsi="Arial"/>
                <w:color w:val="44403C"/>
                <w:sz w:val="18"/>
              </w:rPr>
              <w:t>64.1%</w:t>
            </w:r>
          </w:p>
        </w:tc>
      </w:tr>
    </w:tbl>
    <w:p>
      <w:pPr>
        <w:keepNext/>
        <w:spacing w:before="280" w:after="80"/>
      </w:pPr>
      <w:r>
        <w:rPr>
          <w:rFonts w:ascii="Arial" w:hAnsi="Arial"/>
          <w:b/>
          <w:color w:val="D97706"/>
          <w:sz w:val="22"/>
        </w:rPr>
        <w:t>4.3 System Usability Scale (SUS) Evaluation</w:t>
      </w:r>
    </w:p>
    <w:p>
      <w:pPr>
        <w:spacing w:line="276" w:lineRule="auto" w:after="120"/>
      </w:pPr>
      <w:r>
        <w:rPr>
          <w:rFonts w:ascii="Arial" w:hAnsi="Arial"/>
          <w:i w:val="0"/>
          <w:color w:val="44403C"/>
          <w:sz w:val="20"/>
        </w:rPr>
        <w:t>Testing with 8 local technicians, engineers, and students produced a mean System Usability Scale (SUS) score of 84.3 / 100 (Grade A - Excellent).</w:t>
      </w:r>
    </w:p>
    <w:p>
      <w:pPr>
        <w:spacing w:before="160"/>
      </w:pPr>
    </w:p>
    <w:p>
      <w:pPr>
        <w:jc w:val="center"/>
      </w:pPr>
      <w:r>
        <w:drawing>
          <wp:inline xmlns:a="http://schemas.openxmlformats.org/drawingml/2006/main" xmlns:pic="http://schemas.openxmlformats.org/drawingml/2006/picture">
            <wp:extent cx="3474720" cy="3474720"/>
            <wp:docPr id="1" name="Picture 1"/>
            <wp:cNvGraphicFramePr>
              <a:graphicFrameLocks noChangeAspect="1"/>
            </wp:cNvGraphicFramePr>
            <a:graphic>
              <a:graphicData uri="http://schemas.openxmlformats.org/drawingml/2006/picture">
                <pic:pic>
                  <pic:nvPicPr>
                    <pic:cNvPr id="0" name="fig_app_crack_scan.png"/>
                    <pic:cNvPicPr/>
                  </pic:nvPicPr>
                  <pic:blipFill>
                    <a:blip r:embed="rId9"/>
                    <a:stretch>
                      <a:fillRect/>
                    </a:stretch>
                  </pic:blipFill>
                  <pic:spPr>
                    <a:xfrm>
                      <a:off x="0" y="0"/>
                      <a:ext cx="3474720" cy="3474720"/>
                    </a:xfrm>
                    <a:prstGeom prst="rect"/>
                  </pic:spPr>
                </pic:pic>
              </a:graphicData>
            </a:graphic>
          </wp:inline>
        </w:drawing>
      </w:r>
    </w:p>
    <w:p>
      <w:pPr>
        <w:spacing w:after="200"/>
        <w:jc w:val="center"/>
      </w:pPr>
      <w:r>
        <w:rPr>
          <w:rFonts w:ascii="Arial" w:hAnsi="Arial"/>
          <w:i/>
          <w:color w:val="78716C"/>
          <w:sz w:val="18"/>
        </w:rPr>
        <w:t>Figure 4.1: SolarScan AI Diagnostic Scan Interface (Broken Panel Check)</w:t>
      </w:r>
    </w:p>
    <w:p>
      <w:pPr>
        <w:spacing w:before="160"/>
      </w:pPr>
    </w:p>
    <w:p>
      <w:pPr>
        <w:jc w:val="center"/>
      </w:pPr>
      <w:r>
        <w:drawing>
          <wp:inline xmlns:a="http://schemas.openxmlformats.org/drawingml/2006/main" xmlns:pic="http://schemas.openxmlformats.org/drawingml/2006/picture">
            <wp:extent cx="3474720" cy="3474720"/>
            <wp:docPr id="2" name="Picture 2"/>
            <wp:cNvGraphicFramePr>
              <a:graphicFrameLocks noChangeAspect="1"/>
            </wp:cNvGraphicFramePr>
            <a:graphic>
              <a:graphicData uri="http://schemas.openxmlformats.org/drawingml/2006/picture">
                <pic:pic>
                  <pic:nvPicPr>
                    <pic:cNvPr id="0" name="fig_app_hotspot_scan.png"/>
                    <pic:cNvPicPr/>
                  </pic:nvPicPr>
                  <pic:blipFill>
                    <a:blip r:embed="rId10"/>
                    <a:stretch>
                      <a:fillRect/>
                    </a:stretch>
                  </pic:blipFill>
                  <pic:spPr>
                    <a:xfrm>
                      <a:off x="0" y="0"/>
                      <a:ext cx="3474720" cy="3474720"/>
                    </a:xfrm>
                    <a:prstGeom prst="rect"/>
                  </pic:spPr>
                </pic:pic>
              </a:graphicData>
            </a:graphic>
          </wp:inline>
        </w:drawing>
      </w:r>
    </w:p>
    <w:p>
      <w:pPr>
        <w:spacing w:after="200"/>
        <w:jc w:val="center"/>
      </w:pPr>
      <w:r>
        <w:rPr>
          <w:rFonts w:ascii="Arial" w:hAnsi="Arial"/>
          <w:i/>
          <w:color w:val="78716C"/>
          <w:sz w:val="18"/>
        </w:rPr>
        <w:t>Figure 4.2: Thermal IR Hotspot Analysis &amp; Wattage Loss Calculation</w:t>
      </w:r>
    </w:p>
    <w:p>
      <w:pPr>
        <w:spacing w:before="160"/>
      </w:pPr>
    </w:p>
    <w:p>
      <w:pPr>
        <w:jc w:val="center"/>
      </w:pPr>
      <w:r>
        <w:drawing>
          <wp:inline xmlns:a="http://schemas.openxmlformats.org/drawingml/2006/main" xmlns:pic="http://schemas.openxmlformats.org/drawingml/2006/picture">
            <wp:extent cx="3474720" cy="3474720"/>
            <wp:docPr id="3" name="Picture 3"/>
            <wp:cNvGraphicFramePr>
              <a:graphicFrameLocks noChangeAspect="1"/>
            </wp:cNvGraphicFramePr>
            <a:graphic>
              <a:graphicData uri="http://schemas.openxmlformats.org/drawingml/2006/picture">
                <pic:pic>
                  <pic:nvPicPr>
                    <pic:cNvPr id="0" name="fig_app_soiling_scan.png"/>
                    <pic:cNvPicPr/>
                  </pic:nvPicPr>
                  <pic:blipFill>
                    <a:blip r:embed="rId11"/>
                    <a:stretch>
                      <a:fillRect/>
                    </a:stretch>
                  </pic:blipFill>
                  <pic:spPr>
                    <a:xfrm>
                      <a:off x="0" y="0"/>
                      <a:ext cx="3474720" cy="3474720"/>
                    </a:xfrm>
                    <a:prstGeom prst="rect"/>
                  </pic:spPr>
                </pic:pic>
              </a:graphicData>
            </a:graphic>
          </wp:inline>
        </w:drawing>
      </w:r>
    </w:p>
    <w:p>
      <w:pPr>
        <w:spacing w:after="200"/>
        <w:jc w:val="center"/>
      </w:pPr>
      <w:r>
        <w:rPr>
          <w:rFonts w:ascii="Arial" w:hAnsi="Arial"/>
          <w:i/>
          <w:color w:val="78716C"/>
          <w:sz w:val="18"/>
        </w:rPr>
        <w:t>Figure 4.3: Surface Soiling Scan and ROI Repair Cost Summary</w:t>
      </w:r>
    </w:p>
    <w:p>
      <w:pPr>
        <w:spacing w:before="160"/>
      </w:pPr>
    </w:p>
    <w:p>
      <w:pPr>
        <w:jc w:val="center"/>
      </w:pPr>
      <w:r>
        <w:drawing>
          <wp:inline xmlns:a="http://schemas.openxmlformats.org/drawingml/2006/main" xmlns:pic="http://schemas.openxmlformats.org/drawingml/2006/picture">
            <wp:extent cx="3474720" cy="3474720"/>
            <wp:docPr id="4" name="Picture 4"/>
            <wp:cNvGraphicFramePr>
              <a:graphicFrameLocks noChangeAspect="1"/>
            </wp:cNvGraphicFramePr>
            <a:graphic>
              <a:graphicData uri="http://schemas.openxmlformats.org/drawingml/2006/picture">
                <pic:pic>
                  <pic:nvPicPr>
                    <pic:cNvPr id="0" name="fig_app_healthy_scan.png"/>
                    <pic:cNvPicPr/>
                  </pic:nvPicPr>
                  <pic:blipFill>
                    <a:blip r:embed="rId12"/>
                    <a:stretch>
                      <a:fillRect/>
                    </a:stretch>
                  </pic:blipFill>
                  <pic:spPr>
                    <a:xfrm>
                      <a:off x="0" y="0"/>
                      <a:ext cx="3474720" cy="3474720"/>
                    </a:xfrm>
                    <a:prstGeom prst="rect"/>
                  </pic:spPr>
                </pic:pic>
              </a:graphicData>
            </a:graphic>
          </wp:inline>
        </w:drawing>
      </w:r>
    </w:p>
    <w:p>
      <w:pPr>
        <w:spacing w:after="200"/>
        <w:jc w:val="center"/>
      </w:pPr>
      <w:r>
        <w:rPr>
          <w:rFonts w:ascii="Arial" w:hAnsi="Arial"/>
          <w:i/>
          <w:color w:val="78716C"/>
          <w:sz w:val="18"/>
        </w:rPr>
        <w:t>Figure 4.4: Healthy Solar Panel Baseline Telemetry Check</w:t>
      </w:r>
    </w:p>
    <w:p>
      <w:pPr>
        <w:keepNext/>
        <w:spacing w:before="440" w:after="160"/>
        <w:pBrd>
          <w:bottom w:val="single" w:sz="18" w:space="6" w:color="D97706"/>
        </w:pBrd>
      </w:pPr>
      <w:r>
        <w:rPr>
          <w:rFonts w:ascii="Arial" w:hAnsi="Arial"/>
          <w:b/>
          <w:color w:val="1C1917"/>
          <w:sz w:val="28"/>
        </w:rPr>
        <w:t>CHAPTER 5: CONCLUSION AND RECOMMENDATIONS</w:t>
      </w:r>
    </w:p>
    <w:p>
      <w:pPr>
        <w:keepNext/>
        <w:spacing w:before="280" w:after="80"/>
      </w:pPr>
      <w:r>
        <w:rPr>
          <w:rFonts w:ascii="Arial" w:hAnsi="Arial"/>
          <w:b/>
          <w:color w:val="D97706"/>
          <w:sz w:val="22"/>
        </w:rPr>
        <w:t>5.1 Summary of Contributions</w:t>
      </w:r>
    </w:p>
    <w:p>
      <w:pPr>
        <w:spacing w:line="276" w:lineRule="auto" w:after="120"/>
      </w:pPr>
      <w:r>
        <w:rPr>
          <w:rFonts w:ascii="Arial" w:hAnsi="Arial"/>
          <w:i w:val="0"/>
          <w:color w:val="44403C"/>
          <w:sz w:val="20"/>
        </w:rPr>
        <w:t>SolarScan AI successfully bridges the gap between complex artificial intelligence and practical solar panel maintenance. By combining Google Cloud Vision API classification with a simple plain-English interface, field crews can diagnose panel faults in seconds.</w:t>
      </w:r>
    </w:p>
    <w:p>
      <w:pPr>
        <w:keepNext/>
        <w:spacing w:before="280" w:after="80"/>
      </w:pPr>
      <w:r>
        <w:rPr>
          <w:rFonts w:ascii="Arial" w:hAnsi="Arial"/>
          <w:b/>
          <w:color w:val="D97706"/>
          <w:sz w:val="22"/>
        </w:rPr>
        <w:t>5.2 Conclusion</w:t>
      </w:r>
    </w:p>
    <w:p>
      <w:pPr>
        <w:spacing w:line="276" w:lineRule="auto" w:after="120"/>
      </w:pPr>
      <w:r>
        <w:rPr>
          <w:rFonts w:ascii="Arial" w:hAnsi="Arial"/>
          <w:i w:val="0"/>
          <w:color w:val="44403C"/>
          <w:sz w:val="20"/>
        </w:rPr>
        <w:t>The project demonstrates that clean design and practical engineering trade-offs make AI tools accessible for local renewable energy technicians in Ghana and beyond.</w:t>
      </w:r>
    </w:p>
    <w:p>
      <w:pPr>
        <w:keepNext/>
        <w:spacing w:before="280" w:after="80"/>
      </w:pPr>
      <w:r>
        <w:rPr>
          <w:rFonts w:ascii="Arial" w:hAnsi="Arial"/>
          <w:b/>
          <w:color w:val="D97706"/>
          <w:sz w:val="22"/>
        </w:rPr>
        <w:t>5.3 Recommendations for Future Work</w:t>
      </w:r>
    </w:p>
    <w:p>
      <w:pPr>
        <w:spacing w:line="276" w:lineRule="auto" w:after="120"/>
      </w:pPr>
      <w:r>
        <w:rPr>
          <w:rFonts w:ascii="Arial" w:hAnsi="Arial"/>
          <w:i w:val="0"/>
          <w:color w:val="44403C"/>
          <w:sz w:val="20"/>
        </w:rPr>
        <w:t>1. In-browser client inference via TensorFlow.js for zero-network execution.</w:t>
        <w:br/>
        <w:t>2. Live drone video streaming using WebRTC for aerial inspections.</w:t>
        <w:br/>
        <w:t>3. Automatic GPS mapping of damaged panels on regional solar farm maps.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