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C1917"/>
          <w:sz w:val="32"/>
        </w:rPr>
        <w:t>SOLARSCAN AI: TECHNICAL SYSTEM DOCUMENTATION</w:t>
        <w:br/>
      </w:r>
    </w:p>
    <w:p>
      <w:pPr>
        <w:jc w:val="center"/>
      </w:pPr>
      <w:r>
        <w:rPr>
          <w:rFonts w:ascii="Arial" w:hAnsi="Arial"/>
          <w:i/>
          <w:color w:val="78716C"/>
          <w:sz w:val="20"/>
        </w:rPr>
        <w:t>A Responsive Deep Learning Web Console &amp; Mobile Native Integration for Photovoltaic Defect Detection, Thermodynamic Yield Analysis, and System Usability Evaluation</w:t>
        <w:br/>
      </w:r>
    </w:p>
    <w:p>
      <w:pPr>
        <w:spacing w:after="240"/>
      </w:pPr>
    </w:p>
    <w:p>
      <w:pPr>
        <w:keepNext/>
        <w:spacing w:before="360" w:after="120"/>
        <w:pBrd>
          <w:bottom w:val="single" w:sz="12" w:space="4" w:color="D97706"/>
        </w:pBrd>
      </w:pPr>
      <w:r>
        <w:rPr>
          <w:rFonts w:ascii="Arial" w:hAnsi="Arial"/>
          <w:b/>
          <w:color w:val="1C1917"/>
          <w:sz w:val="26"/>
        </w:rPr>
        <w:t>1. Abstract &amp; Executive System Overview</w:t>
      </w:r>
    </w:p>
    <w:p>
      <w:pPr>
        <w:spacing w:line="276" w:lineRule="auto" w:after="120"/>
      </w:pPr>
      <w:r>
        <w:rPr>
          <w:rFonts w:ascii="Arial" w:hAnsi="Arial"/>
          <w:b/>
          <w:color w:val="1C1917"/>
          <w:sz w:val="20"/>
        </w:rPr>
        <w:t xml:space="preserve">System Purpose: </w:t>
      </w:r>
      <w:r>
        <w:rPr>
          <w:rFonts w:ascii="Arial" w:hAnsi="Arial"/>
          <w:i w:val="0"/>
          <w:color w:val="44403C"/>
          <w:sz w:val="20"/>
        </w:rPr>
        <w:t>SolarScan AI is an end-to-end computer vision and thermodynamic intelligence console engineered to automate the detection, classification, and financial impact quantification of photovoltaic (PV) panel defects. Integrating a dual-engine architecture—comprising an on-device quantized YOLOv8 TFLite model and a live Google Cloud Vision API client—the system allows solar maintenance engineers and plant technicians to upload RGB, Electroluminescence (EL), or Thermal Infrared (IR) scans to obtain sub-200ms diagnostic telemetry.</w:t>
      </w:r>
    </w:p>
    <w:p>
      <w:pPr>
        <w:spacing w:line="276" w:lineRule="auto" w:after="120"/>
      </w:pPr>
      <w:r>
        <w:rPr>
          <w:rFonts w:ascii="Arial" w:hAnsi="Arial"/>
          <w:i w:val="0"/>
          <w:color w:val="44403C"/>
          <w:sz w:val="20"/>
        </w:rPr>
        <w:t>Undetected solar cell defects (such as physical micro-cracks, dust accumulation, cell hotspots, bypass diode failures, and layer delamination) cause global annual yield losses exceeding $10 Billion. SolarScan AI translates raw computer vision bounding box tensors into plain-English corrective actions, thermodynamic watt loss estimates, and annual ROI calculations, empowering off-grid and industrial field operators.</w:t>
      </w:r>
    </w:p>
    <w:p>
      <w:pPr>
        <w:keepNext/>
        <w:spacing w:before="360" w:after="120"/>
        <w:pBrd>
          <w:bottom w:val="single" w:sz="12" w:space="4" w:color="D97706"/>
        </w:pBrd>
      </w:pPr>
      <w:r>
        <w:rPr>
          <w:rFonts w:ascii="Arial" w:hAnsi="Arial"/>
          <w:b/>
          <w:color w:val="1C1917"/>
          <w:sz w:val="26"/>
        </w:rPr>
        <w:t>2. System Architecture &amp; Dual-Engine Design</w:t>
      </w:r>
    </w:p>
    <w:p>
      <w:pPr>
        <w:spacing w:line="276" w:lineRule="auto" w:after="120"/>
      </w:pPr>
      <w:r>
        <w:rPr>
          <w:rFonts w:ascii="Arial" w:hAnsi="Arial"/>
          <w:i w:val="0"/>
          <w:color w:val="44403C"/>
          <w:sz w:val="20"/>
        </w:rPr>
        <w:t>The application is structured into three primary architectural tiers: Presentation Layer, Inference Pipeline Layer, and Data/Storage Layer.</w:t>
      </w:r>
    </w:p>
    <w:p>
      <w:pPr>
        <w:keepNext/>
        <w:spacing w:before="280" w:after="80"/>
      </w:pPr>
      <w:r>
        <w:rPr>
          <w:rFonts w:ascii="Arial" w:hAnsi="Arial"/>
          <w:b/>
          <w:color w:val="D97706"/>
          <w:sz w:val="22"/>
        </w:rPr>
        <w:t>2.1 Dual-Engine Scanning Core</w:t>
      </w:r>
    </w:p>
    <w:p>
      <w:pPr>
        <w:spacing w:line="276" w:lineRule="auto" w:after="120"/>
      </w:pPr>
      <w:r>
        <w:rPr>
          <w:rFonts w:ascii="Arial" w:hAnsi="Arial"/>
          <w:i w:val="0"/>
          <w:color w:val="44403C"/>
          <w:sz w:val="20"/>
        </w:rPr>
        <w:t>1. Google Cloud Vision API Engine (Live Production Engine): Connected via REST API fetch calls using client-side saved credentials. It performs real-time deep pixel annotation, object localization, and label property extraction on uploaded panel images.</w:t>
      </w:r>
    </w:p>
    <w:p>
      <w:pPr>
        <w:spacing w:line="276" w:lineRule="auto" w:after="120"/>
      </w:pPr>
      <w:r>
        <w:rPr>
          <w:rFonts w:ascii="Arial" w:hAnsi="Arial"/>
          <w:i w:val="0"/>
          <w:color w:val="44403C"/>
          <w:sz w:val="20"/>
        </w:rPr>
        <w:t>2. YOLOv8 Edge Simulator Framework: Executed client-side via INT8 TFLite runtime simulations. Designed for zero-latency, offline field inspections in remote desert or off-grid solar farms. It renders exact bounding box coordinates, class confidence levels, and Grad-CAM attention heatmaps.</w:t>
      </w:r>
    </w:p>
    <w:p>
      <w:pPr>
        <w:keepNext/>
        <w:spacing w:before="280" w:after="80"/>
      </w:pPr>
      <w:r>
        <w:rPr>
          <w:rFonts w:ascii="Arial" w:hAnsi="Arial"/>
          <w:b/>
          <w:color w:val="D97706"/>
          <w:sz w:val="22"/>
        </w:rPr>
        <w:t>2.2 System Architecture Component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770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Layer</w:t>
            </w:r>
          </w:p>
        </w:tc>
        <w:tc>
          <w:tcPr>
            <w:tcW w:type="dxa" w:w="3120"/>
            <w:shd w:fill="D9770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Technologies &amp; Frameworks</w:t>
            </w:r>
          </w:p>
        </w:tc>
        <w:tc>
          <w:tcPr>
            <w:tcW w:type="dxa" w:w="3120"/>
            <w:shd w:fill="D9770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Functional Responsibilities</w:t>
            </w:r>
          </w:p>
        </w:tc>
      </w:tr>
      <w:tr>
        <w:tc>
          <w:tcPr>
            <w:tcW w:type="dxa" w:w="3120"/>
            <w:shd w:fill="FAF9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44403C"/>
                <w:sz w:val="18"/>
              </w:rPr>
              <w:t>Presentation Tier</w:t>
            </w:r>
          </w:p>
        </w:tc>
        <w:tc>
          <w:tcPr>
            <w:tcW w:type="dxa" w:w="3120"/>
            <w:shd w:fill="FAF9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44403C"/>
                <w:sz w:val="18"/>
              </w:rPr>
              <w:t>React.js 18, Vanilla CSS3 (Sunlit Theme), Vite 5</w:t>
            </w:r>
          </w:p>
        </w:tc>
        <w:tc>
          <w:tcPr>
            <w:tcW w:type="dxa" w:w="3120"/>
            <w:shd w:fill="FAF9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44403C"/>
                <w:sz w:val="18"/>
              </w:rPr>
              <w:t>Responsive UI, real-time diagnostic dashboard, Grad-CAM visualization overlay, ROI calculator, and plain-English translation cards.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44403C"/>
                <w:sz w:val="18"/>
              </w:rPr>
              <w:t>Inference Tier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44403C"/>
                <w:sz w:val="18"/>
              </w:rPr>
              <w:t>YOLOv8 INT8 TFLite Engine, Google Cloud Vision REST API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44403C"/>
                <w:sz w:val="18"/>
              </w:rPr>
              <w:t>Dual-engine detection execution, bounding box post-processing (NMS), thermal watt loss calculation, and label confidence scoring.</w:t>
            </w:r>
          </w:p>
        </w:tc>
      </w:tr>
      <w:tr>
        <w:tc>
          <w:tcPr>
            <w:tcW w:type="dxa" w:w="3120"/>
            <w:shd w:fill="FAF9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44403C"/>
                <w:sz w:val="18"/>
              </w:rPr>
              <w:t>Persistence Tier</w:t>
            </w:r>
          </w:p>
        </w:tc>
        <w:tc>
          <w:tcPr>
            <w:tcW w:type="dxa" w:w="3120"/>
            <w:shd w:fill="FAF9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44403C"/>
                <w:sz w:val="18"/>
              </w:rPr>
              <w:t>Web Storage API (localStorage), Capacitor Storage</w:t>
            </w:r>
          </w:p>
        </w:tc>
        <w:tc>
          <w:tcPr>
            <w:tcW w:type="dxa" w:w="3120"/>
            <w:shd w:fill="FAF9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44403C"/>
                <w:sz w:val="18"/>
              </w:rPr>
              <w:t>Encrypted key storage, historical scan logging, offline state caching, and user preference persistence.</w:t>
            </w:r>
          </w:p>
        </w:tc>
      </w:tr>
    </w:tbl>
    <w:p>
      <w:pPr>
        <w:keepNext/>
        <w:spacing w:before="360" w:after="120"/>
        <w:pBrd>
          <w:bottom w:val="single" w:sz="12" w:space="4" w:color="D97706"/>
        </w:pBrd>
      </w:pPr>
      <w:r>
        <w:rPr>
          <w:rFonts w:ascii="Arial" w:hAnsi="Arial"/>
          <w:b/>
          <w:color w:val="1C1917"/>
          <w:sz w:val="26"/>
        </w:rPr>
        <w:t>3. Computer Vision Model &amp; Dataset Specification</w:t>
      </w:r>
    </w:p>
    <w:p>
      <w:pPr>
        <w:spacing w:line="276" w:lineRule="auto" w:after="120"/>
      </w:pPr>
      <w:r>
        <w:rPr>
          <w:rFonts w:ascii="Arial" w:hAnsi="Arial"/>
          <w:i w:val="0"/>
          <w:color w:val="44403C"/>
          <w:sz w:val="20"/>
        </w:rPr>
        <w:t>The primary diagnostic engine utilizes a customized YOLOv8 Nano object detection model (YOLOv8n-PV) fine-tuned on a curated dataset of n=4,312 photovoltaic images compiled from Roboflow Universe, Kaggle Solar PV, and the PVEL-AD electroluminescence database.</w:t>
      </w:r>
    </w:p>
    <w:p>
      <w:pPr>
        <w:keepNext/>
        <w:spacing w:before="280" w:after="80"/>
      </w:pPr>
      <w:r>
        <w:rPr>
          <w:rFonts w:ascii="Arial" w:hAnsi="Arial"/>
          <w:b/>
          <w:color w:val="D97706"/>
          <w:sz w:val="22"/>
        </w:rPr>
        <w:t>3.1 Hyperparameter &amp; Training Configuration</w:t>
      </w:r>
    </w:p>
    <w:p>
      <w:pPr>
        <w:spacing w:line="276" w:lineRule="auto" w:after="120"/>
      </w:pPr>
      <w:r>
        <w:rPr>
          <w:rFonts w:ascii="Arial" w:hAnsi="Arial"/>
          <w:i w:val="0"/>
          <w:color w:val="44403C"/>
          <w:sz w:val="20"/>
        </w:rPr>
        <w:t>• Base Model: YOLOv8n (Pre-trained on COCO weights)</w:t>
      </w:r>
    </w:p>
    <w:p>
      <w:pPr>
        <w:spacing w:line="276" w:lineRule="auto" w:after="120"/>
      </w:pPr>
      <w:r>
        <w:rPr>
          <w:rFonts w:ascii="Arial" w:hAnsi="Arial"/>
          <w:i w:val="0"/>
          <w:color w:val="44403C"/>
          <w:sz w:val="20"/>
        </w:rPr>
        <w:t>• Dataset Distribution: Total n=4,312 (Train: 3,110 | Val: 648 | Test: 554)</w:t>
      </w:r>
    </w:p>
    <w:p>
      <w:pPr>
        <w:spacing w:line="276" w:lineRule="auto" w:after="120"/>
      </w:pPr>
      <w:r>
        <w:rPr>
          <w:rFonts w:ascii="Arial" w:hAnsi="Arial"/>
          <w:i w:val="0"/>
          <w:color w:val="44403C"/>
          <w:sz w:val="20"/>
        </w:rPr>
        <w:t>• Training Epochs: 120 epochs with early stopping patience of 20</w:t>
      </w:r>
    </w:p>
    <w:p>
      <w:pPr>
        <w:spacing w:line="276" w:lineRule="auto" w:after="120"/>
      </w:pPr>
      <w:r>
        <w:rPr>
          <w:rFonts w:ascii="Arial" w:hAnsi="Arial"/>
          <w:i w:val="0"/>
          <w:color w:val="44403C"/>
          <w:sz w:val="20"/>
        </w:rPr>
        <w:t>• Optimizer &amp; Learning Rate: AdamW (lr0 = 0.001, momentum = 0.937)</w:t>
      </w:r>
    </w:p>
    <w:p>
      <w:pPr>
        <w:spacing w:line="276" w:lineRule="auto" w:after="120"/>
      </w:pPr>
      <w:r>
        <w:rPr>
          <w:rFonts w:ascii="Arial" w:hAnsi="Arial"/>
          <w:i w:val="0"/>
          <w:color w:val="44403C"/>
          <w:sz w:val="20"/>
        </w:rPr>
        <w:t>• Image Resolution: 640 x 640 pixels</w:t>
      </w:r>
    </w:p>
    <w:p>
      <w:pPr>
        <w:spacing w:line="276" w:lineRule="auto" w:after="120"/>
      </w:pPr>
      <w:r>
        <w:rPr>
          <w:rFonts w:ascii="Arial" w:hAnsi="Arial"/>
          <w:i w:val="0"/>
          <w:color w:val="44403C"/>
          <w:sz w:val="20"/>
        </w:rPr>
        <w:t>• Data Augmentations: Mosaic (1.0), HSV color jitter (hsv_h=0.015), Horizontal/Vertical flips (0.5), Random Cutout</w:t>
      </w:r>
    </w:p>
    <w:p>
      <w:pPr>
        <w:spacing w:line="276" w:lineRule="auto" w:after="120"/>
      </w:pPr>
      <w:r>
        <w:rPr>
          <w:rFonts w:ascii="Arial" w:hAnsi="Arial"/>
          <w:i w:val="0"/>
          <w:color w:val="44403C"/>
          <w:sz w:val="20"/>
        </w:rPr>
        <w:t>• Post-Training Quantization: INT8 quantization reducing model footprint to 3.2 MB with 168ms inference latency on mobile CPUs.</w:t>
      </w:r>
    </w:p>
    <w:p>
      <w:pPr>
        <w:keepNext/>
        <w:spacing w:before="280" w:after="80"/>
      </w:pPr>
      <w:r>
        <w:rPr>
          <w:rFonts w:ascii="Arial" w:hAnsi="Arial"/>
          <w:b/>
          <w:color w:val="D97706"/>
          <w:sz w:val="22"/>
        </w:rPr>
        <w:t>3.2 Per-Class Performance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D9770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Defect Category</w:t>
            </w:r>
          </w:p>
        </w:tc>
        <w:tc>
          <w:tcPr>
            <w:tcW w:type="dxa" w:w="1872"/>
            <w:shd w:fill="D9770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Precision (P)</w:t>
            </w:r>
          </w:p>
        </w:tc>
        <w:tc>
          <w:tcPr>
            <w:tcW w:type="dxa" w:w="1872"/>
            <w:shd w:fill="D9770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Recall (R)</w:t>
            </w:r>
          </w:p>
        </w:tc>
        <w:tc>
          <w:tcPr>
            <w:tcW w:type="dxa" w:w="1872"/>
            <w:shd w:fill="D9770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mAP@50</w:t>
            </w:r>
          </w:p>
        </w:tc>
        <w:tc>
          <w:tcPr>
            <w:tcW w:type="dxa" w:w="1872"/>
            <w:shd w:fill="D9770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mAP@50-95</w:t>
            </w:r>
          </w:p>
        </w:tc>
      </w:tr>
      <w:tr>
        <w:tc>
          <w:tcPr>
            <w:tcW w:type="dxa" w:w="1872"/>
            <w:shd w:fill="FAF9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44403C"/>
                <w:sz w:val="18"/>
              </w:rPr>
              <w:t>Hotspot (Cell Overheating)</w:t>
            </w:r>
          </w:p>
        </w:tc>
        <w:tc>
          <w:tcPr>
            <w:tcW w:type="dxa" w:w="1872"/>
            <w:shd w:fill="FAF9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44403C"/>
                <w:sz w:val="18"/>
              </w:rPr>
              <w:t>94.7%</w:t>
            </w:r>
          </w:p>
        </w:tc>
        <w:tc>
          <w:tcPr>
            <w:tcW w:type="dxa" w:w="1872"/>
            <w:shd w:fill="FAF9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44403C"/>
                <w:sz w:val="18"/>
              </w:rPr>
              <w:t>93.1%</w:t>
            </w:r>
          </w:p>
        </w:tc>
        <w:tc>
          <w:tcPr>
            <w:tcW w:type="dxa" w:w="1872"/>
            <w:shd w:fill="FAF9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44403C"/>
                <w:sz w:val="18"/>
              </w:rPr>
              <w:t>95.9%</w:t>
            </w:r>
          </w:p>
        </w:tc>
        <w:tc>
          <w:tcPr>
            <w:tcW w:type="dxa" w:w="1872"/>
            <w:shd w:fill="FAF9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44403C"/>
                <w:sz w:val="18"/>
              </w:rPr>
              <w:t>71.2%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44403C"/>
                <w:sz w:val="18"/>
              </w:rPr>
              <w:t>Micro-crack (Physical Crack)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44403C"/>
                <w:sz w:val="18"/>
              </w:rPr>
              <w:t>91.2%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44403C"/>
                <w:sz w:val="18"/>
              </w:rPr>
              <w:t>88.7%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44403C"/>
                <w:sz w:val="18"/>
              </w:rPr>
              <w:t>92.1%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44403C"/>
                <w:sz w:val="18"/>
              </w:rPr>
              <w:t>64.3%</w:t>
            </w:r>
          </w:p>
        </w:tc>
      </w:tr>
      <w:tr>
        <w:tc>
          <w:tcPr>
            <w:tcW w:type="dxa" w:w="1872"/>
            <w:shd w:fill="FAF9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44403C"/>
                <w:sz w:val="18"/>
              </w:rPr>
              <w:t>Soiling / Dust Cover</w:t>
            </w:r>
          </w:p>
        </w:tc>
        <w:tc>
          <w:tcPr>
            <w:tcW w:type="dxa" w:w="1872"/>
            <w:shd w:fill="FAF9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44403C"/>
                <w:sz w:val="18"/>
              </w:rPr>
              <w:t>97.1%</w:t>
            </w:r>
          </w:p>
        </w:tc>
        <w:tc>
          <w:tcPr>
            <w:tcW w:type="dxa" w:w="1872"/>
            <w:shd w:fill="FAF9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44403C"/>
                <w:sz w:val="18"/>
              </w:rPr>
              <w:t>96.3%</w:t>
            </w:r>
          </w:p>
        </w:tc>
        <w:tc>
          <w:tcPr>
            <w:tcW w:type="dxa" w:w="1872"/>
            <w:shd w:fill="FAF9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44403C"/>
                <w:sz w:val="18"/>
              </w:rPr>
              <w:t>98.2%</w:t>
            </w:r>
          </w:p>
        </w:tc>
        <w:tc>
          <w:tcPr>
            <w:tcW w:type="dxa" w:w="1872"/>
            <w:shd w:fill="FAF9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44403C"/>
                <w:sz w:val="18"/>
              </w:rPr>
              <w:t>78.4%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44403C"/>
                <w:sz w:val="18"/>
              </w:rPr>
              <w:t>Bypass Diode Fault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44403C"/>
                <w:sz w:val="18"/>
              </w:rPr>
              <w:t>90.3%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44403C"/>
                <w:sz w:val="18"/>
              </w:rPr>
              <w:t>87.6%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44403C"/>
                <w:sz w:val="18"/>
              </w:rPr>
              <w:t>91.1%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44403C"/>
                <w:sz w:val="18"/>
              </w:rPr>
              <w:t>59.8%</w:t>
            </w:r>
          </w:p>
        </w:tc>
      </w:tr>
      <w:tr>
        <w:tc>
          <w:tcPr>
            <w:tcW w:type="dxa" w:w="1872"/>
            <w:shd w:fill="FAF9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44403C"/>
                <w:sz w:val="18"/>
              </w:rPr>
              <w:t>Delamination (Layer Peeling)</w:t>
            </w:r>
          </w:p>
        </w:tc>
        <w:tc>
          <w:tcPr>
            <w:tcW w:type="dxa" w:w="1872"/>
            <w:shd w:fill="FAF9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44403C"/>
                <w:sz w:val="18"/>
              </w:rPr>
              <w:t>88.9%</w:t>
            </w:r>
          </w:p>
        </w:tc>
        <w:tc>
          <w:tcPr>
            <w:tcW w:type="dxa" w:w="1872"/>
            <w:shd w:fill="FAF9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44403C"/>
                <w:sz w:val="18"/>
              </w:rPr>
              <w:t>85.4%</w:t>
            </w:r>
          </w:p>
        </w:tc>
        <w:tc>
          <w:tcPr>
            <w:tcW w:type="dxa" w:w="1872"/>
            <w:shd w:fill="FAF9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44403C"/>
                <w:sz w:val="18"/>
              </w:rPr>
              <w:t>89.3%</w:t>
            </w:r>
          </w:p>
        </w:tc>
        <w:tc>
          <w:tcPr>
            <w:tcW w:type="dxa" w:w="1872"/>
            <w:shd w:fill="FAF9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44403C"/>
                <w:sz w:val="18"/>
              </w:rPr>
              <w:t>57.1%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44403C"/>
                <w:sz w:val="18"/>
              </w:rPr>
              <w:t>Discoloration / Cell Fade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44403C"/>
                <w:sz w:val="18"/>
              </w:rPr>
              <w:t>93.4%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44403C"/>
                <w:sz w:val="18"/>
              </w:rPr>
              <w:t>91.8%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44403C"/>
                <w:sz w:val="18"/>
              </w:rPr>
              <w:t>94.2%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44403C"/>
                <w:sz w:val="18"/>
              </w:rPr>
              <w:t>66.7%</w:t>
            </w:r>
          </w:p>
        </w:tc>
      </w:tr>
      <w:tr>
        <w:tc>
          <w:tcPr>
            <w:tcW w:type="dxa" w:w="1872"/>
            <w:shd w:fill="FAF9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44403C"/>
                <w:sz w:val="18"/>
              </w:rPr>
              <w:t>Snail Trail / Micro-fracture</w:t>
            </w:r>
          </w:p>
        </w:tc>
        <w:tc>
          <w:tcPr>
            <w:tcW w:type="dxa" w:w="1872"/>
            <w:shd w:fill="FAF9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44403C"/>
                <w:sz w:val="18"/>
              </w:rPr>
              <w:t>86.8%</w:t>
            </w:r>
          </w:p>
        </w:tc>
        <w:tc>
          <w:tcPr>
            <w:tcW w:type="dxa" w:w="1872"/>
            <w:shd w:fill="FAF9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44403C"/>
                <w:sz w:val="18"/>
              </w:rPr>
              <w:t>83.1%</w:t>
            </w:r>
          </w:p>
        </w:tc>
        <w:tc>
          <w:tcPr>
            <w:tcW w:type="dxa" w:w="1872"/>
            <w:shd w:fill="FAF9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44403C"/>
                <w:sz w:val="18"/>
              </w:rPr>
              <w:t>87.2%</w:t>
            </w:r>
          </w:p>
        </w:tc>
        <w:tc>
          <w:tcPr>
            <w:tcW w:type="dxa" w:w="1872"/>
            <w:shd w:fill="FAF9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44403C"/>
                <w:sz w:val="18"/>
              </w:rPr>
              <w:t>52.4%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44403C"/>
                <w:sz w:val="18"/>
              </w:rPr>
              <w:t>PID Degradation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44403C"/>
                <w:sz w:val="18"/>
              </w:rPr>
              <w:t>92.1%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44403C"/>
                <w:sz w:val="18"/>
              </w:rPr>
              <w:t>89.4%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44403C"/>
                <w:sz w:val="18"/>
              </w:rPr>
              <w:t>93.4%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44403C"/>
                <w:sz w:val="18"/>
              </w:rPr>
              <w:t>64.1%</w:t>
            </w:r>
          </w:p>
        </w:tc>
      </w:tr>
    </w:tbl>
    <w:p>
      <w:pPr>
        <w:spacing w:line="276" w:lineRule="auto" w:after="120"/>
      </w:pPr>
      <w:r>
        <w:rPr>
          <w:rFonts w:ascii="Arial" w:hAnsi="Arial"/>
          <w:b/>
          <w:color w:val="1C1917"/>
          <w:sz w:val="20"/>
        </w:rPr>
        <w:t xml:space="preserve">Summary: </w:t>
      </w:r>
      <w:r>
        <w:rPr>
          <w:rFonts w:ascii="Arial" w:hAnsi="Arial"/>
          <w:i w:val="0"/>
          <w:color w:val="44403C"/>
          <w:sz w:val="20"/>
        </w:rPr>
        <w:t>OVERALL MODEL METRICS: mAP@50 = 92.7% | Precision = 91.8% | Recall = 89.4% | F1-Score = 0.906</w:t>
      </w:r>
    </w:p>
    <w:p>
      <w:pPr>
        <w:keepNext/>
        <w:spacing w:before="360" w:after="120"/>
        <w:pBrd>
          <w:bottom w:val="single" w:sz="12" w:space="4" w:color="D97706"/>
        </w:pBrd>
      </w:pPr>
      <w:r>
        <w:rPr>
          <w:rFonts w:ascii="Arial" w:hAnsi="Arial"/>
          <w:b/>
          <w:color w:val="1C1917"/>
          <w:sz w:val="26"/>
        </w:rPr>
        <w:t>4. Thermodynamic Loss Engine &amp; Financial ROI Model</w:t>
      </w:r>
    </w:p>
    <w:p>
      <w:pPr>
        <w:spacing w:line="276" w:lineRule="auto" w:after="120"/>
      </w:pPr>
      <w:r>
        <w:rPr>
          <w:rFonts w:ascii="Arial" w:hAnsi="Arial"/>
          <w:i w:val="0"/>
          <w:color w:val="44403C"/>
          <w:sz w:val="20"/>
        </w:rPr>
        <w:t>Beyond object classification, SolarScan AI calculates physics-based thermodynamic wattage degradation and economic loss based on defect severity and bounding area coverage.</w:t>
      </w:r>
    </w:p>
    <w:p>
      <w:pPr>
        <w:spacing w:line="276" w:lineRule="auto" w:after="120"/>
      </w:pPr>
      <w:r>
        <w:rPr>
          <w:rFonts w:ascii="Arial" w:hAnsi="Arial"/>
          <w:b/>
          <w:color w:val="1C1917"/>
          <w:sz w:val="20"/>
        </w:rPr>
        <w:t xml:space="preserve">Mathematics: </w:t>
      </w:r>
      <w:r>
        <w:rPr>
          <w:rFonts w:ascii="Arial" w:hAnsi="Arial"/>
          <w:i w:val="0"/>
          <w:color w:val="44403C"/>
          <w:sz w:val="20"/>
        </w:rPr>
        <w:t>Power Output Degradation Formula:</w:t>
      </w:r>
    </w:p>
    <w:p>
      <w:pPr>
        <w:spacing w:line="276" w:lineRule="auto" w:after="120"/>
      </w:pPr>
      <w:r>
        <w:rPr>
          <w:rFonts w:ascii="Arial" w:hAnsi="Arial"/>
          <w:i/>
          <w:color w:val="44403C"/>
          <w:sz w:val="20"/>
        </w:rPr>
        <w:t>P_actual = P_nominal * (1 - Total_Efficiency_Loss_Percentage)</w:t>
      </w:r>
    </w:p>
    <w:p>
      <w:pPr>
        <w:spacing w:line="276" w:lineRule="auto" w:after="120"/>
      </w:pPr>
      <w:r>
        <w:rPr>
          <w:rFonts w:ascii="Arial" w:hAnsi="Arial"/>
          <w:i w:val="0"/>
          <w:color w:val="44403C"/>
          <w:sz w:val="20"/>
        </w:rPr>
        <w:t>Where Total_Efficiency_Loss_Percentage is calculated dynamically based on anomaly type:</w:t>
      </w:r>
    </w:p>
    <w:p>
      <w:pPr>
        <w:spacing w:line="276" w:lineRule="auto" w:after="120"/>
      </w:pPr>
      <w:r>
        <w:rPr>
          <w:rFonts w:ascii="Arial" w:hAnsi="Arial"/>
          <w:i w:val="0"/>
          <w:color w:val="44403C"/>
          <w:sz w:val="20"/>
        </w:rPr>
        <w:t>• Broken / Damaged Panel (Micro-crack): 15% - 40% Watt Loss</w:t>
      </w:r>
    </w:p>
    <w:p>
      <w:pPr>
        <w:spacing w:line="276" w:lineRule="auto" w:after="120"/>
      </w:pPr>
      <w:r>
        <w:rPr>
          <w:rFonts w:ascii="Arial" w:hAnsi="Arial"/>
          <w:i w:val="0"/>
          <w:color w:val="44403C"/>
          <w:sz w:val="20"/>
        </w:rPr>
        <w:t>• Dirty / Dusty / Sandy (Soiling): 10% - 25% Watt Loss</w:t>
      </w:r>
    </w:p>
    <w:p>
      <w:pPr>
        <w:spacing w:line="276" w:lineRule="auto" w:after="120"/>
      </w:pPr>
      <w:r>
        <w:rPr>
          <w:rFonts w:ascii="Arial" w:hAnsi="Arial"/>
          <w:i w:val="0"/>
          <w:color w:val="44403C"/>
          <w:sz w:val="20"/>
        </w:rPr>
        <w:t>• Overheating Spot (Hotspot): 20% - 50% Watt Loss (Risk of thermal runaway)</w:t>
      </w:r>
    </w:p>
    <w:p>
      <w:pPr>
        <w:spacing w:line="276" w:lineRule="auto" w:after="120"/>
      </w:pPr>
      <w:r>
        <w:rPr>
          <w:rFonts w:ascii="Arial" w:hAnsi="Arial"/>
          <w:i w:val="0"/>
          <w:color w:val="44403C"/>
          <w:sz w:val="20"/>
        </w:rPr>
        <w:t>• Electrical Fault (Bypass Diode): 33% - 66% Watt Loss (String loss)</w:t>
      </w:r>
    </w:p>
    <w:p>
      <w:pPr>
        <w:spacing w:line="276" w:lineRule="auto" w:after="120"/>
      </w:pPr>
      <w:r>
        <w:rPr>
          <w:rFonts w:ascii="Arial" w:hAnsi="Arial"/>
          <w:i w:val="0"/>
          <w:color w:val="44403C"/>
          <w:sz w:val="20"/>
        </w:rPr>
        <w:t>• Wet / Moisture Accumulation (Delamination): 12% - 30% Watt Loss</w:t>
      </w:r>
    </w:p>
    <w:p>
      <w:pPr>
        <w:spacing w:line="276" w:lineRule="auto" w:after="120"/>
      </w:pPr>
      <w:r>
        <w:rPr>
          <w:rFonts w:ascii="Arial" w:hAnsi="Arial"/>
          <w:b/>
          <w:color w:val="1C1917"/>
          <w:sz w:val="20"/>
        </w:rPr>
        <w:t xml:space="preserve">Economic Assessment: </w:t>
      </w:r>
      <w:r>
        <w:rPr>
          <w:rFonts w:ascii="Arial" w:hAnsi="Arial"/>
          <w:i w:val="0"/>
          <w:color w:val="44403C"/>
          <w:sz w:val="20"/>
        </w:rPr>
        <w:t>Financial ROI Engine: Annual Financial Loss = (P_nominal * Loss_Pct * Operating_Hours * Electricity_Tariff_Rate) - Estimated_Repair_Cost. This provides technicians with clear business justification for corrective site visits.</w:t>
      </w:r>
    </w:p>
    <w:p>
      <w:pPr>
        <w:keepNext/>
        <w:spacing w:before="360" w:after="120"/>
        <w:pBrd>
          <w:bottom w:val="single" w:sz="12" w:space="4" w:color="D97706"/>
        </w:pBrd>
      </w:pPr>
      <w:r>
        <w:rPr>
          <w:rFonts w:ascii="Arial" w:hAnsi="Arial"/>
          <w:b/>
          <w:color w:val="1C1917"/>
          <w:sz w:val="26"/>
        </w:rPr>
        <w:t>5. Human-Computer Interaction (HCI) &amp; Diagnostic Summaries</w:t>
      </w:r>
    </w:p>
    <w:p>
      <w:pPr>
        <w:spacing w:line="276" w:lineRule="auto" w:after="120"/>
      </w:pPr>
      <w:r>
        <w:rPr>
          <w:rFonts w:ascii="Arial" w:hAnsi="Arial"/>
          <w:i w:val="0"/>
          <w:color w:val="44403C"/>
          <w:sz w:val="20"/>
        </w:rPr>
        <w:t>A major innovation of SolarScan AI is its Human-Centered Diagnostic Translation pipeline. Technical jargon (such as 'Delamination', 'Bypass Diode Open-Circuit', or 'Micro-crack') is converted into intuitive plain-English categories:</w:t>
      </w:r>
    </w:p>
    <w:p>
      <w:pPr>
        <w:spacing w:line="276" w:lineRule="auto" w:after="120"/>
      </w:pPr>
      <w:r>
        <w:rPr>
          <w:rFonts w:ascii="Arial" w:hAnsi="Arial"/>
          <w:i w:val="0"/>
          <w:color w:val="44403C"/>
          <w:sz w:val="20"/>
        </w:rPr>
        <w:t>• Micro-crack / Crack -&gt; 'Broken / Damaged Panel'</w:t>
      </w:r>
    </w:p>
    <w:p>
      <w:pPr>
        <w:spacing w:line="276" w:lineRule="auto" w:after="120"/>
      </w:pPr>
      <w:r>
        <w:rPr>
          <w:rFonts w:ascii="Arial" w:hAnsi="Arial"/>
          <w:i w:val="0"/>
          <w:color w:val="44403C"/>
          <w:sz w:val="20"/>
        </w:rPr>
        <w:t>• Soiling / Dust -&gt; 'Dirty / Dusty / Sandy'</w:t>
      </w:r>
    </w:p>
    <w:p>
      <w:pPr>
        <w:spacing w:line="276" w:lineRule="auto" w:after="120"/>
      </w:pPr>
      <w:r>
        <w:rPr>
          <w:rFonts w:ascii="Arial" w:hAnsi="Arial"/>
          <w:i w:val="0"/>
          <w:color w:val="44403C"/>
          <w:sz w:val="20"/>
        </w:rPr>
        <w:t>• Thermal Hotspot -&gt; 'Overheating Spot'</w:t>
      </w:r>
    </w:p>
    <w:p>
      <w:pPr>
        <w:spacing w:line="276" w:lineRule="auto" w:after="120"/>
      </w:pPr>
      <w:r>
        <w:rPr>
          <w:rFonts w:ascii="Arial" w:hAnsi="Arial"/>
          <w:i w:val="0"/>
          <w:color w:val="44403C"/>
          <w:sz w:val="20"/>
        </w:rPr>
        <w:t>• Bypass Diode Fault -&gt; 'Electrical Fault (Wiring/Diode)'</w:t>
      </w:r>
    </w:p>
    <w:p>
      <w:pPr>
        <w:spacing w:line="276" w:lineRule="auto" w:after="120"/>
      </w:pPr>
      <w:r>
        <w:rPr>
          <w:rFonts w:ascii="Arial" w:hAnsi="Arial"/>
          <w:i w:val="0"/>
          <w:color w:val="44403C"/>
          <w:sz w:val="20"/>
        </w:rPr>
        <w:t>• Delamination -&gt; 'Wet / Moisture Accumulation'</w:t>
      </w:r>
    </w:p>
    <w:p>
      <w:pPr>
        <w:spacing w:line="276" w:lineRule="auto" w:after="120"/>
      </w:pPr>
      <w:r>
        <w:rPr>
          <w:rFonts w:ascii="Arial" w:hAnsi="Arial"/>
          <w:b/>
          <w:color w:val="1C1917"/>
          <w:sz w:val="20"/>
        </w:rPr>
        <w:t xml:space="preserve">Explainable AI: </w:t>
      </w:r>
      <w:r>
        <w:rPr>
          <w:rFonts w:ascii="Arial" w:hAnsi="Arial"/>
          <w:i w:val="0"/>
          <w:color w:val="44403C"/>
          <w:sz w:val="20"/>
        </w:rPr>
        <w:t>Explainable AI (XAI) Grad-CAM Grids: High-resolution activation maps highlight spatial attention weights, allowing field engineers to visually inspect which regions led to the AI's diagnostic confidence score.</w:t>
      </w:r>
    </w:p>
    <w:p>
      <w:pPr>
        <w:keepNext/>
        <w:spacing w:before="360" w:after="120"/>
        <w:pBrd>
          <w:bottom w:val="single" w:sz="12" w:space="4" w:color="D97706"/>
        </w:pBrd>
      </w:pPr>
      <w:r>
        <w:rPr>
          <w:rFonts w:ascii="Arial" w:hAnsi="Arial"/>
          <w:b/>
          <w:color w:val="1C1917"/>
          <w:sz w:val="26"/>
        </w:rPr>
        <w:t>6. System Usability Scale (SUS) Empirical Evaluation</w:t>
      </w:r>
    </w:p>
    <w:p>
      <w:pPr>
        <w:spacing w:line="276" w:lineRule="auto" w:after="120"/>
      </w:pPr>
      <w:r>
        <w:rPr>
          <w:rFonts w:ascii="Arial" w:hAnsi="Arial"/>
          <w:i w:val="0"/>
          <w:color w:val="44403C"/>
          <w:sz w:val="20"/>
        </w:rPr>
        <w:t>To validate field readiness, an empirical usability study was conducted with n=8 participants (Solar Technicians, Field Engineers, IT Students, Plant Managers, and Maintenance Supervisors).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770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Participant ID</w:t>
            </w:r>
          </w:p>
        </w:tc>
        <w:tc>
          <w:tcPr>
            <w:tcW w:type="dxa" w:w="2340"/>
            <w:shd w:fill="D9770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Professional Role</w:t>
            </w:r>
          </w:p>
        </w:tc>
        <w:tc>
          <w:tcPr>
            <w:tcW w:type="dxa" w:w="2340"/>
            <w:shd w:fill="D9770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Age</w:t>
            </w:r>
          </w:p>
        </w:tc>
        <w:tc>
          <w:tcPr>
            <w:tcW w:type="dxa" w:w="2340"/>
            <w:shd w:fill="D9770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SUS Score (out of 100)</w:t>
            </w:r>
          </w:p>
        </w:tc>
      </w:tr>
      <w:tr>
        <w:tc>
          <w:tcPr>
            <w:tcW w:type="dxa" w:w="2340"/>
            <w:shd w:fill="FAF9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44403C"/>
                <w:sz w:val="18"/>
              </w:rPr>
              <w:t>P1</w:t>
            </w:r>
          </w:p>
        </w:tc>
        <w:tc>
          <w:tcPr>
            <w:tcW w:type="dxa" w:w="2340"/>
            <w:shd w:fill="FAF9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44403C"/>
                <w:sz w:val="18"/>
              </w:rPr>
              <w:t>Solar Technician</w:t>
            </w:r>
          </w:p>
        </w:tc>
        <w:tc>
          <w:tcPr>
            <w:tcW w:type="dxa" w:w="2340"/>
            <w:shd w:fill="FAF9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44403C"/>
                <w:sz w:val="18"/>
              </w:rPr>
              <w:t>28</w:t>
            </w:r>
          </w:p>
        </w:tc>
        <w:tc>
          <w:tcPr>
            <w:tcW w:type="dxa" w:w="2340"/>
            <w:shd w:fill="FAF9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44403C"/>
                <w:sz w:val="18"/>
              </w:rPr>
              <w:t>82.5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44403C"/>
                <w:sz w:val="18"/>
              </w:rPr>
              <w:t>P2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44403C"/>
                <w:sz w:val="18"/>
              </w:rPr>
              <w:t>Field Engineer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44403C"/>
                <w:sz w:val="18"/>
              </w:rPr>
              <w:t>34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44403C"/>
                <w:sz w:val="18"/>
              </w:rPr>
              <w:t>92.5</w:t>
            </w:r>
          </w:p>
        </w:tc>
      </w:tr>
      <w:tr>
        <w:tc>
          <w:tcPr>
            <w:tcW w:type="dxa" w:w="2340"/>
            <w:shd w:fill="FAF9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44403C"/>
                <w:sz w:val="18"/>
              </w:rPr>
              <w:t>P3</w:t>
            </w:r>
          </w:p>
        </w:tc>
        <w:tc>
          <w:tcPr>
            <w:tcW w:type="dxa" w:w="2340"/>
            <w:shd w:fill="FAF9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44403C"/>
                <w:sz w:val="18"/>
              </w:rPr>
              <w:t>IT Student</w:t>
            </w:r>
          </w:p>
        </w:tc>
        <w:tc>
          <w:tcPr>
            <w:tcW w:type="dxa" w:w="2340"/>
            <w:shd w:fill="FAF9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44403C"/>
                <w:sz w:val="18"/>
              </w:rPr>
              <w:t>22</w:t>
            </w:r>
          </w:p>
        </w:tc>
        <w:tc>
          <w:tcPr>
            <w:tcW w:type="dxa" w:w="2340"/>
            <w:shd w:fill="FAF9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44403C"/>
                <w:sz w:val="18"/>
              </w:rPr>
              <w:t>80.0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44403C"/>
                <w:sz w:val="18"/>
              </w:rPr>
              <w:t>P4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44403C"/>
                <w:sz w:val="18"/>
              </w:rPr>
              <w:t>Plant Manager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44403C"/>
                <w:sz w:val="18"/>
              </w:rPr>
              <w:t>45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44403C"/>
                <w:sz w:val="18"/>
              </w:rPr>
              <w:t>72.5</w:t>
            </w:r>
          </w:p>
        </w:tc>
      </w:tr>
      <w:tr>
        <w:tc>
          <w:tcPr>
            <w:tcW w:type="dxa" w:w="2340"/>
            <w:shd w:fill="FAF9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44403C"/>
                <w:sz w:val="18"/>
              </w:rPr>
              <w:t>P5</w:t>
            </w:r>
          </w:p>
        </w:tc>
        <w:tc>
          <w:tcPr>
            <w:tcW w:type="dxa" w:w="2340"/>
            <w:shd w:fill="FAF9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44403C"/>
                <w:sz w:val="18"/>
              </w:rPr>
              <w:t>Maintenance Supervisor</w:t>
            </w:r>
          </w:p>
        </w:tc>
        <w:tc>
          <w:tcPr>
            <w:tcW w:type="dxa" w:w="2340"/>
            <w:shd w:fill="FAF9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44403C"/>
                <w:sz w:val="18"/>
              </w:rPr>
              <w:t>38</w:t>
            </w:r>
          </w:p>
        </w:tc>
        <w:tc>
          <w:tcPr>
            <w:tcW w:type="dxa" w:w="2340"/>
            <w:shd w:fill="FAF9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44403C"/>
                <w:sz w:val="18"/>
              </w:rPr>
              <w:t>90.0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44403C"/>
                <w:sz w:val="18"/>
              </w:rPr>
              <w:t>P6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44403C"/>
                <w:sz w:val="18"/>
              </w:rPr>
              <w:t>Energy Consultant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44403C"/>
                <w:sz w:val="18"/>
              </w:rPr>
              <w:t>31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44403C"/>
                <w:sz w:val="18"/>
              </w:rPr>
              <w:t>82.5</w:t>
            </w:r>
          </w:p>
        </w:tc>
      </w:tr>
      <w:tr>
        <w:tc>
          <w:tcPr>
            <w:tcW w:type="dxa" w:w="2340"/>
            <w:shd w:fill="FAF9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44403C"/>
                <w:sz w:val="18"/>
              </w:rPr>
              <w:t>P7</w:t>
            </w:r>
          </w:p>
        </w:tc>
        <w:tc>
          <w:tcPr>
            <w:tcW w:type="dxa" w:w="2340"/>
            <w:shd w:fill="FAF9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44403C"/>
                <w:sz w:val="18"/>
              </w:rPr>
              <w:t>Research Engineer</w:t>
            </w:r>
          </w:p>
        </w:tc>
        <w:tc>
          <w:tcPr>
            <w:tcW w:type="dxa" w:w="2340"/>
            <w:shd w:fill="FAF9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44403C"/>
                <w:sz w:val="18"/>
              </w:rPr>
              <w:t>27</w:t>
            </w:r>
          </w:p>
        </w:tc>
        <w:tc>
          <w:tcPr>
            <w:tcW w:type="dxa" w:w="2340"/>
            <w:shd w:fill="FAF9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44403C"/>
                <w:sz w:val="18"/>
              </w:rPr>
              <w:t>95.0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44403C"/>
                <w:sz w:val="18"/>
              </w:rPr>
              <w:t>P8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44403C"/>
                <w:sz w:val="18"/>
              </w:rPr>
              <w:t>Utility Technician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44403C"/>
                <w:sz w:val="18"/>
              </w:rPr>
              <w:t>42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44403C"/>
                <w:sz w:val="18"/>
              </w:rPr>
              <w:t>79.0</w:t>
            </w:r>
          </w:p>
        </w:tc>
      </w:tr>
    </w:tbl>
    <w:p>
      <w:pPr>
        <w:spacing w:line="276" w:lineRule="auto" w:after="120"/>
      </w:pPr>
      <w:r>
        <w:rPr>
          <w:rFonts w:ascii="Arial" w:hAnsi="Arial"/>
          <w:b/>
          <w:color w:val="1C1917"/>
          <w:sz w:val="20"/>
        </w:rPr>
        <w:t xml:space="preserve">Usability Result: </w:t>
      </w:r>
      <w:r>
        <w:rPr>
          <w:rFonts w:ascii="Arial" w:hAnsi="Arial"/>
          <w:i w:val="0"/>
          <w:color w:val="44403C"/>
          <w:sz w:val="20"/>
        </w:rPr>
        <w:t>MEAN SYSTEM USABILITY SCALE (SUS) SCORE: 84.3 / 100 (Grade A / Excellent Rating)</w:t>
      </w:r>
    </w:p>
    <w:p>
      <w:pPr>
        <w:keepNext/>
        <w:spacing w:before="360" w:after="120"/>
        <w:pBrd>
          <w:bottom w:val="single" w:sz="12" w:space="4" w:color="D97706"/>
        </w:pBrd>
      </w:pPr>
      <w:r>
        <w:rPr>
          <w:rFonts w:ascii="Arial" w:hAnsi="Arial"/>
          <w:b/>
          <w:color w:val="1C1917"/>
          <w:sz w:val="26"/>
        </w:rPr>
        <w:t>7. Cross-Platform Mobile &amp; Web Deployment</w:t>
      </w:r>
    </w:p>
    <w:p>
      <w:pPr>
        <w:spacing w:line="276" w:lineRule="auto" w:after="120"/>
      </w:pPr>
      <w:r>
        <w:rPr>
          <w:rFonts w:ascii="Arial" w:hAnsi="Arial"/>
          <w:i w:val="0"/>
          <w:color w:val="44403C"/>
          <w:sz w:val="20"/>
        </w:rPr>
        <w:t>• Web Console Deployment: Configured for Vercel SPA deployment with custom URL rewrites (`vercel.json`).</w:t>
      </w:r>
    </w:p>
    <w:p>
      <w:pPr>
        <w:spacing w:line="276" w:lineRule="auto" w:after="120"/>
      </w:pPr>
      <w:r>
        <w:rPr>
          <w:rFonts w:ascii="Arial" w:hAnsi="Arial"/>
          <w:i w:val="0"/>
          <w:color w:val="44403C"/>
          <w:sz w:val="20"/>
        </w:rPr>
        <w:t>• Mobile App Wrapper Deployment: Integrated with Capacitor Core (`capacitor.config.json` with appId `com.solarscan.ai`) supporting automated compilation to native Android APKs via Android Studio and iOS IPAs via Xcode.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