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6099" w:rsidRPr="001B4C11" w:rsidRDefault="00450745" w:rsidP="00945804">
      <w:pPr>
        <w:spacing w:before="1440" w:line="480" w:lineRule="auto"/>
        <w:jc w:val="center"/>
        <w:rPr>
          <w:color w:val="000000" w:themeColor="text1"/>
          <w:sz w:val="36"/>
          <w:szCs w:val="36"/>
        </w:rPr>
      </w:pPr>
      <w:r w:rsidRPr="001B4C11">
        <w:rPr>
          <w:rFonts w:ascii="Times New Roman" w:hAnsi="Times New Roman"/>
          <w:b/>
          <w:color w:val="000000" w:themeColor="text1"/>
          <w:sz w:val="36"/>
          <w:szCs w:val="36"/>
        </w:rPr>
        <w:t>UNIVERSITY OF ENERGY AND NATURAL RESOURCES</w:t>
      </w:r>
      <w:r w:rsidRPr="001B4C11">
        <w:rPr>
          <w:rFonts w:ascii="Times New Roman" w:hAnsi="Times New Roman"/>
          <w:b/>
          <w:color w:val="000000" w:themeColor="text1"/>
          <w:sz w:val="36"/>
          <w:szCs w:val="36"/>
        </w:rPr>
        <w:br/>
        <w:t>DEPARTMENT OF INFORMATION TECHNOLOGY AND DECISION SCIENCES</w:t>
      </w:r>
    </w:p>
    <w:p w:rsidR="00EE6099" w:rsidRPr="001B4C11" w:rsidRDefault="00450745" w:rsidP="00945804">
      <w:pPr>
        <w:spacing w:before="1920" w:after="1920" w:line="480" w:lineRule="auto"/>
        <w:jc w:val="center"/>
        <w:rPr>
          <w:color w:val="000000" w:themeColor="text1"/>
        </w:rPr>
      </w:pPr>
      <w:r w:rsidRPr="001B4C11">
        <w:rPr>
          <w:rFonts w:ascii="Times New Roman" w:hAnsi="Times New Roman"/>
          <w:b/>
          <w:color w:val="000000" w:themeColor="text1"/>
          <w:sz w:val="40"/>
        </w:rPr>
        <w:t>AUTOMATED DETECTION AND CLASSIFICATION OF PHOTOVOLTAIC PANEL DEF</w:t>
      </w:r>
      <w:r w:rsidR="00945804" w:rsidRPr="001B4C11">
        <w:rPr>
          <w:rFonts w:ascii="Times New Roman" w:hAnsi="Times New Roman"/>
          <w:b/>
          <w:color w:val="000000" w:themeColor="text1"/>
          <w:sz w:val="40"/>
        </w:rPr>
        <w:t>ECTS USING YOLOv8 WITH TFLITE MO</w:t>
      </w:r>
      <w:r w:rsidRPr="001B4C11">
        <w:rPr>
          <w:rFonts w:ascii="Times New Roman" w:hAnsi="Times New Roman"/>
          <w:b/>
          <w:color w:val="000000" w:themeColor="text1"/>
          <w:sz w:val="40"/>
        </w:rPr>
        <w:t>BILE INTEGRATION</w:t>
      </w:r>
    </w:p>
    <w:p w:rsidR="00EE6099" w:rsidRPr="001B4C11" w:rsidRDefault="00450745" w:rsidP="00945804">
      <w:pPr>
        <w:spacing w:after="1440" w:line="480" w:lineRule="auto"/>
        <w:jc w:val="center"/>
        <w:rPr>
          <w:color w:val="000000" w:themeColor="text1"/>
        </w:rPr>
      </w:pPr>
      <w:r w:rsidRPr="001B4C11">
        <w:rPr>
          <w:rFonts w:ascii="Times New Roman" w:hAnsi="Times New Roman"/>
          <w:b/>
          <w:color w:val="000000" w:themeColor="text1"/>
          <w:sz w:val="24"/>
        </w:rPr>
        <w:lastRenderedPageBreak/>
        <w:t>BY</w:t>
      </w:r>
      <w:proofErr w:type="gramStart"/>
      <w:r w:rsidRPr="001B4C11">
        <w:rPr>
          <w:rFonts w:ascii="Times New Roman" w:hAnsi="Times New Roman"/>
          <w:b/>
          <w:color w:val="000000" w:themeColor="text1"/>
          <w:sz w:val="24"/>
        </w:rPr>
        <w:t>:</w:t>
      </w:r>
      <w:proofErr w:type="gramEnd"/>
      <w:r w:rsidRPr="001B4C11">
        <w:rPr>
          <w:rFonts w:ascii="Times New Roman" w:hAnsi="Times New Roman"/>
          <w:b/>
          <w:color w:val="000000" w:themeColor="text1"/>
          <w:sz w:val="24"/>
        </w:rPr>
        <w:br/>
        <w:t>Monica Gyamfuah</w:t>
      </w:r>
      <w:r w:rsidRPr="001B4C11">
        <w:rPr>
          <w:rFonts w:ascii="Times New Roman" w:hAnsi="Times New Roman"/>
          <w:b/>
          <w:color w:val="000000" w:themeColor="text1"/>
          <w:sz w:val="24"/>
        </w:rPr>
        <w:br/>
        <w:t>Abubakari Rafiatu</w:t>
      </w:r>
      <w:r w:rsidRPr="001B4C11">
        <w:rPr>
          <w:rFonts w:ascii="Times New Roman" w:hAnsi="Times New Roman"/>
          <w:b/>
          <w:color w:val="000000" w:themeColor="text1"/>
          <w:sz w:val="24"/>
        </w:rPr>
        <w:br/>
        <w:t>Owusu Emmanuel</w:t>
      </w:r>
      <w:r w:rsidRPr="001B4C11">
        <w:rPr>
          <w:rFonts w:ascii="Times New Roman" w:hAnsi="Times New Roman"/>
          <w:b/>
          <w:color w:val="000000" w:themeColor="text1"/>
          <w:sz w:val="24"/>
        </w:rPr>
        <w:br/>
        <w:t>Agyekum Isaac</w:t>
      </w:r>
      <w:r w:rsidRPr="001B4C11">
        <w:rPr>
          <w:rFonts w:ascii="Times New Roman" w:hAnsi="Times New Roman"/>
          <w:b/>
          <w:color w:val="000000" w:themeColor="text1"/>
          <w:sz w:val="24"/>
        </w:rPr>
        <w:br/>
        <w:t>Asare Solomon William</w:t>
      </w:r>
      <w:r w:rsidRPr="001B4C11">
        <w:rPr>
          <w:rFonts w:ascii="Times New Roman" w:hAnsi="Times New Roman"/>
          <w:b/>
          <w:color w:val="000000" w:themeColor="text1"/>
          <w:sz w:val="24"/>
        </w:rPr>
        <w:br/>
      </w:r>
      <w:r w:rsidRPr="001B4C11">
        <w:rPr>
          <w:rFonts w:ascii="Times New Roman" w:hAnsi="Times New Roman"/>
          <w:b/>
          <w:color w:val="000000" w:themeColor="text1"/>
          <w:sz w:val="24"/>
        </w:rPr>
        <w:br/>
        <w:t>SUPERVISOR</w:t>
      </w:r>
      <w:r w:rsidR="001B4C11">
        <w:rPr>
          <w:rFonts w:ascii="Times New Roman" w:hAnsi="Times New Roman"/>
          <w:b/>
          <w:color w:val="000000" w:themeColor="text1"/>
          <w:sz w:val="24"/>
        </w:rPr>
        <w:t>: DR. S. O FRIMPONG</w:t>
      </w:r>
    </w:p>
    <w:p w:rsidR="00EE6099" w:rsidRPr="001B4C11" w:rsidRDefault="00450745" w:rsidP="00945804">
      <w:pPr>
        <w:spacing w:line="480" w:lineRule="auto"/>
        <w:jc w:val="center"/>
        <w:rPr>
          <w:color w:val="000000" w:themeColor="text1"/>
        </w:rPr>
      </w:pPr>
      <w:r w:rsidRPr="001B4C11">
        <w:rPr>
          <w:rFonts w:ascii="Times New Roman" w:hAnsi="Times New Roman"/>
          <w:i/>
          <w:color w:val="000000" w:themeColor="text1"/>
        </w:rPr>
        <w:t>A Project Report Submitted to the Department of ITDS in Partial Fulfillment of the Requirements for the Award of the Degree of Bachelor of Science in Information Technology</w:t>
      </w:r>
      <w:r w:rsidRPr="001B4C11">
        <w:rPr>
          <w:rFonts w:ascii="Times New Roman" w:hAnsi="Times New Roman"/>
          <w:i/>
          <w:color w:val="000000" w:themeColor="text1"/>
        </w:rPr>
        <w:br/>
      </w:r>
      <w:r w:rsidRPr="001B4C11">
        <w:rPr>
          <w:rFonts w:ascii="Times New Roman" w:hAnsi="Times New Roman"/>
          <w:i/>
          <w:color w:val="000000" w:themeColor="text1"/>
        </w:rPr>
        <w:br/>
        <w:t>Sunyani, Ghana</w:t>
      </w:r>
      <w:r w:rsidRPr="001B4C11">
        <w:rPr>
          <w:rFonts w:ascii="Times New Roman" w:hAnsi="Times New Roman"/>
          <w:i/>
          <w:color w:val="000000" w:themeColor="text1"/>
        </w:rPr>
        <w:br/>
        <w:t>JUNE, 2026</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DECLARATION</w:t>
      </w:r>
    </w:p>
    <w:p w:rsidR="00EE6099" w:rsidRPr="001B4C11" w:rsidRDefault="00450745" w:rsidP="00945804">
      <w:pPr>
        <w:spacing w:after="240" w:line="480" w:lineRule="auto"/>
        <w:rPr>
          <w:color w:val="000000" w:themeColor="text1"/>
        </w:rPr>
      </w:pPr>
      <w:r w:rsidRPr="001B4C11">
        <w:rPr>
          <w:rFonts w:ascii="Times New Roman" w:hAnsi="Times New Roman"/>
          <w:b/>
          <w:color w:val="000000" w:themeColor="text1"/>
          <w:sz w:val="24"/>
        </w:rPr>
        <w:t>Student's Declaration</w:t>
      </w:r>
      <w:r w:rsidRPr="001B4C11">
        <w:rPr>
          <w:rFonts w:ascii="Times New Roman" w:hAnsi="Times New Roman"/>
          <w:b/>
          <w:color w:val="000000" w:themeColor="text1"/>
          <w:sz w:val="24"/>
        </w:rPr>
        <w:br/>
      </w:r>
      <w:r w:rsidRPr="001B4C11">
        <w:rPr>
          <w:color w:val="000000" w:themeColor="text1"/>
        </w:rPr>
        <w:t>We hereby declare that this project report is the result of our own original research work and that no part of it has been presented for another degree in this university or elsewhere. All citations and sources used have been duly acknowledged.</w:t>
      </w:r>
      <w:r w:rsidRPr="001B4C11">
        <w:rPr>
          <w:color w:val="000000" w:themeColor="text1"/>
        </w:rPr>
        <w:br/>
      </w:r>
      <w:r w:rsidRPr="001B4C11">
        <w:rPr>
          <w:color w:val="000000" w:themeColor="text1"/>
        </w:rPr>
        <w:br/>
        <w:t>Monica Gyamfuah (Index: __________)  Signature: ______________  Date: _________</w:t>
      </w:r>
      <w:r w:rsidRPr="001B4C11">
        <w:rPr>
          <w:color w:val="000000" w:themeColor="text1"/>
        </w:rPr>
        <w:br/>
        <w:t>Abubakari Rafiatu (Index: __________)  Signature: ______________  Date: _________</w:t>
      </w:r>
      <w:r w:rsidRPr="001B4C11">
        <w:rPr>
          <w:color w:val="000000" w:themeColor="text1"/>
        </w:rPr>
        <w:br/>
        <w:t>Owusu Emmanuel (Index: __________)  Signature: ______________  Date: _________</w:t>
      </w:r>
      <w:r w:rsidRPr="001B4C11">
        <w:rPr>
          <w:color w:val="000000" w:themeColor="text1"/>
        </w:rPr>
        <w:br/>
        <w:t>Agyekum Isaac (Index: __________)  Signature: ______________  Date: _________</w:t>
      </w:r>
      <w:r w:rsidRPr="001B4C11">
        <w:rPr>
          <w:color w:val="000000" w:themeColor="text1"/>
        </w:rPr>
        <w:br/>
        <w:t>Asare Solomon William (Index: __________)  Signature: ______________  Date: _________</w:t>
      </w:r>
      <w:r w:rsidRPr="001B4C11">
        <w:rPr>
          <w:color w:val="000000" w:themeColor="text1"/>
        </w:rPr>
        <w:br/>
      </w:r>
    </w:p>
    <w:p w:rsidR="00EE6099" w:rsidRPr="001B4C11" w:rsidRDefault="00450745" w:rsidP="00945804">
      <w:pPr>
        <w:spacing w:after="240" w:line="480" w:lineRule="auto"/>
        <w:rPr>
          <w:color w:val="000000" w:themeColor="text1"/>
        </w:rPr>
      </w:pPr>
      <w:r w:rsidRPr="001B4C11">
        <w:rPr>
          <w:rFonts w:ascii="Times New Roman" w:hAnsi="Times New Roman"/>
          <w:b/>
          <w:color w:val="000000" w:themeColor="text1"/>
          <w:sz w:val="24"/>
        </w:rPr>
        <w:t>Supervisor's Declaration</w:t>
      </w:r>
      <w:r w:rsidRPr="001B4C11">
        <w:rPr>
          <w:rFonts w:ascii="Times New Roman" w:hAnsi="Times New Roman"/>
          <w:b/>
          <w:color w:val="000000" w:themeColor="text1"/>
          <w:sz w:val="24"/>
        </w:rPr>
        <w:br/>
      </w:r>
      <w:r w:rsidRPr="001B4C11">
        <w:rPr>
          <w:color w:val="000000" w:themeColor="text1"/>
        </w:rPr>
        <w:t>I hereby declare that the preparation and presentation of this project report were supervised by me in accordance with the guidelines on supervision of project work laid down by the University of Energy and Natural Resources (UENR).</w:t>
      </w:r>
      <w:r w:rsidRPr="001B4C11">
        <w:rPr>
          <w:color w:val="000000" w:themeColor="text1"/>
        </w:rPr>
        <w:br/>
      </w:r>
      <w:r w:rsidRPr="001B4C11">
        <w:rPr>
          <w:color w:val="000000" w:themeColor="text1"/>
        </w:rPr>
        <w:br/>
        <w:t>Supervisor Name: _____________________  Signature: ______________  Date: _________</w:t>
      </w:r>
      <w:r w:rsidRPr="001B4C11">
        <w:rPr>
          <w:color w:val="000000" w:themeColor="text1"/>
        </w:rPr>
        <w:br/>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DEDICATION</w:t>
      </w:r>
    </w:p>
    <w:p w:rsidR="00EE6099" w:rsidRPr="001B4C11" w:rsidRDefault="00450745" w:rsidP="00945804">
      <w:pPr>
        <w:spacing w:after="240" w:line="480" w:lineRule="auto"/>
        <w:rPr>
          <w:rFonts w:ascii="Times New Roman" w:hAnsi="Times New Roman"/>
          <w:color w:val="000000" w:themeColor="text1"/>
          <w:sz w:val="24"/>
        </w:rPr>
      </w:pPr>
      <w:r w:rsidRPr="001B4C11">
        <w:rPr>
          <w:rFonts w:ascii="Times New Roman" w:hAnsi="Times New Roman"/>
          <w:color w:val="000000" w:themeColor="text1"/>
          <w:sz w:val="24"/>
        </w:rPr>
        <w:t>We dedicate this final year project to our parents, guardians, and families for their unconditional love, financial support, and constant encouragement throughout our academic journey. We also dedicate this work to our lecturers in the Department of Information Technology and Decision Sciences for guiding our technical and professional development.</w:t>
      </w: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color w:val="000000" w:themeColor="text1"/>
        </w:rPr>
      </w:pP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ACKNOWLEDGEMENTS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We express our deepest gratitude to the Almighty God for His grace, strength, and wisdom bestowed upon us during this project. Our sincere appreciation goes to our project supervisor, whose invaluable guidance, critique, and continuous feedback shaped the methodology of this research. We are also thankful to the University of Energy and Natural Resources (UENR) for providing the resources and clean energy laboratory infrastructure that enabled our field testing. Finally, we thank our peers and technical staff in the ITDS department for their support and collaboration.</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ABSTRACT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Photovoltaic (PV) installations are vital for sustainable clean energy generation in Ghana. However, outdoor solar modules are highly susceptible to cell anomalies—including silicon micro-cracks, dust and dirt accumulation (soiling), and electrical hotspots—which severely degrade power generation yield and can cause permanent module destruction. This project presents an automated, edge-deployed diagnostic inspection system designed for offline field environments. We fine-tuned a custom YOLOv8 object detection model on real-world PV defect datasets and converted the network weights to a TensorFlow Lite (TFLite) INT8 quantized format for mobile device integration. To protect the AI pipeline from false alarms, a double-layer gatekeeper validates image uploads: a background COCO detector filters out everyday objects (e.g. motorbikes) with confidence thresholds above 0.12, and color space histograms filter out green vegetation and flat plain textures. Once verified, a wafer thermodynamics engine executes Nominal Operating Cell Temperature (NOCT) physics equations to dynamically calculate operating cell temperatures and actual wattage capacity drops (in Watts) based on solar irradiance inputs. The final quantized 3.2 MB model achieves a mean Average Precision (mAP@50) of 92.7% with sub-150ms inference latency on standard mobile hardware. Usability testing with 12 field technicians yielded a System Usability Scale (SUS) score of 84.3 out of 100, demonstrating high field utility and ease of deployment for digitalization of solar farm maintenance. This thesis report outlines the comprehensive framework from theoretical semiconductor physics and machine learning model training to edge-optimization compilation and field-testing evaluations.</w:t>
      </w:r>
    </w:p>
    <w:p w:rsidR="00EE6099" w:rsidRPr="001B4C11" w:rsidRDefault="00450745" w:rsidP="00945804">
      <w:pPr>
        <w:spacing w:line="480" w:lineRule="auto"/>
        <w:rPr>
          <w:color w:val="000000" w:themeColor="text1"/>
        </w:rPr>
      </w:pPr>
      <w:r w:rsidRPr="001B4C11">
        <w:rPr>
          <w:color w:val="000000" w:themeColor="text1"/>
        </w:rPr>
        <w:lastRenderedPageBreak/>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TABLE OF CONTENTS</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Declaration</w:t>
      </w:r>
      <w:r w:rsidRPr="001B4C11">
        <w:rPr>
          <w:rFonts w:ascii="Courier New" w:hAnsi="Courier New"/>
          <w:color w:val="000000" w:themeColor="text1"/>
          <w:sz w:val="20"/>
        </w:rPr>
        <w:t>.....................................</w:t>
      </w:r>
      <w:r w:rsidR="001B4C11">
        <w:rPr>
          <w:rFonts w:ascii="Courier New" w:hAnsi="Courier New"/>
          <w:color w:val="000000" w:themeColor="text1"/>
          <w:sz w:val="20"/>
        </w:rPr>
        <w:t>...................</w:t>
      </w:r>
      <w:r w:rsidR="001B4C11">
        <w:rPr>
          <w:rFonts w:ascii="Courier New" w:hAnsi="Courier New"/>
          <w:b/>
          <w:color w:val="000000" w:themeColor="text1"/>
          <w:sz w:val="20"/>
        </w:rPr>
        <w:t xml:space="preserve">. </w:t>
      </w:r>
      <w:r w:rsidRPr="001B4C11">
        <w:rPr>
          <w:rFonts w:ascii="Courier New" w:hAnsi="Courier New"/>
          <w:b/>
          <w:color w:val="000000" w:themeColor="text1"/>
          <w:sz w:val="20"/>
        </w:rPr>
        <w:t>ii</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Dedication</w:t>
      </w:r>
      <w:r w:rsidRPr="001B4C11">
        <w:rPr>
          <w:rFonts w:ascii="Courier New" w:hAnsi="Courier New"/>
          <w:color w:val="000000" w:themeColor="text1"/>
          <w:sz w:val="20"/>
        </w:rPr>
        <w:t>......................................</w:t>
      </w:r>
      <w:r w:rsidR="001B4C11">
        <w:rPr>
          <w:rFonts w:ascii="Courier New" w:hAnsi="Courier New"/>
          <w:color w:val="000000" w:themeColor="text1"/>
          <w:sz w:val="20"/>
        </w:rPr>
        <w:t>....................</w:t>
      </w:r>
      <w:r w:rsidRPr="001B4C11">
        <w:rPr>
          <w:rFonts w:ascii="Courier New" w:hAnsi="Courier New"/>
          <w:b/>
          <w:color w:val="000000" w:themeColor="text1"/>
          <w:sz w:val="20"/>
        </w:rPr>
        <w:t>iii</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Acknowledgements</w:t>
      </w:r>
      <w:r w:rsidRPr="001B4C11">
        <w:rPr>
          <w:rFonts w:ascii="Courier New" w:hAnsi="Courier New"/>
          <w:color w:val="000000" w:themeColor="text1"/>
          <w:sz w:val="20"/>
        </w:rPr>
        <w:t>................................</w:t>
      </w:r>
      <w:r w:rsidR="001B4C11">
        <w:rPr>
          <w:rFonts w:ascii="Courier New" w:hAnsi="Courier New"/>
          <w:color w:val="000000" w:themeColor="text1"/>
          <w:sz w:val="20"/>
        </w:rPr>
        <w:t>.....................</w:t>
      </w:r>
      <w:proofErr w:type="gramStart"/>
      <w:r w:rsidRPr="001B4C11">
        <w:rPr>
          <w:rFonts w:ascii="Courier New" w:hAnsi="Courier New"/>
          <w:b/>
          <w:color w:val="000000" w:themeColor="text1"/>
          <w:sz w:val="20"/>
        </w:rPr>
        <w:t>iv</w:t>
      </w:r>
      <w:proofErr w:type="gramEnd"/>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Abstract</w:t>
      </w:r>
      <w:r w:rsidRPr="001B4C11">
        <w:rPr>
          <w:rFonts w:ascii="Courier New" w:hAnsi="Courier New"/>
          <w:color w:val="000000" w:themeColor="text1"/>
          <w:sz w:val="20"/>
        </w:rPr>
        <w:t>........................................</w:t>
      </w:r>
      <w:r w:rsidR="001B4C11">
        <w:rPr>
          <w:rFonts w:ascii="Courier New" w:hAnsi="Courier New"/>
          <w:color w:val="000000" w:themeColor="text1"/>
          <w:sz w:val="20"/>
        </w:rPr>
        <w:t>......................</w:t>
      </w:r>
      <w:r w:rsidRPr="001B4C11">
        <w:rPr>
          <w:rFonts w:ascii="Courier New" w:hAnsi="Courier New"/>
          <w:b/>
          <w:color w:val="000000" w:themeColor="text1"/>
          <w:sz w:val="20"/>
        </w:rPr>
        <w:t>v</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1:</w:t>
      </w:r>
      <w:r w:rsidRPr="001B4C11">
        <w:rPr>
          <w:rFonts w:ascii="Courier New" w:hAnsi="Courier New"/>
          <w:color w:val="000000" w:themeColor="text1"/>
          <w:sz w:val="20"/>
        </w:rPr>
        <w:t xml:space="preserve"> </w:t>
      </w:r>
      <w:r w:rsidRPr="00E90E16">
        <w:rPr>
          <w:rFonts w:ascii="Courier New" w:hAnsi="Courier New"/>
          <w:b/>
          <w:color w:val="000000" w:themeColor="text1"/>
          <w:sz w:val="20"/>
        </w:rPr>
        <w:t>Introduction</w:t>
      </w:r>
      <w:r w:rsidRPr="001B4C11">
        <w:rPr>
          <w:rFonts w:ascii="Courier New" w:hAnsi="Courier New"/>
          <w:color w:val="000000" w:themeColor="text1"/>
          <w:sz w:val="20"/>
        </w:rPr>
        <w:t>.........................................................</w:t>
      </w:r>
      <w:r w:rsidRPr="001B4C11">
        <w:rPr>
          <w:rFonts w:ascii="Courier New" w:hAnsi="Courier New"/>
          <w:b/>
          <w:color w:val="000000" w:themeColor="text1"/>
          <w:sz w:val="20"/>
        </w:rPr>
        <w:t>1</w:t>
      </w:r>
    </w:p>
    <w:p w:rsidR="00EE6099" w:rsidRPr="001B4C11" w:rsidRDefault="001B4C11" w:rsidP="00E90E16">
      <w:pPr>
        <w:spacing w:after="80" w:line="480" w:lineRule="auto"/>
        <w:rPr>
          <w:color w:val="000000" w:themeColor="text1"/>
        </w:rPr>
      </w:pPr>
      <w:r>
        <w:rPr>
          <w:rFonts w:ascii="Courier New" w:hAnsi="Courier New"/>
          <w:color w:val="000000" w:themeColor="text1"/>
          <w:sz w:val="20"/>
        </w:rPr>
        <w:t>1.1 Backgroun</w:t>
      </w:r>
      <w:r w:rsidR="00E90E16">
        <w:rPr>
          <w:rFonts w:ascii="Courier New" w:hAnsi="Courier New"/>
          <w:color w:val="000000" w:themeColor="text1"/>
          <w:sz w:val="20"/>
        </w:rPr>
        <w:t xml:space="preserve">d of the </w:t>
      </w:r>
      <w:r w:rsidR="00450745" w:rsidRPr="001B4C11">
        <w:rPr>
          <w:rFonts w:ascii="Courier New" w:hAnsi="Courier New"/>
          <w:color w:val="000000" w:themeColor="text1"/>
          <w:sz w:val="20"/>
        </w:rPr>
        <w:t>Study...................</w:t>
      </w:r>
      <w:r>
        <w:rPr>
          <w:rFonts w:ascii="Courier New" w:hAnsi="Courier New"/>
          <w:color w:val="000000" w:themeColor="text1"/>
          <w:sz w:val="20"/>
        </w:rPr>
        <w:t>..............................</w:t>
      </w:r>
      <w:r w:rsidR="00E90E16">
        <w:rPr>
          <w:rFonts w:ascii="Courier New" w:hAnsi="Courier New"/>
          <w:color w:val="000000" w:themeColor="text1"/>
          <w:sz w:val="20"/>
        </w:rPr>
        <w:t>................</w:t>
      </w:r>
      <w:r w:rsidR="00450745" w:rsidRPr="001B4C11">
        <w:rPr>
          <w:rFonts w:ascii="Courier New" w:hAnsi="Courier New"/>
          <w:b/>
          <w:color w:val="000000" w:themeColor="text1"/>
          <w:sz w:val="20"/>
        </w:rPr>
        <w:t>1</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1.2 Statement of the Problem..................................................</w:t>
      </w:r>
      <w:r w:rsidR="00E90E16">
        <w:rPr>
          <w:rFonts w:ascii="Courier New" w:hAnsi="Courier New"/>
          <w:color w:val="000000" w:themeColor="text1"/>
          <w:sz w:val="20"/>
        </w:rPr>
        <w:t>.............</w:t>
      </w:r>
      <w:r w:rsidRPr="001B4C11">
        <w:rPr>
          <w:rFonts w:ascii="Courier New" w:hAnsi="Courier New"/>
          <w:b/>
          <w:color w:val="000000" w:themeColor="text1"/>
          <w:sz w:val="20"/>
        </w:rPr>
        <w:t>6</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1.3 Research Questions........................................................</w:t>
      </w:r>
      <w:r w:rsidR="00E90E16">
        <w:rPr>
          <w:rFonts w:ascii="Courier New" w:hAnsi="Courier New"/>
          <w:b/>
          <w:color w:val="000000" w:themeColor="text1"/>
          <w:sz w:val="20"/>
        </w:rPr>
        <w:t xml:space="preserve">.... </w:t>
      </w:r>
      <w:r w:rsidRPr="001B4C11">
        <w:rPr>
          <w:rFonts w:ascii="Courier New" w:hAnsi="Courier New"/>
          <w:b/>
          <w:color w:val="000000" w:themeColor="text1"/>
          <w:sz w:val="20"/>
        </w:rPr>
        <w:t>9</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1.4 Research Objectives.......................................................</w:t>
      </w:r>
      <w:r w:rsidR="00E90E16">
        <w:rPr>
          <w:rFonts w:ascii="Courier New" w:hAnsi="Courier New"/>
          <w:color w:val="000000" w:themeColor="text1"/>
          <w:sz w:val="20"/>
        </w:rPr>
        <w:t>.</w:t>
      </w:r>
      <w:r w:rsidRPr="001B4C11">
        <w:rPr>
          <w:rFonts w:ascii="Courier New" w:hAnsi="Courier New"/>
          <w:b/>
          <w:color w:val="000000" w:themeColor="text1"/>
          <w:sz w:val="20"/>
        </w:rPr>
        <w:t xml:space="preserve">   10</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1.5 Significance of the Study.................................................</w:t>
      </w:r>
      <w:r w:rsidR="00E90E16">
        <w:rPr>
          <w:rFonts w:ascii="Courier New" w:hAnsi="Courier New"/>
          <w:color w:val="000000" w:themeColor="text1"/>
          <w:sz w:val="20"/>
        </w:rPr>
        <w:t>............</w:t>
      </w:r>
      <w:r w:rsidRPr="001B4C11">
        <w:rPr>
          <w:rFonts w:ascii="Courier New" w:hAnsi="Courier New"/>
          <w:b/>
          <w:color w:val="000000" w:themeColor="text1"/>
          <w:sz w:val="20"/>
        </w:rPr>
        <w:t xml:space="preserve">   11</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1.6 Scope of the Study........................................................</w:t>
      </w:r>
      <w:r w:rsidR="00E90E16">
        <w:rPr>
          <w:rFonts w:ascii="Courier New" w:hAnsi="Courier New"/>
          <w:color w:val="000000" w:themeColor="text1"/>
          <w:sz w:val="20"/>
        </w:rPr>
        <w:t>.....</w:t>
      </w:r>
      <w:r w:rsidRPr="001B4C11">
        <w:rPr>
          <w:rFonts w:ascii="Courier New" w:hAnsi="Courier New"/>
          <w:b/>
          <w:color w:val="000000" w:themeColor="text1"/>
          <w:sz w:val="20"/>
        </w:rPr>
        <w:t xml:space="preserve">   13</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1.7 Organization of the Thesis................................................</w:t>
      </w:r>
      <w:r w:rsidR="00E90E16">
        <w:rPr>
          <w:rFonts w:ascii="Courier New" w:hAnsi="Courier New"/>
          <w:color w:val="000000" w:themeColor="text1"/>
          <w:sz w:val="20"/>
        </w:rPr>
        <w:t>............</w:t>
      </w:r>
      <w:r w:rsidRPr="001B4C11">
        <w:rPr>
          <w:rFonts w:ascii="Courier New" w:hAnsi="Courier New"/>
          <w:b/>
          <w:color w:val="000000" w:themeColor="text1"/>
          <w:sz w:val="20"/>
        </w:rPr>
        <w:t xml:space="preserve">   14</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2: Literature</w:t>
      </w:r>
      <w:r w:rsidRPr="001B4C11">
        <w:rPr>
          <w:rFonts w:ascii="Courier New" w:hAnsi="Courier New"/>
          <w:color w:val="000000" w:themeColor="text1"/>
          <w:sz w:val="20"/>
        </w:rPr>
        <w:t xml:space="preserve"> Review....................................................</w:t>
      </w:r>
      <w:r w:rsidR="00E90E16">
        <w:rPr>
          <w:rFonts w:ascii="Courier New" w:hAnsi="Courier New"/>
          <w:color w:val="000000" w:themeColor="text1"/>
          <w:sz w:val="20"/>
        </w:rPr>
        <w:t>........</w:t>
      </w:r>
      <w:r w:rsidRPr="001B4C11">
        <w:rPr>
          <w:rFonts w:ascii="Courier New" w:hAnsi="Courier New"/>
          <w:b/>
          <w:color w:val="000000" w:themeColor="text1"/>
          <w:sz w:val="20"/>
        </w:rPr>
        <w:t xml:space="preserve">   16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2.1 Physics of Silicon Photovoltaics &amp; Semiconductor Defects......</w:t>
      </w:r>
      <w:r w:rsidR="00E90E16">
        <w:rPr>
          <w:rFonts w:ascii="Courier New" w:hAnsi="Courier New"/>
          <w:color w:val="000000" w:themeColor="text1"/>
          <w:sz w:val="20"/>
        </w:rPr>
        <w:t>.............</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16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lastRenderedPageBreak/>
        <w:t xml:space="preserve">  2.2 Taxonomy of Photovoltaic Defects..........................................</w:t>
      </w:r>
      <w:r w:rsidR="00E90E16">
        <w:rPr>
          <w:rFonts w:ascii="Courier New" w:hAnsi="Courier New"/>
          <w:color w:val="000000" w:themeColor="text1"/>
          <w:sz w:val="20"/>
        </w:rPr>
        <w:t>.................</w:t>
      </w:r>
      <w:r w:rsidRPr="001B4C11">
        <w:rPr>
          <w:rFonts w:ascii="Courier New" w:hAnsi="Courier New"/>
          <w:b/>
          <w:color w:val="000000" w:themeColor="text1"/>
          <w:sz w:val="20"/>
        </w:rPr>
        <w:t xml:space="preserve">   21</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2.3 Evolution of PV Inspection Techniques.....................................</w:t>
      </w:r>
      <w:r w:rsidR="00E90E16">
        <w:rPr>
          <w:rFonts w:ascii="Courier New" w:hAnsi="Courier New"/>
          <w:color w:val="000000" w:themeColor="text1"/>
          <w:sz w:val="20"/>
        </w:rPr>
        <w:t>...................</w:t>
      </w:r>
      <w:r w:rsidRPr="001B4C11">
        <w:rPr>
          <w:rFonts w:ascii="Courier New" w:hAnsi="Courier New"/>
          <w:b/>
          <w:color w:val="000000" w:themeColor="text1"/>
          <w:sz w:val="20"/>
        </w:rPr>
        <w:t xml:space="preserve">   26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2.4 Deep Learning in Computer Vision..........................................</w:t>
      </w:r>
      <w:r w:rsidR="00E90E16">
        <w:rPr>
          <w:rFonts w:ascii="Courier New" w:hAnsi="Courier New"/>
          <w:color w:val="000000" w:themeColor="text1"/>
          <w:sz w:val="20"/>
        </w:rPr>
        <w:t>..................</w:t>
      </w:r>
      <w:r w:rsidRPr="001B4C11">
        <w:rPr>
          <w:rFonts w:ascii="Courier New" w:hAnsi="Courier New"/>
          <w:b/>
          <w:color w:val="000000" w:themeColor="text1"/>
          <w:sz w:val="20"/>
        </w:rPr>
        <w:t xml:space="preserve">   30</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2.5 Mobile Compression &amp; Quantization.........................................</w:t>
      </w:r>
      <w:r w:rsidR="00E90E16">
        <w:rPr>
          <w:rFonts w:ascii="Courier New" w:hAnsi="Courier New"/>
          <w:color w:val="000000" w:themeColor="text1"/>
          <w:sz w:val="20"/>
        </w:rPr>
        <w:t>.............</w:t>
      </w:r>
      <w:r w:rsidRPr="001B4C11">
        <w:rPr>
          <w:rFonts w:ascii="Courier New" w:hAnsi="Courier New"/>
          <w:b/>
          <w:color w:val="000000" w:themeColor="text1"/>
          <w:sz w:val="20"/>
        </w:rPr>
        <w:t xml:space="preserve">   34</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2.6 Comparative Analysis of Related Works.....................................</w:t>
      </w:r>
      <w:r w:rsidR="00E90E16">
        <w:rPr>
          <w:rFonts w:ascii="Courier New" w:hAnsi="Courier New"/>
          <w:color w:val="000000" w:themeColor="text1"/>
          <w:sz w:val="20"/>
        </w:rPr>
        <w:t>........................</w:t>
      </w:r>
      <w:r w:rsidRPr="001B4C11">
        <w:rPr>
          <w:rFonts w:ascii="Courier New" w:hAnsi="Courier New"/>
          <w:b/>
          <w:color w:val="000000" w:themeColor="text1"/>
          <w:sz w:val="20"/>
        </w:rPr>
        <w:t xml:space="preserve">   38</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2.7 Summary of Gaps in Literature.............................................</w:t>
      </w:r>
      <w:r w:rsidR="00E90E16">
        <w:rPr>
          <w:rFonts w:ascii="Courier New" w:hAnsi="Courier New"/>
          <w:color w:val="000000" w:themeColor="text1"/>
          <w:sz w:val="20"/>
        </w:rPr>
        <w:t>...........</w:t>
      </w:r>
      <w:r w:rsidRPr="001B4C11">
        <w:rPr>
          <w:rFonts w:ascii="Courier New" w:hAnsi="Courier New"/>
          <w:b/>
          <w:color w:val="000000" w:themeColor="text1"/>
          <w:sz w:val="20"/>
        </w:rPr>
        <w:t xml:space="preserve">   41</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2.8 Clean Energy Policies &amp; Digitalization in Ghana...........................</w:t>
      </w:r>
      <w:r w:rsidR="00E90E16">
        <w:rPr>
          <w:rFonts w:ascii="Courier New" w:hAnsi="Courier New"/>
          <w:color w:val="000000" w:themeColor="text1"/>
          <w:sz w:val="20"/>
        </w:rPr>
        <w:t>..................................</w:t>
      </w:r>
      <w:r w:rsidRPr="001B4C11">
        <w:rPr>
          <w:rFonts w:ascii="Courier New" w:hAnsi="Courier New"/>
          <w:b/>
          <w:color w:val="000000" w:themeColor="text1"/>
          <w:sz w:val="20"/>
        </w:rPr>
        <w:t xml:space="preserve">   43</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2.9 High-Voltage String Effects &amp; PID Degradation Mechanisms..................</w:t>
      </w:r>
      <w:r w:rsidR="00E90E16">
        <w:rPr>
          <w:rFonts w:ascii="Courier New" w:hAnsi="Courier New"/>
          <w:color w:val="000000" w:themeColor="text1"/>
          <w:sz w:val="20"/>
        </w:rPr>
        <w:t>......................................</w:t>
      </w:r>
      <w:r w:rsidRPr="001B4C11">
        <w:rPr>
          <w:rFonts w:ascii="Courier New" w:hAnsi="Courier New"/>
          <w:b/>
          <w:color w:val="000000" w:themeColor="text1"/>
          <w:sz w:val="20"/>
        </w:rPr>
        <w:t xml:space="preserve">   46</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3: System Design &amp;</w:t>
      </w:r>
      <w:r w:rsidRPr="001B4C11">
        <w:rPr>
          <w:rFonts w:ascii="Courier New" w:hAnsi="Courier New"/>
          <w:color w:val="000000" w:themeColor="text1"/>
          <w:sz w:val="20"/>
        </w:rPr>
        <w:t xml:space="preserve"> </w:t>
      </w:r>
      <w:r w:rsidRPr="00E90E16">
        <w:rPr>
          <w:rFonts w:ascii="Courier New" w:hAnsi="Courier New"/>
          <w:b/>
          <w:color w:val="000000" w:themeColor="text1"/>
          <w:sz w:val="20"/>
        </w:rPr>
        <w:t>Methodology</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49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3.1 Global System Architecture................................................</w:t>
      </w:r>
      <w:r w:rsidR="00E90E16">
        <w:rPr>
          <w:rFonts w:ascii="Courier New" w:hAnsi="Courier New"/>
          <w:color w:val="000000" w:themeColor="text1"/>
          <w:sz w:val="20"/>
        </w:rPr>
        <w:t>......</w:t>
      </w:r>
      <w:r w:rsidRPr="001B4C11">
        <w:rPr>
          <w:rFonts w:ascii="Courier New" w:hAnsi="Courier New"/>
          <w:b/>
          <w:color w:val="000000" w:themeColor="text1"/>
          <w:sz w:val="20"/>
        </w:rPr>
        <w:t xml:space="preserve">   49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3.2 Double-Layer Validation Gatekeeper Algorithm..............................</w:t>
      </w:r>
      <w:r w:rsidR="00E90E16">
        <w:rPr>
          <w:rFonts w:ascii="Courier New" w:hAnsi="Courier New"/>
          <w:color w:val="000000" w:themeColor="text1"/>
          <w:sz w:val="20"/>
        </w:rPr>
        <w:t>...........................</w:t>
      </w:r>
      <w:r w:rsidRPr="001B4C11">
        <w:rPr>
          <w:rFonts w:ascii="Courier New" w:hAnsi="Courier New"/>
          <w:b/>
          <w:color w:val="000000" w:themeColor="text1"/>
          <w:sz w:val="20"/>
        </w:rPr>
        <w:t xml:space="preserve">   52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3.3 YOLOv8 Model Fine-Tuning Pipeline.........................................</w:t>
      </w:r>
      <w:r w:rsidR="00E90E16">
        <w:rPr>
          <w:rFonts w:ascii="Courier New" w:hAnsi="Courier New"/>
          <w:color w:val="000000" w:themeColor="text1"/>
          <w:sz w:val="20"/>
        </w:rPr>
        <w:t>.................</w:t>
      </w:r>
      <w:r w:rsidRPr="001B4C11">
        <w:rPr>
          <w:rFonts w:ascii="Courier New" w:hAnsi="Courier New"/>
          <w:b/>
          <w:color w:val="000000" w:themeColor="text1"/>
          <w:sz w:val="20"/>
        </w:rPr>
        <w:t xml:space="preserve">   56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3.4 Wafer Thermodynamics Engine Design........................................</w:t>
      </w:r>
      <w:r w:rsidR="00E90E16">
        <w:rPr>
          <w:rFonts w:ascii="Courier New" w:hAnsi="Courier New"/>
          <w:color w:val="000000" w:themeColor="text1"/>
          <w:sz w:val="20"/>
        </w:rPr>
        <w:t>....................</w:t>
      </w:r>
      <w:r w:rsidRPr="001B4C11">
        <w:rPr>
          <w:rFonts w:ascii="Courier New" w:hAnsi="Courier New"/>
          <w:b/>
          <w:color w:val="000000" w:themeColor="text1"/>
          <w:sz w:val="20"/>
        </w:rPr>
        <w:t xml:space="preserve">   59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lastRenderedPageBreak/>
        <w:t xml:space="preserve">  3.5 Interactive Canvas HUD Design.............................................</w:t>
      </w:r>
      <w:r w:rsidR="00E90E16">
        <w:rPr>
          <w:rFonts w:ascii="Courier New" w:hAnsi="Courier New"/>
          <w:color w:val="000000" w:themeColor="text1"/>
          <w:sz w:val="20"/>
        </w:rPr>
        <w:t>...............</w:t>
      </w:r>
      <w:r w:rsidRPr="001B4C11">
        <w:rPr>
          <w:rFonts w:ascii="Courier New" w:hAnsi="Courier New"/>
          <w:b/>
          <w:color w:val="000000" w:themeColor="text1"/>
          <w:sz w:val="20"/>
        </w:rPr>
        <w:t xml:space="preserve">   63</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3.6 Offline Database Design &amp; Synchronization Protocols.......................</w:t>
      </w:r>
      <w:r w:rsidR="00E90E16">
        <w:rPr>
          <w:rFonts w:ascii="Courier New" w:hAnsi="Courier New"/>
          <w:color w:val="000000" w:themeColor="text1"/>
          <w:sz w:val="20"/>
        </w:rPr>
        <w:t>..................................</w:t>
      </w:r>
      <w:r w:rsidRPr="001B4C11">
        <w:rPr>
          <w:rFonts w:ascii="Courier New" w:hAnsi="Courier New"/>
          <w:b/>
          <w:color w:val="000000" w:themeColor="text1"/>
          <w:sz w:val="20"/>
        </w:rPr>
        <w:t xml:space="preserve">   66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3.7 UI Usability &amp; Design Guidelines (Norman's Principles)....................</w:t>
      </w:r>
      <w:r w:rsidR="00E90E16">
        <w:rPr>
          <w:rFonts w:ascii="Courier New" w:hAnsi="Courier New"/>
          <w:color w:val="000000" w:themeColor="text1"/>
          <w:sz w:val="20"/>
        </w:rPr>
        <w:t>...................................</w:t>
      </w:r>
      <w:r w:rsidRPr="001B4C11">
        <w:rPr>
          <w:rFonts w:ascii="Courier New" w:hAnsi="Courier New"/>
          <w:b/>
          <w:color w:val="000000" w:themeColor="text1"/>
          <w:sz w:val="20"/>
        </w:rPr>
        <w:t xml:space="preserve">   69</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4: Implementation and</w:t>
      </w:r>
      <w:r w:rsidRPr="001B4C11">
        <w:rPr>
          <w:rFonts w:ascii="Courier New" w:hAnsi="Courier New"/>
          <w:color w:val="000000" w:themeColor="text1"/>
          <w:sz w:val="20"/>
        </w:rPr>
        <w:t xml:space="preserve"> </w:t>
      </w:r>
      <w:r w:rsidRPr="00E90E16">
        <w:rPr>
          <w:rFonts w:ascii="Courier New" w:hAnsi="Courier New"/>
          <w:b/>
          <w:color w:val="000000" w:themeColor="text1"/>
          <w:sz w:val="20"/>
        </w:rPr>
        <w:t>Results</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72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4.1 Implementation Environment................................................</w:t>
      </w:r>
      <w:r w:rsidR="00E90E16">
        <w:rPr>
          <w:rFonts w:ascii="Courier New" w:hAnsi="Courier New"/>
          <w:color w:val="000000" w:themeColor="text1"/>
          <w:sz w:val="20"/>
        </w:rPr>
        <w:t>.......</w:t>
      </w:r>
      <w:r w:rsidRPr="001B4C11">
        <w:rPr>
          <w:rFonts w:ascii="Courier New" w:hAnsi="Courier New"/>
          <w:b/>
          <w:color w:val="000000" w:themeColor="text1"/>
          <w:sz w:val="20"/>
        </w:rPr>
        <w:t xml:space="preserve">   72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4.2 Model Training Performance Telemetry......................................</w:t>
      </w:r>
      <w:r w:rsidR="00E90E16">
        <w:rPr>
          <w:rFonts w:ascii="Courier New" w:hAnsi="Courier New"/>
          <w:color w:val="000000" w:themeColor="text1"/>
          <w:sz w:val="20"/>
        </w:rPr>
        <w:t>...................</w:t>
      </w:r>
      <w:r w:rsidRPr="001B4C11">
        <w:rPr>
          <w:rFonts w:ascii="Courier New" w:hAnsi="Courier New"/>
          <w:b/>
          <w:color w:val="000000" w:themeColor="text1"/>
          <w:sz w:val="20"/>
        </w:rPr>
        <w:t xml:space="preserve">   74</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4.3 Gatekeeper Validator Verification Testing.................................</w:t>
      </w:r>
      <w:r w:rsidR="00E90E16">
        <w:rPr>
          <w:rFonts w:ascii="Courier New" w:hAnsi="Courier New"/>
          <w:color w:val="000000" w:themeColor="text1"/>
          <w:sz w:val="20"/>
        </w:rPr>
        <w:t>..........................</w:t>
      </w:r>
      <w:r w:rsidRPr="001B4C11">
        <w:rPr>
          <w:rFonts w:ascii="Courier New" w:hAnsi="Courier New"/>
          <w:b/>
          <w:color w:val="000000" w:themeColor="text1"/>
          <w:sz w:val="20"/>
        </w:rPr>
        <w:t xml:space="preserve">   76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4.4 Wafer Thermodynamics Engine Calibration...................................</w:t>
      </w:r>
      <w:r w:rsidR="00E90E16">
        <w:rPr>
          <w:rFonts w:ascii="Courier New" w:hAnsi="Courier New"/>
          <w:color w:val="000000" w:themeColor="text1"/>
          <w:sz w:val="20"/>
        </w:rPr>
        <w:t>....................</w:t>
      </w:r>
      <w:r w:rsidRPr="001B4C11">
        <w:rPr>
          <w:rFonts w:ascii="Courier New" w:hAnsi="Courier New"/>
          <w:b/>
          <w:color w:val="000000" w:themeColor="text1"/>
          <w:sz w:val="20"/>
        </w:rPr>
        <w:t xml:space="preserve">   79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4.5 Usability Evaluation (System Usability Scale).............................</w:t>
      </w:r>
      <w:r w:rsidR="00E90E16">
        <w:rPr>
          <w:rFonts w:ascii="Courier New" w:hAnsi="Courier New"/>
          <w:color w:val="000000" w:themeColor="text1"/>
          <w:sz w:val="20"/>
        </w:rPr>
        <w:t>...............................</w:t>
      </w:r>
      <w:r w:rsidRPr="001B4C11">
        <w:rPr>
          <w:rFonts w:ascii="Courier New" w:hAnsi="Courier New"/>
          <w:b/>
          <w:color w:val="000000" w:themeColor="text1"/>
          <w:sz w:val="20"/>
        </w:rPr>
        <w:t xml:space="preserve">   82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4.6 Case Studies &amp; Modality Demos.............................................</w:t>
      </w:r>
      <w:r w:rsidR="00E90E16">
        <w:rPr>
          <w:rFonts w:ascii="Courier New" w:hAnsi="Courier New"/>
          <w:color w:val="000000" w:themeColor="text1"/>
          <w:sz w:val="20"/>
        </w:rPr>
        <w:t>................</w:t>
      </w:r>
      <w:r w:rsidRPr="001B4C11">
        <w:rPr>
          <w:rFonts w:ascii="Courier New" w:hAnsi="Courier New"/>
          <w:b/>
          <w:color w:val="000000" w:themeColor="text1"/>
          <w:sz w:val="20"/>
        </w:rPr>
        <w:t xml:space="preserve">   86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4.7 Comparative Analysis of Edge Inference Speed..............................</w:t>
      </w:r>
      <w:r w:rsidR="00E90E16">
        <w:rPr>
          <w:rFonts w:ascii="Courier New" w:hAnsi="Courier New"/>
          <w:color w:val="000000" w:themeColor="text1"/>
          <w:sz w:val="20"/>
        </w:rPr>
        <w:t>...............................</w:t>
      </w:r>
      <w:r w:rsidRPr="001B4C11">
        <w:rPr>
          <w:rFonts w:ascii="Courier New" w:hAnsi="Courier New"/>
          <w:b/>
          <w:color w:val="000000" w:themeColor="text1"/>
          <w:sz w:val="20"/>
        </w:rPr>
        <w:t xml:space="preserve">   89</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5: Conclusion and</w:t>
      </w:r>
      <w:r w:rsidRPr="001B4C11">
        <w:rPr>
          <w:rFonts w:ascii="Courier New" w:hAnsi="Courier New"/>
          <w:color w:val="000000" w:themeColor="text1"/>
          <w:sz w:val="20"/>
        </w:rPr>
        <w:t xml:space="preserve"> </w:t>
      </w:r>
      <w:r w:rsidRPr="00E90E16">
        <w:rPr>
          <w:rFonts w:ascii="Courier New" w:hAnsi="Courier New"/>
          <w:b/>
          <w:color w:val="000000" w:themeColor="text1"/>
          <w:sz w:val="20"/>
        </w:rPr>
        <w:t>Recommendations</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92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5.1 Project Summary...........................................................</w:t>
      </w:r>
      <w:r w:rsidRPr="001B4C11">
        <w:rPr>
          <w:rFonts w:ascii="Courier New" w:hAnsi="Courier New"/>
          <w:b/>
          <w:color w:val="000000" w:themeColor="text1"/>
          <w:sz w:val="20"/>
        </w:rPr>
        <w:t xml:space="preserve">   92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lastRenderedPageBreak/>
        <w:t xml:space="preserve">  5.2 Key Contributions.......................</w:t>
      </w:r>
      <w:r w:rsidR="00DE0A28">
        <w:rPr>
          <w:rFonts w:ascii="Courier New" w:hAnsi="Courier New"/>
          <w:color w:val="000000" w:themeColor="text1"/>
          <w:sz w:val="20"/>
        </w:rPr>
        <w:t>............................</w:t>
      </w:r>
      <w:r w:rsidRPr="001B4C11">
        <w:rPr>
          <w:rFonts w:ascii="Courier New" w:hAnsi="Courier New"/>
          <w:color w:val="000000" w:themeColor="text1"/>
          <w:sz w:val="20"/>
        </w:rPr>
        <w:t>..</w:t>
      </w:r>
      <w:r w:rsidRPr="001B4C11">
        <w:rPr>
          <w:rFonts w:ascii="Courier New" w:hAnsi="Courier New"/>
          <w:b/>
          <w:color w:val="000000" w:themeColor="text1"/>
          <w:sz w:val="20"/>
        </w:rPr>
        <w:t xml:space="preserve">   94</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5.3 System Limitations........................................................</w:t>
      </w:r>
      <w:r w:rsidR="00DE0A28">
        <w:rPr>
          <w:rFonts w:ascii="Courier New" w:hAnsi="Courier New"/>
          <w:b/>
          <w:color w:val="000000" w:themeColor="text1"/>
          <w:sz w:val="20"/>
        </w:rPr>
        <w:t xml:space="preserve">  </w:t>
      </w:r>
      <w:r w:rsidRPr="001B4C11">
        <w:rPr>
          <w:rFonts w:ascii="Courier New" w:hAnsi="Courier New"/>
          <w:b/>
          <w:color w:val="000000" w:themeColor="text1"/>
          <w:sz w:val="20"/>
        </w:rPr>
        <w:t>96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5.4 Future Directions.........................................................</w:t>
      </w:r>
      <w:r w:rsidR="00DE0A28">
        <w:rPr>
          <w:rFonts w:ascii="Courier New" w:hAnsi="Courier New"/>
          <w:b/>
          <w:color w:val="000000" w:themeColor="text1"/>
          <w:sz w:val="20"/>
        </w:rPr>
        <w:t xml:space="preserve">  </w:t>
      </w:r>
      <w:r w:rsidRPr="001B4C11">
        <w:rPr>
          <w:rFonts w:ascii="Courier New" w:hAnsi="Courier New"/>
          <w:b/>
          <w:color w:val="000000" w:themeColor="text1"/>
          <w:sz w:val="20"/>
        </w:rPr>
        <w:t>98</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5.5 Recommendations for Solar Policy Makers in Ghana..........................</w:t>
      </w:r>
      <w:r w:rsidRPr="001B4C11">
        <w:rPr>
          <w:rFonts w:ascii="Courier New" w:hAnsi="Courier New"/>
          <w:b/>
          <w:color w:val="000000" w:themeColor="text1"/>
          <w:sz w:val="20"/>
        </w:rPr>
        <w:t xml:space="preserve">  101</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References.............................</w:t>
      </w:r>
      <w:r w:rsidR="00DE0A28">
        <w:rPr>
          <w:rFonts w:ascii="Courier New" w:hAnsi="Courier New"/>
          <w:color w:val="000000" w:themeColor="text1"/>
          <w:sz w:val="20"/>
        </w:rPr>
        <w:t>...........................</w:t>
      </w:r>
      <w:r w:rsidRPr="001B4C11">
        <w:rPr>
          <w:rFonts w:ascii="Courier New" w:hAnsi="Courier New"/>
          <w:b/>
          <w:color w:val="000000" w:themeColor="text1"/>
          <w:sz w:val="20"/>
        </w:rPr>
        <w:t xml:space="preserve">  104</w:t>
      </w:r>
    </w:p>
    <w:p w:rsidR="00EE6099" w:rsidRPr="001B4C11" w:rsidRDefault="00450745" w:rsidP="00945804">
      <w:pPr>
        <w:spacing w:after="80" w:line="480" w:lineRule="auto"/>
        <w:rPr>
          <w:color w:val="000000" w:themeColor="text1"/>
        </w:rPr>
      </w:pPr>
      <w:r w:rsidRPr="00DE0A28">
        <w:rPr>
          <w:rFonts w:ascii="Courier New" w:hAnsi="Courier New"/>
          <w:b/>
          <w:color w:val="000000" w:themeColor="text1"/>
          <w:sz w:val="20"/>
        </w:rPr>
        <w:t>Appendix A: Official Research</w:t>
      </w:r>
      <w:r w:rsidRPr="001B4C11">
        <w:rPr>
          <w:rFonts w:ascii="Courier New" w:hAnsi="Courier New"/>
          <w:color w:val="000000" w:themeColor="text1"/>
          <w:sz w:val="20"/>
        </w:rPr>
        <w:t xml:space="preserve"> Poster............................................</w:t>
      </w:r>
      <w:r w:rsidRPr="001B4C11">
        <w:rPr>
          <w:rFonts w:ascii="Courier New" w:hAnsi="Courier New"/>
          <w:b/>
          <w:color w:val="000000" w:themeColor="text1"/>
          <w:sz w:val="20"/>
        </w:rPr>
        <w:t xml:space="preserve">  107</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Appendix B: Technical Code Implementation.......................................</w:t>
      </w:r>
      <w:r w:rsidRPr="001B4C11">
        <w:rPr>
          <w:rFonts w:ascii="Courier New" w:hAnsi="Courier New"/>
          <w:b/>
          <w:color w:val="000000" w:themeColor="text1"/>
          <w:sz w:val="20"/>
        </w:rPr>
        <w:t xml:space="preserve">  109</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EE6099" w:rsidP="00945804">
      <w:pPr>
        <w:spacing w:line="480" w:lineRule="auto"/>
        <w:rPr>
          <w:color w:val="000000" w:themeColor="text1"/>
        </w:rPr>
        <w:sectPr w:rsidR="00EE6099" w:rsidRPr="001B4C11">
          <w:headerReference w:type="default" r:id="rId8"/>
          <w:footerReference w:type="default" r:id="rId9"/>
          <w:pgSz w:w="12240" w:h="15840"/>
          <w:pgMar w:top="1440" w:right="1440" w:bottom="1440" w:left="2160" w:header="720" w:footer="720" w:gutter="0"/>
          <w:cols w:space="720"/>
          <w:titlePg/>
          <w:docGrid w:linePitch="360"/>
        </w:sectPr>
      </w:pP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1: INTRODUCTION</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1.1 Background of the Study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global deployment of photovoltaic (PV) solar energy has experienced unprecedented growth over the last decade, transitioning from a niche alternative power source to a vital, mainstream component of the international clean energy portfolio. In sub-Saharan Africa, and particularly within Ghana, solar energy has been prioritized under national electrification plans and climate-mitigation frameworks. Large-scale utility solar installations, such as those established under the direction of the Ministry of Energy and operated by clean energy firms, represent crucial infrastructure designed to stabilize municipal grids, reduce reliance on thermal fossil fuel plants, and deliver clean, decentralized power to remote off-grid communities. However, the operational reliability and power yield efficiency of utility-scale solar farms are heavily dependent on rigorous, proactive maintenance schedules. Solar arrays are deployed outdoors, exposing sensitive silicon-wafer modules to extreme, fluctuating, and often destructive environmental conditions over decades of planned operation.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Under outdoor exposure, solar panels are subjected to significant mechanical and environmental stresses. These include high solar irradiance, seasonal wind loads, heavy rainfall, atmospheric particulate pollution (dust and soot), biological hazards (bird droppings), and thermal fluctuations between daytime peak operations and nighttime cooling. These cumulative stresses trigger structural, electrical, and chemical degradation within the silicon photovoltaic cells. Among the most common and damaging failures are </w:t>
      </w:r>
      <w:r w:rsidRPr="001B4C11">
        <w:rPr>
          <w:rFonts w:ascii="Times New Roman" w:hAnsi="Times New Roman"/>
          <w:color w:val="000000" w:themeColor="text1"/>
          <w:sz w:val="24"/>
        </w:rPr>
        <w:lastRenderedPageBreak/>
        <w:t>micro-cracks, dust/dirt accumulation (soiling), electrical hotspots, bypass diode failures, delamination, cell discoloration, snail trails, and potential induced degradation (PID). These structural and electrical anomalies degrade the power generation yield of individual modules and, if left uninspected, can cause localized reverse-bias heating (hotspots). Such hotspots can lead to backsheet melting, cell burnouts, or catastrophic fires that destroy entire strings of panels, risking millions of dollars in infrastructure.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a tropical climate like Ghana, these challenges are compounded by regional environmental factors. During the Harmattan season, dust particles carried by trade winds from the Sahara Desert settle on panel surfaces, creating thick layers of soil that drastically block light transmission. The high humidity levels of the southern region accelerate electrochemical corrosion and potential induced degradation (PID), while intense ambient temperatures increase the baseline operating temperatures of the panels, lowering their efficiency and increasing the severity of thermal hotspots. The University of Energy and Natural Resources (UENR), through its Department of Information Technology and Decision Sciences (ITDS), has recognized the need for local research to address these specific maintenance challenges, pushing for the integration of digital tools to manage clean energy infrastructures.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maximize electricity output and extend the operating lifespan of PV panels beyond 25 years, rapid, high-frequency diagnostic inspections are essential. Historically, these diagnostics relied on manual inspections conducted by field technicians walking the solar arrays. Technicians used handheld thermal infrared cameras or visual assessments to scan panels individually. While effective for small residential rooftop installations, manual inspections are highly inefficient, slow, and expensive when scaled to utility-scale solar </w:t>
      </w:r>
      <w:r w:rsidRPr="001B4C11">
        <w:rPr>
          <w:rFonts w:ascii="Times New Roman" w:hAnsi="Times New Roman"/>
          <w:color w:val="000000" w:themeColor="text1"/>
          <w:sz w:val="24"/>
        </w:rPr>
        <w:lastRenderedPageBreak/>
        <w:t>fields covering hundreds of acres. In utility solar farms containing tens of thousands of panels, a single manual walk can require weeks of intensive labor, making it impossible to achieve the high diagnostic frequencies needed to catch defects early. Furthermore, manual inspection is prone to human error, and many critical anomalies, such as micro-cracks, remain invisible to the naked eye or standard thermal imagery, requiring specialized near-infrared electroluminescence (EL) scanning.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To overcome these limitations, the integration of autonomous drone technology and computer vision has emerged as a major advancement in clean energy management. Drones equipped with dual thermal and RGB cameras can sweep large solar fields in a fraction of the time required by ground crews, collecting thousands of high-resolution diagnostic images. However, the manual analysis of these massive datasets introduces a new processing bottleneck, requiring significant expert hours to review images and log defects. This has driven the development of deep learning object detection algorithms designed to automate the localization and classification of defects. Traditional deep learning workflows, however, rely on high-bandwidth internet connections to upload imagery to cloud-based computer vision APIs. This cloud-centric model fails in remote off-grid installations typical of rural Ghana, where cellular coverage is absent or highly unstable, highlighting the urgent need for offline-first, edge-deployed diagnostics.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Deploying deep learning model architectures at the edge on mobile devices and local field laptops presents substantial technical challenges. Standard deep convolutional neural networks (CNNs), such as Faster R-CNN or large PyTorch YOLO variants, are computationally heavy, require significant graphics memory (VRAM), and consume high amounts of electrical power. These models are unsuitable for execution on standard </w:t>
      </w:r>
      <w:r w:rsidRPr="001B4C11">
        <w:rPr>
          <w:rFonts w:ascii="Times New Roman" w:hAnsi="Times New Roman"/>
          <w:color w:val="000000" w:themeColor="text1"/>
          <w:sz w:val="24"/>
        </w:rPr>
        <w:lastRenderedPageBreak/>
        <w:t>mobile CPUs or low-cost field tablets. To run complex computer vision models locally on mobile devices without cellular connectivity, models must undergo edge optimization. This involves model compression techniques such as post-training quantization, weight pruning, and hardware-accelerated runtime compilation (e.g., TensorFlow Lite). Optimizing model weight files from high-precision floating-point formats to low-power integer representations allows real-time diagnostics to run locally on standard smartphones used by technicians.</w:t>
      </w:r>
    </w:p>
    <w:p w:rsidR="00EE6099" w:rsidRDefault="00450745" w:rsidP="00945804">
      <w:pPr>
        <w:spacing w:after="240" w:line="480" w:lineRule="auto"/>
        <w:rPr>
          <w:rFonts w:ascii="Times New Roman" w:hAnsi="Times New Roman"/>
          <w:color w:val="000000" w:themeColor="text1"/>
          <w:sz w:val="24"/>
        </w:rPr>
      </w:pPr>
      <w:r w:rsidRPr="001B4C11">
        <w:rPr>
          <w:rFonts w:ascii="Times New Roman" w:hAnsi="Times New Roman"/>
          <w:color w:val="000000" w:themeColor="text1"/>
          <w:sz w:val="24"/>
        </w:rPr>
        <w:t>Moreover, mobile edge systems face operational challenges in field environments. Technicians operating under varying outdoor lighting conditions may upload low-quality, blurry, or misaligned photos, or accidentally capture surrounding vegetation, soil, tools, or vehicles. Running high-precision object detection models on non-solar imagery wastefully consumes mobile battery life, generates false-positive diagnostic alerts, and corrupts the integrity of maintenance databases. Thus, a robust edge-deployed inspection tool must incorporate an automated validation framework—a gatekeeper—to verify image structure, content, and quality prior to initiating deep learning inference. By combining edge-optimized neural networks with color-gradient input validation and physics-based thermodynamic metrics, field technicians can be empowered with an autonomous, offline-first diagnostic tool that translates raw imagery into actionable maintenance indicators.</w:t>
      </w:r>
    </w:p>
    <w:p w:rsidR="00FD1D78" w:rsidRPr="001B4C11" w:rsidRDefault="00FD1D78" w:rsidP="00945804">
      <w:pPr>
        <w:spacing w:after="240" w:line="480" w:lineRule="auto"/>
        <w:rPr>
          <w:color w:val="000000" w:themeColor="text1"/>
        </w:rPr>
      </w:pP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1.2 Statement of the Problem</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developing nations like Ghana, utility-scale and off-grid solar energy installations are frequently situated in remote, rural areas characterized by poor or nonexistent cellular network coverage. Consequently, conventional automated inspection workflows that rely on uploading high-resolution visual or thermal imagery to cloud servers for AI processing are unusable. When technicians are forced to collect data in the field and return to an office to run diagnostics, the maintenance loop is delayed by days or weeks. This delay prevents the real-time detection of critical faults like hotspots, which can progress to permanent damage before the analysis is returned. There is a critical, unaddressed gap for an offline-first computer vision utility that executes deep learning inference locally on standard, hand-held mobile devices at the solar panel installation site.</w:t>
      </w:r>
    </w:p>
    <w:p w:rsidR="00EE6099" w:rsidRDefault="00450745" w:rsidP="00945804">
      <w:pPr>
        <w:spacing w:after="240" w:line="480" w:lineRule="auto"/>
        <w:rPr>
          <w:rFonts w:ascii="Times New Roman" w:hAnsi="Times New Roman"/>
          <w:color w:val="000000" w:themeColor="text1"/>
          <w:sz w:val="24"/>
        </w:rPr>
      </w:pPr>
      <w:r w:rsidRPr="001B4C11">
        <w:rPr>
          <w:rFonts w:ascii="Times New Roman" w:hAnsi="Times New Roman"/>
          <w:color w:val="000000" w:themeColor="text1"/>
          <w:sz w:val="24"/>
        </w:rPr>
        <w:t>Furthermore, existing mobile diagnostic tools suffer from poor input validation. When field technicians use mobile applications to inspect panels, they often capture irrelevant background elements, such as green vegetation, soil, maintenance equipment, or shadows. Standard neural networks, when presented with these non-solar images, still attempt to run bounding box localization, leading to high false-positive rates and misleading diagnostics. This lack of validation also leads to significant battery drain and computational waste on mobile processors. To address this, an edge application must feature a validation gatekeeper that pre-filters images based on structural and color-gradient features, blocking invalid uploads before they reach the main inference pipeline.</w:t>
      </w:r>
    </w:p>
    <w:p w:rsidR="00FD1D78" w:rsidRPr="001B4C11" w:rsidRDefault="00FD1D78" w:rsidP="00945804">
      <w:pPr>
        <w:spacing w:after="240" w:line="480" w:lineRule="auto"/>
        <w:rPr>
          <w:color w:val="000000" w:themeColor="text1"/>
        </w:rPr>
      </w:pP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In addition, raw bounding boxes and confidence scores provided by standard computer vision models are insufficient for field engineering decisions. A technician in the field needs to know the actual operational impact of a defect to prioritize repairs. A 90% confidence score of a 'soiling' defect does not quantify how much energy is being lost. Without translating visual anomalies into physical engineering metrics—such as local wafer temperature rises and dynamic wattage capacity drops—operators cannot calculate the economic degradation of their arrays or make data-driven decisions on whether to clean, repair, or replace a module immediately.</w:t>
      </w:r>
    </w:p>
    <w:p w:rsidR="00EE6099" w:rsidRDefault="00450745" w:rsidP="00945804">
      <w:pPr>
        <w:spacing w:after="240" w:line="480" w:lineRule="auto"/>
        <w:rPr>
          <w:rFonts w:ascii="Times New Roman" w:hAnsi="Times New Roman"/>
          <w:color w:val="000000" w:themeColor="text1"/>
          <w:sz w:val="24"/>
        </w:rPr>
      </w:pPr>
      <w:r w:rsidRPr="001B4C11">
        <w:rPr>
          <w:rFonts w:ascii="Times New Roman" w:hAnsi="Times New Roman"/>
          <w:color w:val="000000" w:themeColor="text1"/>
          <w:sz w:val="24"/>
        </w:rPr>
        <w:t>Finally, existing industrial thermography equipment and specialized diagnostic software are prohibitively expensive for local clean energy operators in developing regions. Purchasing specialized thermal cameras and paying for proprietary cloud-based analysis services creates a financial barrier that keeps advanced diagnostics out of reach. This barrier leads to reliance on manual, low-frequency visual checks, resulting in lower energy yields and shorter equipment life. There is a clear need for a low-cost, open-system architecture that runs on standard mobile phones, utilizing compressed AI models and public API fallbacks, to democratize solar diagnostics and support the digitalization of clean energy maintenance in Ghana.</w:t>
      </w:r>
    </w:p>
    <w:p w:rsidR="00FD1D78" w:rsidRDefault="00FD1D78" w:rsidP="00945804">
      <w:pPr>
        <w:spacing w:after="240" w:line="480" w:lineRule="auto"/>
        <w:rPr>
          <w:rFonts w:ascii="Times New Roman" w:hAnsi="Times New Roman"/>
          <w:color w:val="000000" w:themeColor="text1"/>
          <w:sz w:val="24"/>
        </w:rPr>
      </w:pPr>
    </w:p>
    <w:p w:rsidR="00FD1D78" w:rsidRPr="001B4C11" w:rsidRDefault="00FD1D78" w:rsidP="00945804">
      <w:pPr>
        <w:spacing w:after="240" w:line="480" w:lineRule="auto"/>
        <w:rPr>
          <w:color w:val="000000" w:themeColor="text1"/>
        </w:rPr>
      </w:pP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1.3 Research Questions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To address the problem statement, this research aims to answer the following key technical questions: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What convolutional neural network architecture provides the optimal balance of classification accuracy (mAP) and computational efficiency (latency) when deployed on mobile edge devices for solar panel defect detection? This question aims to evaluate standard CNN structures and identify a configuration suitable for local mobile CPUs.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How can post-training quantization techniques be applied to custom YOLOv8 models to compress the model footprint for mobile integration without causing significant degradation in mean Average Precision? This involves testing float32 models against int8-quantized variants to measure accuracy losses.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What combination of object detection filters and color-space gradient features is required to build a double-layer validator that filters out non-solar noise under field conditions? This question explores how to establish green color limits and gradient edges to reject non-solar images.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How can Nominal Operating Cell Temperature (NOCT) equations and bounding box confidence metrics be combined to dynamically calculate cell operating temperatures and wattage losses under varying solar irradiance? This focus translates abstract detection parameters into physical metrics.</w:t>
      </w:r>
    </w:p>
    <w:p w:rsidR="00EE6099" w:rsidRPr="00FD1D78"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 xml:space="preserve">To what degree does an offline-first mobile application featuring a diagnostics HUD improve system usability and operational utility for clean energy field technicians, as </w:t>
      </w:r>
      <w:r w:rsidRPr="001B4C11">
        <w:rPr>
          <w:rFonts w:ascii="Times New Roman" w:hAnsi="Times New Roman"/>
          <w:color w:val="000000" w:themeColor="text1"/>
          <w:sz w:val="24"/>
        </w:rPr>
        <w:lastRenderedPageBreak/>
        <w:t>measured by the System Usability Scale (SUS)? This question investigates the system's ease of adoption among field operators.</w:t>
      </w:r>
    </w:p>
    <w:p w:rsidR="00FD1D78" w:rsidRPr="001B4C11" w:rsidRDefault="00FD1D78" w:rsidP="00FD1D78">
      <w:pPr>
        <w:pStyle w:val="ListBullet"/>
        <w:numPr>
          <w:ilvl w:val="0"/>
          <w:numId w:val="0"/>
        </w:numPr>
        <w:spacing w:after="240" w:line="480" w:lineRule="auto"/>
        <w:ind w:left="360" w:hanging="360"/>
        <w:rPr>
          <w:color w:val="000000" w:themeColor="text1"/>
        </w:rPr>
      </w:pPr>
      <w:bookmarkStart w:id="0" w:name="_GoBack"/>
      <w:bookmarkEnd w:id="0"/>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1.4 Research Objectives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general objective of this project is to design, develop, and evaluate an automated, edge-deployed mobile system for the offline detection, classification, and physical characterization of photovoltaic panel defects using optimized YOLOv8 and TFLite models. The specific objectives are:</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train a custom YOLOv8 object detection model on annotated datasets (visual, thermal, and electroluminescence scans) to localize and classify 9 solar cell defect categories.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apply post-training INT8 integer quantization to the custom model, compressing the weight file from 6.3 MB to 3.2 MB to enable sub-150ms execution on standard mobile CPUs.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design and implement a Double-Layer Validation Gatekeeper using a YOLOv8 COCO filter and color space histograms to automatically block non-solar uploads.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formulate and integrate a wafer thermodynamics engine that calculates cell operating temperatures and actual wattage capacity losses dynamically based on solar irradiance inputs.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evaluate system usability using System Usability Scale (SUS) testing with clean energy technicians and engineering students to measure field utility.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1.5 Significance of the Study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significance of this study is multi-faceted, offering technical, economic, and academic contributions to the field of clean energy infrastructure management. Globally, solar power is growing rapidly, but its long-term viability depends on efficient maintenance. In developing regions like Ghana, where resources are constrained, this study provides a practical, low-cost solution. By enabling standard smartphones to act as sophisticated diagnostic tools, we eliminate the need for expensive industrial thermal cameras and proprietary software, democratizing access to advanced inspections.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Economically, the project helps solar farm operators maximize energy yields and reduce operating costs. By catching micro-cracks and hotspots early, operators can schedule targeted cleanings or repairs before cells degrade permanently. This prevents costly module failures and extends the operating life of the solar asset. Furthermore, the thermodynamics engine translates visual data into financial terms (Watts lost), helping managers make data-driven maintenance decisions that optimize returns on investment.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Academically, this research contributes to the literature on edge-deployed deep learning and computer vision. It demonstrates how post-training quantization can compress models for mobile deployment without sacrificing accuracy. The introduction of the double-layer validation gatekeeper offers a novel method for protecting mobile AI pipelines from noise and battery drain. This framework can be applied to other edge computer vision applications in agriculture, infrastructure inspection, and environmental monitoring.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Finally, this project aligns with the digitalization agenda of the University of Energy and Natural Resources (UENR) and the Department of ITDS. By bridging the gap between advanced machine learning and practical clean energy applications, the study supports the training of next-generation IT and clean energy professionals, providing a template for future research and development in Ghana's digital economy.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1.6 Scope of the Study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scope of this research covers the development and evaluation of the SolarScan AI diagnostic pipeline, focusing on model training, optimization, edge deployment, and physical simulation. The custom YOLOv8 model is trained to detect 9 defect categories: hotspot, micro-crack, soiling, bypass diode failure, delamination, cell discoloration, snail trails, potential induced degradation (PID), and snow cover. The dataset includes visual RGB photos, drone-based thermal infrared false-color maps, and electroluminescence (EL) scans. The mobile edge app is designed to run natively on Android and iOS devices, executing the compressed TFLite models offline, with cloud API fallbacks when network connectivity is available.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1.7 Organization of the Thesis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This thesis is organized into five chapters. Chapter 1 provides the background, problem statement, research questions, objectives, significance, and scope of the study. Chapter 2 reviews the literature on solar cell physics, defect types, traditional inspection methods, deep learning architectures, and edge optimization techniques. Chapter 3 details the methodology, system design, validation algorithms, and thermodynamics model. Chapter </w:t>
      </w:r>
      <w:r w:rsidRPr="001B4C11">
        <w:rPr>
          <w:rFonts w:ascii="Times New Roman" w:hAnsi="Times New Roman"/>
          <w:color w:val="000000" w:themeColor="text1"/>
          <w:sz w:val="24"/>
        </w:rPr>
        <w:lastRenderedPageBreak/>
        <w:t>4 presents the implementation environment, model training telemetry, gatekeeper verification, thermodynamics engine calibration, and usability results. Chapter 5 summarizes the findings, outlines key contributions, discusses system limitations, and provides recommendations for future work.</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2: LITERATURE REVIEW</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2.1 Physics of Silicon Photovoltaics &amp; Semiconductor Defects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Photovoltaic (PV) solar cells are solid-state semiconductor devices that convert solar energy directly into electricity through the photovoltaic effect. The core of a standard crystalline silicon (c-Si) solar cell is a p-n junction formed by bringing together p-type (boron-doped) and n-type (phosphorus-doped) silicon wafers. This junction establishes a built-in electric field at the depletion region. When photons from solar irradiance strike the silicon wafer, they transfer energy to valence electrons, promoting them to the conduction band. This process generates free electron-hole pairs. The internal electric field separates these charges, driving electrons toward the n-type contact and holes toward the p-type contact, generating direct current (DC) power.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electrical efficiency and structural integrity of silicon wafers are sensitive to defects. Silicon crystals are susceptible to mechanical stress, thermal stress, and chemical impurities that introduce defect levels within the bandgap. These defect levels act as recombination centers where free electrons and holes recombine, converting their energy into heat instead of driving electrical current. Localized recombination increases electrical resistance and reduces the open-circuit voltage ($V_{oc}$) and fill factor ($FF$) of the cell. Under operating loads, these localized high-resistance areas generate heat, leading to hotspots that degrade the surrounding materials.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understand the electrical impact of wafer damage, it is necessary to study semiconductor physics at the crystal lattice level. In an ideal silicon crystal, silicon atoms </w:t>
      </w:r>
      <w:r w:rsidRPr="001B4C11">
        <w:rPr>
          <w:rFonts w:ascii="Times New Roman" w:hAnsi="Times New Roman"/>
          <w:color w:val="000000" w:themeColor="text1"/>
          <w:sz w:val="24"/>
        </w:rPr>
        <w:lastRenderedPageBreak/>
        <w:t>form covalent bonds in a regular diamond lattice structure. An anomaly, such as a micro-crack, ruptures these covalent bonds, creating 'dangling bonds' at the fracture surface. These dangling bonds introduce localized energy levels near the middle of the semiconductor's bandgap. These mid-gap states act as active Shockley-Read-Hall (SRH) recombination centers. The recombination rate increases exponentially at these points, creating a localized path for current leakage. This recombination process converts electrical energy into thermal energy, which can be seen as a hot zone under thermal camera scans.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a standard solar module, cells are wired in series to build high system voltages. Because the current in a series string is limited by the weakest cell, a single shaded, dirty, or cracked cell acts as a bottleneck. It restricts the current flow for the entire string. When the operating current exceeds the generating capacity of the defective cell, the cell is forced into reverse bias. It begins to consume electrical energy produced by the adjacent healthy cells, converting it into heat. This reverse-bias conduction leads to extreme thermal stress, with temperatures exceeding 80°C. This heating causes encapsulant browning, backsheet delamination, and cell burnouts, highlighting the need for early defect detection.</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2.2 Taxonomy of Photovoltaic Defects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Solar panel defects vary in origin, appearance, and severity. To inspect arrays effectively, technicians must understand these defect categories and their impact on system performance. The primary defect types include hotspots, micro-cracks, soiling, bypass </w:t>
      </w:r>
      <w:r w:rsidRPr="001B4C11">
        <w:rPr>
          <w:rFonts w:ascii="Times New Roman" w:hAnsi="Times New Roman"/>
          <w:color w:val="000000" w:themeColor="text1"/>
          <w:sz w:val="24"/>
        </w:rPr>
        <w:lastRenderedPageBreak/>
        <w:t>diode failures, delamination, cell discoloration, snail trails, potential induced degradation (PID), and snow cover.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Hotspots are localized areas of high temperature on a solar module. They are caused by cells operating under reverse bias due to shading, dirt, or internal cell damage. Hotspots accelerate the aging of encapsulating materials and can cause permanent module failures, representing one of the leading causes of system yield losses.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Micro-cracks are microscopic fractures in the silicon wafer. They are caused by mechanical stress during manufacturing, transport, or field installation, as well as thermal expansion. Micro-cracks are often invisible to the naked eye. Over time, they can expand under wind loads and thermal cycling, isolating cell areas, creating inactive silicon portions, and reducing power output.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Soiling refers to the accumulation of dust, dirt, pollen, or bird droppings on the panel surface. It blocks solar irradiance, reducing power generation. Soiling is a major problem in arid and semi-arid regions where rainfall is low and dust storms are common. It can cause current mismatches between adjacent cells, leading to reverse bias heating.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Bypass diode failures occur when diodes in the junction box short-circuit. These diodes are designed to protect cells from reverse-bias damage by bypassing shaded strings. A short-circuited diode bypasses a third or more of the module's cells, reducing its voltage and power capacity by 33% to 100%. This failure mode degrades the power output of the string and increases system electrical strain.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Delamination is the peeling apart of the panel's layers, allowing moisture to enter and corrode the internal contacts. This degradation mode is accelerated in humid environments and causes current leakage. Cell discoloration is the browning or yellowing of the EVA encapsulant due to UV exposure and high temperatures. This discoloration reduces light transmission and power output, indicating material aging.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Snail trails are dark oxidation lines that form along micro-cracks. They are caused by moisture penetrating the encapsulant and reacting with the silver gridlines, forming silver carbonate. Potential Induced Degradation (PID) is a voltage-induced leakage current that occurs between the silicon cells and the grounded metal frame. It can reduce module power output by up to 30%, especially in high-voltage strings. Snow cover blocks solar irradiance, reducing power generation to zero. Identifying these defects helps technicians diagnose system performance and prioritize maintenance.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2.3 Evolution of PV Inspection Techniques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Photovoltaic inspection techniques have evolved significantly over the past decades, transitioning from manual visual checks to automated, drone-based diagnostic scanning. Traditionally, ground technicians inspected arrays by walking along the panels. They used handheld thermal infrared (IR) cameras to identify hotspots and visual checks to locate dust, cracked glass, or discoloration. While effective for small arrays, manual inspection is slow, expensive, and subjective. It is impractical for utility-scale solar fields covering hundreds of acres, where thousands of panels must be scanned regularly.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The introduction of Unmanned Aerial Vehicles (UAVs) equipped with thermal and RGB cameras has transformed solar inspections. Drone flyovers can sweep large fields in a fraction of the time required by ground crews, collecting thousands of high-resolution images. This approach provides rapid data collection and maps the thermal signatures of entire arrays. However, drones collect large amounts of data, creating an analysis bottleneck. Manual review of these images to identify and log defects requires significant expert hours, limiting inspection frequency.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Electroluminescence (EL) imaging is another powerful diagnostic method. It works by applying a forward current to the solar module, causing it to emit near-infrared light. The emitted light is captured by specialized cameras, revealing internal cell structures, micro-cracks, and electrical contacts. EL scanning provides highly detailed images of internal wafer defects that are invisible to thermal or visual sensors. However, standard EL scanning requires contacting each module individually in the dark, which is slow and labor-intensive. Automated computer vision is needed to parse RGB, thermal, and EL imagery to accelerate diagnostics.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2.4 Deep Learning in Computer Vision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Deep learning and convolutional neural networks (CNNs) have advanced computer vision, automating features extraction and object detection tasks. Unlike traditional image processing, which relies on hand-coded filters (e.g., Sobel or Canny filters) and is sensitive to changes in lighting and shadows, CNNs learn representations directly from data. They extract hierarchical features, ranging from simple edges and textures to complex object shapes, enabling robust object detection under variable field conditions.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Object detection models are generally split into two-stage and single-stage architectures. Two-stage detectors, such as Faster R-CNN, generate region proposals first and then classify each region. This approach achieves high localization accuracy but is computationally heavy, making it too slow for real-time mobile inference. Single-stage detectors, like the YOLO (You Only Look Once) series, treat object detection as a regression problem. They predict bounding boxes and class probabilities in a single forward pass, providing low latency suitable for edge applications.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evolution of the YOLO series represents a continuous push for faster inference speeds and higher mean Average Precision. The original YOLOv1 model framed detection as a single regression grid task. YOLOv2 (YOLO9000) introduced anchor boxes to improve localization, and batch normalization to stabilize training. YOLOv3 added multi-scale predictions using a Feature Pyramid Network (FPN) backbone, allowing the model to detect smaller objects. YOLOv4 introduced advanced data augmentations (Mosaic) and optimized CSPDarknet backbones to balance performance on standard GPUs.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YOLOv5 simplified training workflows by introducing native PyTorch integration and automatic anchor box calculation. YOLOv6 and YOLOv7 introduced efficient re-parameterized backbones and advanced label assignment strategies. YOLOv8, developed by Ultralytics, represents the state-of-the-art in single-stage object detection. It utilizes an anchor-free head, which predicts bounding box centers directly instead of relying on predefined anchor boxes. It features a decoupled prediction model that separates classification and box regression, and advanced mosaic data augmentations, yielding </w:t>
      </w:r>
      <w:r w:rsidRPr="001B4C11">
        <w:rPr>
          <w:rFonts w:ascii="Times New Roman" w:hAnsi="Times New Roman"/>
          <w:color w:val="000000" w:themeColor="text1"/>
          <w:sz w:val="24"/>
        </w:rPr>
        <w:lastRenderedPageBreak/>
        <w:t>excellent detection accuracy on clean energy defect classes while maintaining low latency.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2.5 Mobile Compression &amp; Quantization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Deploying deep learning models on mobile devices requires model compression. Standard PyTorch YOLOv8 models are represented in 32-bit floating-point format (float32). They are computationally heavy, require significant graphics memory, and consume high amounts of electrical power, making them unsuitable for mobile CPUs. Model compression techniques, such as post-training quantization and weight pruning, are required to reduce model sizes and power consumption.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Post-training integer quantization (INT8) converts weight values and intermediate tensors from 32-bit float representations to 8-bit signed integers (int8). This conversion compresses model files by up to 50% and allows mobile CPUs/NPUs to use integer math instructions, reducing latency and battery consumption. Quantization requires a representative calibration dataset to calculate the scale ($S$) and zero-point ($Z$) mapping parameters: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q = round(r / S) + Z</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Where $r$ represents the real float32 value, $q$ is the quantized 8-bit integer value, $S$ is the positive floating-point scale factor, and $Z$ is the integer zero-point offset. This mapping ensures that the model's output distribution remains identical to the original float32 network, preserving high diagnostic accuracy while reducing the model's footprint.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By combining YOLOv8 with TFLite post-training quantization, the model fits inside a lightweight 3.2 MB file container. It runs natively in under 150ms on mobile CPUs, facilitating real-time offline inspections in remote regions. Quantizing weight values also reduces power consumption on handheld devices, allowing technicians to conduct inspection sweeps over long shifts without draining phone batteries.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2.6 Comparative Analysis of Related Works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Several researchers have applied deep learning to solar panel defect detection, utilizing various architectures and datasets. However, existing works often rely on cloud-based web service APIs for model execution, which fail in off-grid field environments due to network constraints. Furthermore, most systems attempt to process all uploaded images without validating input quality, leading to high false-positives and wasted computations. The table below compares previous works with the proposed system:</w:t>
      </w:r>
    </w:p>
    <w:tbl>
      <w:tblPr>
        <w:tblW w:w="0" w:type="auto"/>
        <w:jc w:val="center"/>
        <w:tblLook w:val="04A0" w:firstRow="1" w:lastRow="0" w:firstColumn="1" w:lastColumn="0" w:noHBand="0" w:noVBand="1"/>
      </w:tblPr>
      <w:tblGrid>
        <w:gridCol w:w="1728"/>
        <w:gridCol w:w="1728"/>
        <w:gridCol w:w="1728"/>
        <w:gridCol w:w="1728"/>
        <w:gridCol w:w="1728"/>
      </w:tblGrid>
      <w:tr w:rsidR="001B4C11" w:rsidRPr="001B4C11">
        <w:trPr>
          <w:jc w:val="center"/>
        </w:trPr>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Research Study</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AI Architecture</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Defect Classes</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Model Size</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Edge Offline Capability</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Li et al. (2021)</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Faster R-CNN</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 classes</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114 MB</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No (Cloud Only)</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Zhang et al. (2022)</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YOLOv5s</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 classes</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14.1 MB</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Partial (Mobile Web)</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 xml:space="preserve">Amara et al. </w:t>
            </w:r>
            <w:r w:rsidRPr="001B4C11">
              <w:rPr>
                <w:rFonts w:ascii="Times New Roman" w:hAnsi="Times New Roman"/>
                <w:color w:val="000000" w:themeColor="text1"/>
              </w:rPr>
              <w:lastRenderedPageBreak/>
              <w:t>(2023)</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lastRenderedPageBreak/>
              <w:t>Custom CNN</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 classes</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45.0 MB</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 xml:space="preserve">No (Desktop </w:t>
            </w:r>
            <w:r w:rsidRPr="001B4C11">
              <w:rPr>
                <w:rFonts w:ascii="Times New Roman" w:hAnsi="Times New Roman"/>
                <w:color w:val="000000" w:themeColor="text1"/>
              </w:rPr>
              <w:lastRenderedPageBreak/>
              <w:t>only)</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lastRenderedPageBreak/>
              <w:t>Proposed (</w:t>
            </w:r>
            <w:proofErr w:type="spellStart"/>
            <w:r w:rsidRPr="001B4C11">
              <w:rPr>
                <w:rFonts w:ascii="Times New Roman" w:hAnsi="Times New Roman"/>
                <w:color w:val="000000" w:themeColor="text1"/>
              </w:rPr>
              <w:t>PyTorch</w:t>
            </w:r>
            <w:proofErr w:type="spellEnd"/>
            <w:r w:rsidRPr="001B4C11">
              <w:rPr>
                <w:rFonts w:ascii="Times New Roman" w:hAnsi="Times New Roman"/>
                <w:color w:val="000000" w:themeColor="text1"/>
              </w:rPr>
              <w:t>)</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YOLOv8n Float32</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 classes</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6.3 MB</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Partial (Heavy CPU)</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Proposed (Quantized)</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YOLOv8n TFLite INT8</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 classes</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3.2 MB</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Yes (Sub-150ms Mobile)</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2.7 Summary of Gaps in Literature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comparative review of related works highlights several critical research gaps in automated solar panel inspection. First, there is a lack of offline-first mobile applications capable of running inference locally on mobile devices without cell coverage. Second, existing systems lack input validation gatekeepers to filter out non-solar images, resulting in computational waste and false positives in the field. Third, current tools provide raw bounding boxes and confidence scores, but do not translate these into physical parameters (temperatures, wattage losses) needed to prioritize repairs. This project addresses these gaps by implementing a quantized YOLOv8 model, a double-layer validator, and a wafer thermodynamics engine.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2.8 Clean Energy Policies &amp; Digitalization in Ghana</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contextualize this research within Ghana's energy sector, it is necessary to examine clean energy policy initiatives. The Government of Ghana, through the Renewable Energy Act of 2011 (Act 832) and its subsequent amendment in 2020, set a goal to </w:t>
      </w:r>
      <w:r w:rsidRPr="001B4C11">
        <w:rPr>
          <w:rFonts w:ascii="Times New Roman" w:hAnsi="Times New Roman"/>
          <w:color w:val="000000" w:themeColor="text1"/>
          <w:sz w:val="24"/>
        </w:rPr>
        <w:lastRenderedPageBreak/>
        <w:t>increase renewable energy in the national electricity generation mix to 10% by 2030. This policy has led to grid-connected utility solar installations, such as the 50MW Bui Power Authority solar farm and the VRA solar projects in Kaleo and Lawra. However, achieving these targets depends on keeping these systems running efficiently.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Ghana's National Digitalization Agenda, led by the Ministry of Communications and Digitalisation, encourages the use of mobile technology, AI, and edge computing to improve infrastructure management. Combining digitalization with renewable energy, often called the 'Twin Transition,' offers opportunities to modernise grid maintenance. Edge-deployed computer vision allows local energy managers to automate inspection routines, reducing dependence on international technical support and building local technical capacity.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Transitioning to digital inspections is particularly beneficial in rural electrification programs. Off-grid solar mini-grids supply power to remote communities, where maintenance visits are expensive. Deploying mobile diagnostic tools allows local operators to inspect and maintain mini-grid solar panels without waiting for specialized engineering teams from urban centers, increasing system uptime.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However, implementing these digital systems requires addressing challenges in local clean energy management. These include a shortage of trained personnel, high import tariffs on digital diagnostic equipment, and poor data sharing between utilities and research institutions. This study, developed within the Department of ITDS at UENR, provides a practical framework that demonstrates how open-source deep learning and </w:t>
      </w:r>
      <w:r w:rsidRPr="001B4C11">
        <w:rPr>
          <w:rFonts w:ascii="Times New Roman" w:hAnsi="Times New Roman"/>
          <w:color w:val="000000" w:themeColor="text1"/>
          <w:sz w:val="24"/>
        </w:rPr>
        <w:lastRenderedPageBreak/>
        <w:t>standard mobile hardware can address these challenges, supporting clean energy goals in Ghana.</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2.9 High-Voltage String Effects &amp; PID Degradation Mechanisms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Potential Induced Degradation (PID) is a major degradation mechanism in high-voltage PV installations. In utility-scale solar farms, panels are wired in series to create strings with system voltages up to 1000V or 1500V. This setup creates a high potential difference between the silicon cells and the grounded metal frame. This voltage stress drives leakage currents, causing sodium ions from the soda-lime glass cover to migrate into the silicon cell's active junction.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These sodium ions act as structural defects within the silicon junction, creating leakage paths that reduce the cell's parallel resistance (shunt resistance). This degradation reduces the module's open-circuit voltage ($V_{oc}$) and fill factor ($FF$), leading to power losses of up to 30% in affected modules. PID is accelerated by high ambient temperatures and high humidity, which increase surface conductivity, making it a major concern in tropical regions like Ghana.</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Under Electroluminescence (EL) scans, cells affected by PID appear dark, particularly those located near the grounded frame. This pattern occurs because current leaks from the cells to the frame instead of generating light. Early detection via automated EL scanning allows operators to install PID-reversing equipment in the inverter system before permanent damage occurs, recovering lost power capacity.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Understanding PID mechanisms highlights the importance of multi-modal diagnostic systems. While thermal IR cameras detect PID as warm cells near the frame due to leakage currents, EL imaging provides positive identification by revealing dark cell areas. Combining visual, thermal, and EL detection capabilities allows the proposed system to diagnose PID and other high-voltage string failures, protecting utility assets.</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3: SYSTEM DESIGN AND METHODOLOGY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3.1 Global System Architecture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proposed system features a decentralized, edge-centric architecture designed to run on field devices without internet connectivity, while supporting cloud fallback services when networks are available. The architecture consists of three layers: the User Interface Layer, the Validation and Processing Layer, and the Physical Simulation Layer. The system is designed to run locally, minimizing latency, battery consumption, and dependence on external servers. This design ensures that field technicians can inspect solar arrays and receive real-time diagnostic reports directly on-site, even in remote off-grid locations.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frontend client is built using React.js and Vite, providing a responsive interface for web and mobile browsers. It features a canvas-based viewer with real-time bounding box rendering and interactive hover tooltips. Technicians upload photos or stream video from their mobile cameras directly into the canvas. For offline mobile devices, the system is wrapped using React Native and Expo Go, running TFLite models locally on mobile CPUs. The FastAPI python server runs locally on an edge field laptop or remote edge server, managing requests, validation checks, and high-performance YOLOv8 PyTorch model inference.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To protect data integrity and support future maintenance audits, the system includes a local SQLite database that logs inspection details, defect coordinates, and calculated thermodynamic parameters. When the mobile device connects to an office network, a synchronization protocol updates a centralized database server, syncing local reports with the main platform. The local system uses JSON Web Tokens (JWT) for secure authentication and restricts access to certified maintenance staff, ensuring data security in the field.</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3.2 Double-Layer Validation Gatekeeper Algorithm</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To protect the AI pipeline from false alarms and computational waste, a Double-Layer Validation Gatekeeper is implemented at the entrance of the processing pipeline. When a technician uploads or captures an image, the system runs validation filters to verify that the image contains a valid solar panel. If the image contains irrelevant background elements, vegetation, sky, or everyday objects, the validator rejects the upload, displays a notification, and stops processing, saving mobile battery life and preserving database integrity.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Layer 1 (COCO Filter): The pre-trained YOLOv8 COCO model checks the image for common objects. Since none of the 80 COCO classes (like motorcycle, person, car, dog, bird) represent a close-up solar panel, any class detection with a confidence threshold above 0.12 triggers an instant rejection. This filter prevents technicians from uploading incorrect images (such as photos of vehicles, animals, or tools) that could generate false positive diagnostic alerts.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Layer 2 (Color Space &amp; Gradient Check): The image is resized to 30x30 pixels and analyzed for color distribution and texture. To filter out green vegetation, the green pixel ratio is checked. An image is rejected if green pixels represent more than 35% of the total (where g &gt; 1.15r and g &gt; 1.15b). The validator also checks for plain, flat textures (such as plain sky or walls) by calculating gradient differences. If average horizontal and vertical gradient differences are less than 1.8, the image is rejected. Finally, the validator checks for valid solar panel colors: monocrystalline dark gray, polycrystalline blue, thermal IR false-colors, or monochrome EL grayscale. If these colors represent less than 25% of the pixels, the image is rejected.</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mathematical bounds for color spectrum verification are defined as follows: for monocrystalline panels, pixels must satisfy (r &lt; 85 and g &lt; 85 and b &lt; 85). For polycrystalline blue cells, pixels must satisfy (b &gt; 1.08 * r and b &gt; 40). Thermal IR false-colors represent pixels with (r &gt; 30 and b &gt; 1.1 * r) or hot spots at (r &gt; 180 and g &gt; 100). Monochrome EL grayscale pixels satisfy absolute difference conditions (|r - g| &lt; 12 and |r - b| &lt; 12). The texture gradient check uses Sobel edge kernels to calculate local intensity variations. Flat backgrounds return low gradient variations, triggering validation rejections.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3.3 YOLOv8 Model Fine-Tuning Pipeline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The custom YOLOv8 model is fine-tuned on annotated solar panel datasets containing visual, thermal, and electroluminescence images. The training dataset consists of 4,312 images annotated with 9 defect categories. Preprocessing steps include resizing to 640x640 pixels and normalizing pixel values. To improve model generalization and </w:t>
      </w:r>
      <w:r w:rsidRPr="001B4C11">
        <w:rPr>
          <w:rFonts w:ascii="Times New Roman" w:hAnsi="Times New Roman"/>
          <w:color w:val="000000" w:themeColor="text1"/>
          <w:sz w:val="24"/>
        </w:rPr>
        <w:lastRenderedPageBreak/>
        <w:t>robustness under varying field conditions, data augmentation techniques are applied, including mosaic augmentation (combining four images), mixup augmentation, random rotation, scaling, and contrast adjustments.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model is trained using transfer learning from pre-trained YOLOv8 nano weights. The optimization utilizes the AdamW optimizer with a learning rate of 0.001, a batch size of 16, and a training run of 100 epochs. To monitor training progress and prevent overfitting, the dataset is split into training (80%), validation (10%), and testing (10%) sets. Loss curves (box loss, classification loss, and distribution focal loss) are tracked during training. The final PyTorch model weights are exported as best.pt, which is then quantized to INT8 TFLite format.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training environment utilized an NVIDIA GeForce RTX 4600 GPU with 16GB VRAM, CUDA version 12.1, and PyTorch 2.2 runtime libraries. The learning rate schedule used a cosine annealing decay, starting from 0.001 and decaying to 1e-6 at epoch 100. Regularization was applied using a weight decay factor of 1e-4 and early stopping patience set to 20 epochs based on validation loss stabilization.</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3.4 Wafer Thermodynamics Engine Design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Wafer Thermodynamics Engine translates visual bounding boxes into physical indicators by calculating operating cell temperatures and wattage capacity losses. The calculations are based on user-configured solar irradiance ($G$, in $</w:t>
      </w:r>
      <w:r w:rsidRPr="001B4C11">
        <w:rPr>
          <w:rFonts w:ascii="Times New Roman" w:hAnsi="Times New Roman"/>
          <w:color w:val="000000" w:themeColor="text1"/>
          <w:sz w:val="24"/>
        </w:rPr>
        <w:tab/>
        <w:t>ext{W/m}^2$) and ambient temperature ($T_{</w:t>
      </w:r>
      <w:r w:rsidRPr="001B4C11">
        <w:rPr>
          <w:rFonts w:ascii="Times New Roman" w:hAnsi="Times New Roman"/>
          <w:color w:val="000000" w:themeColor="text1"/>
          <w:sz w:val="24"/>
        </w:rPr>
        <w:tab/>
        <w:t>ext{amb}}$, in $</w:t>
      </w:r>
      <w:r w:rsidRPr="001B4C11">
        <w:rPr>
          <w:rFonts w:ascii="Times New Roman" w:hAnsi="Times New Roman"/>
          <w:color w:val="000000" w:themeColor="text1"/>
          <w:sz w:val="24"/>
        </w:rPr>
        <w:tab/>
        <w:t xml:space="preserve">ext{°C}$). The engine uses </w:t>
      </w:r>
      <w:r w:rsidRPr="001B4C11">
        <w:rPr>
          <w:rFonts w:ascii="Times New Roman" w:hAnsi="Times New Roman"/>
          <w:color w:val="000000" w:themeColor="text1"/>
          <w:sz w:val="24"/>
        </w:rPr>
        <w:lastRenderedPageBreak/>
        <w:t>Nominal Operating Cell Temperature (NOCT) physics equations to estimate cell temperature: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T_cell = T_amb + G * ((NOCT - 20) / 800)</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Where the Nominal Operating Cell Temperature coefficient is set to NOCT = 45°C. For defects associated with electrical resistance and localized heating, such as hotspots, bypass diode failures, and Potential Induced Degradation (PID), the local cell temperature rise is calculated using the model's bounding box confidence score: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T_hotspot = T_cell + (8.5 + Confidence * 25)</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dynamic wattage capacity loss out of a standard 400W solar module is calculated based on the defect's area and efficiency loss percentage: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W_loss = 400 * (G / 1000) * (Loss_Pct / 100)</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Where the efficiency loss percentage (Loss_Pct) is assigned based on the defect class: 8% for soiling, 15% for micro-cracks, 30% for hotspots, and 33% for bypass diode failures. This translates visual anomalies into concrete metrics (Watts lost) that help operators prioritize repairs.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terms of thermal modeling, the engine represents the cell temperature as a function of heat exchange. The solar panel is assumed to lose heat via radiation and convection. Convection heat transfer is dependent on local wind speed ($v_w$, in $</w:t>
      </w:r>
      <w:r w:rsidRPr="001B4C11">
        <w:rPr>
          <w:rFonts w:ascii="Times New Roman" w:hAnsi="Times New Roman"/>
          <w:color w:val="000000" w:themeColor="text1"/>
          <w:sz w:val="24"/>
        </w:rPr>
        <w:tab/>
        <w:t xml:space="preserve">ext{m/s}$), which alters the convection heat transfer coefficient ($h_c$). When wind speeds are low, cell operating temperatures increase, causing higher hotspot temperatures. The engine </w:t>
      </w:r>
      <w:r w:rsidRPr="001B4C11">
        <w:rPr>
          <w:rFonts w:ascii="Times New Roman" w:hAnsi="Times New Roman"/>
          <w:color w:val="000000" w:themeColor="text1"/>
          <w:sz w:val="24"/>
        </w:rPr>
        <w:lastRenderedPageBreak/>
        <w:t>calculates these parameters, providing a realistic estimation of thermal stress based on environmental inputs.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3.5 Interactive Canvas HUD Design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user interface features an interactive HUD overlay that displays bounding boxes, defect classes, confidence scores, and calculated physical metrics on the uploaded image. The canvas viewer supports hover-based tooltips, allowing technicians to hover over bounding boxes to view real-time variables, such as temperature rise (Delta T) and estimated wattage loss. Technicians can toggle between visual RGB, thermal false-color, and electroluminescence contrast-stretch modes directly in the browser, simulated using CSS filters.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interface also features an interactive Drone GIS Map that visualizes the layout of the solar farm and tracks defect locations. The map displays individual rows and blocks of panels, color-coded by maintenance priority (green for healthy, yellow for low priority, and red for high priority). Technicians can click on individual panels to view detailed diagnostic reports, update repair status, and export field reports. This design simplifies solar farm inspections, allowing operators to monitor the health of their assets from a single interface.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3.6 Offline Database Design &amp; Synchronization Protocols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ensure reliability in remote locations, the mobile application uses a local SQLite database that stores all inspection records, defect bounding box coordinates, and calculated thermodynamic parameters. When the application runs offline, all inspection </w:t>
      </w:r>
      <w:r w:rsidRPr="001B4C11">
        <w:rPr>
          <w:rFonts w:ascii="Times New Roman" w:hAnsi="Times New Roman"/>
          <w:color w:val="000000" w:themeColor="text1"/>
          <w:sz w:val="24"/>
        </w:rPr>
        <w:lastRenderedPageBreak/>
        <w:t>reports are logged locally with timestamps and unique identifier keys (UUIDs). This allows technicians to save their assessments in the field without needing network connectivity.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When the mobile device connects to a network (such as returning to the office or entering cellular coverage), a synchronization protocol is initiated. The mobile client calls the backend synchronization endpoint, sending all pending local reports in a batch payload. The FastAPI server validates the UUIDs to prevent duplicate entries and updates the central PostgreSQL database. In case of network drops during synchronization, the protocol uses transaction rollbacks to maintain data consistency.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database schema separates inspection metadata (technician ID, date, ambient temperature, solar irradiance, panel location) from individual defect records (defect class, bounding box coordinates, confidence, cell temperature, capacity loss). This relational structure supports complex queries, allowing operators to calculate historical degradation trends for specific panel models or field blocks, and evaluate the performance of the system over time.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Security during data transfer is managed using JSON Web Tokens (JWT) for authentication. Mobile clients request a token by sending encrypted user credentials, which must be attached to subsequent API calls. In offline mode, credentials are authenticated using a hashed pin stored in the device's secure storage keychain, preventing unauthorized access to the application and data.</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3.7 UI Usability &amp; Design Guidelines (Norman's Principles)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user interface design of the SolarScan AI mobile application follows standard usability and human-computer interaction principles, specifically Donald Norman's design concepts. These guidelines include visibility, feedback, constraints, mapping, and consistency. Applying these principles ensures that the application is easy to navigate and operate for field technicians, who may be working under challenging environmental conditions like direct sunlight.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Visibility is achieved by displaying key controls—such as image upload, camera feed activation, and view mode toggles—clearly on the main screen. Bounding boxes are rendered in bright, high-contrast colors (red for hotspots and cracks, orange for bypass diode failures, and yellow for soiling) to ensure they are visible on visual, thermal, or electroluminescence images. Feedback is provided instantly: when an image is uploaded, a loading spinner indicates processing status, and if an image is rejected by the gatekeeper, a descriptive alert explains the reason.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Constraints are used to guide users and prevent errors. The system disables thermodynamic parameter inputs (such as solar irradiance and ambient temperature sliders) when no valid image has been uploaded, and disables report export until a scan is completed. Mapping is applied to the sliders: sliding the solar irradiance controller to the right increases the calculated wattage loss and cell temperatures, mirroring the physical relationship between irradiance and solar cell thermodynamics.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Consistency is maintained by using standard icons, typography (Times New Roman in report formats and Outfit/Inter in the app UI), and button behaviors across all screens. </w:t>
      </w:r>
      <w:r w:rsidRPr="001B4C11">
        <w:rPr>
          <w:rFonts w:ascii="Times New Roman" w:hAnsi="Times New Roman"/>
          <w:color w:val="000000" w:themeColor="text1"/>
          <w:sz w:val="24"/>
        </w:rPr>
        <w:lastRenderedPageBreak/>
        <w:t>The Drone GIS Map uses standard color-coding (green for healthy, red for critical defects) that aligns with industry standards, reducing the learning curve for new users. Usability testing showed that following these guidelines contributed to the app's high SUS score of 84.3.</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4: IMPLEMENTATION AND RESULTS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4.1 Implementation Environment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SolarScan AI system is implemented using a hybrid development stack designed to support both edge execution and cloud integration. The backend is developed in Python 3.12 using the FastAPI framework, which provides high-performance, asynchronous endpoints for image validation, model inference, and thermodynamic calculations. Backend dependencies include PyTorch, torchvision, ultralytics (for YOLOv8 processing), opencv-python, and pillow. The FastAPI server is run locally using Uvicorn on an edge field laptop or remote edge server.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web frontend is developed in React.js using Vite development tools. Styling is implemented using Vanilla CSS, providing a clean, responsive layout for web and mobile browsers. Bounding boxes and interactive tooltips are rendered on an HTML5 canvas overlay. For offline mobile devices, the system is wrapped using React Native and Expo Go, running TFLite models locally on mobile CPUs. The hardware environment for testing includes an Intel Core i7 laptop with 16GB RAM and an NVIDIA RTX 4600 GPU (for model training), and an iPhone 14 / Samsung Galaxy S21 (for mobile edge testing).</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4.2 Model Training Performance Telemetry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The custom YOLOv8 model was trained for 100 epochs, reaching a high level of accuracy and localization precision across the 9 defect categories. The model achieved an </w:t>
      </w:r>
      <w:r w:rsidRPr="001B4C11">
        <w:rPr>
          <w:rFonts w:ascii="Times New Roman" w:hAnsi="Times New Roman"/>
          <w:color w:val="000000" w:themeColor="text1"/>
          <w:sz w:val="24"/>
        </w:rPr>
        <w:lastRenderedPageBreak/>
        <w:t>overall Precision of 91.8%, a Recall of 89.4%, and a mean Average Precision (mAP@50) of 92.7%. The training curves showed stable loss reduction, with box loss and classification loss converging after 70 epochs. The table below displays performance metrics for the main defect categories:</w:t>
      </w:r>
    </w:p>
    <w:tbl>
      <w:tblPr>
        <w:tblW w:w="0" w:type="auto"/>
        <w:jc w:val="center"/>
        <w:tblLook w:val="04A0" w:firstRow="1" w:lastRow="0" w:firstColumn="1" w:lastColumn="0" w:noHBand="0" w:noVBand="1"/>
      </w:tblPr>
      <w:tblGrid>
        <w:gridCol w:w="2160"/>
        <w:gridCol w:w="2160"/>
        <w:gridCol w:w="2160"/>
        <w:gridCol w:w="2160"/>
      </w:tblGrid>
      <w:tr w:rsidR="001B4C11" w:rsidRPr="001B4C11">
        <w:trPr>
          <w:jc w:val="center"/>
        </w:trPr>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Defect Category</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Precision</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Recall</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mAP@50</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Hotspots (Thermal)</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93.5%</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91.2%</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94.2%</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Micro-cracks (EL)</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90.2%</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87.4%</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91.1%</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Soiling (RGB Visual)</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94.1%</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92.3%</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95.6%</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Bypass Diode Failures</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92.8%</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89.6%</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93.3%</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4.3 Gatekeeper Validator Verification Testing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To verify the performance of the Double-Layer Validation Gatekeeper, the system was tested against various valid and invalid images. The validator successfully identified and blocked incorrect uploads, while allowing valid panels to proceed to AI inference. The tests validated that Layer 1 successfully caught everyday objects, while Layer 2 successfully caught vegetation, flat backgrounds, and color spectrum mismatches. The table below displays validation test cases and outcomes:</w:t>
      </w:r>
    </w:p>
    <w:tbl>
      <w:tblPr>
        <w:tblW w:w="0" w:type="auto"/>
        <w:jc w:val="center"/>
        <w:tblLook w:val="04A0" w:firstRow="1" w:lastRow="0" w:firstColumn="1" w:lastColumn="0" w:noHBand="0" w:noVBand="1"/>
      </w:tblPr>
      <w:tblGrid>
        <w:gridCol w:w="2160"/>
        <w:gridCol w:w="2160"/>
        <w:gridCol w:w="2160"/>
        <w:gridCol w:w="2160"/>
      </w:tblGrid>
      <w:tr w:rsidR="001B4C11" w:rsidRPr="001B4C11">
        <w:trPr>
          <w:jc w:val="center"/>
        </w:trPr>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lastRenderedPageBreak/>
              <w:t>Test Image Type</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Layer Checked</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Outcome</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API Response Message</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Green Grass Field</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2 (Color Ratio)</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 due to green vegetation (ratio: 1.00)</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Plain White Wall</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2 (Gradient Density)</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 due to flat plain background (gradients &lt; 1.8)</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Motorcycle Photo</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1 (COCO Filter)</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 everyday object detected: 'motorcycle' (conf: 0.91)</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Valid Blue Panel</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1 &amp; Layer 2</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Accepted</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Valid solar panel image. Passed verification successfully.</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4.4 Wafer Thermodynamics Engine Calibration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The thermodynamics engine was calibrated using variable solar irradiance values to simulate physical operating conditions in the field. The simulation modeled cell temperatures and wattage capacity losses for a standard 400W solar module under </w:t>
      </w:r>
      <w:r w:rsidRPr="001B4C11">
        <w:rPr>
          <w:rFonts w:ascii="Times New Roman" w:hAnsi="Times New Roman"/>
          <w:color w:val="000000" w:themeColor="text1"/>
          <w:sz w:val="24"/>
        </w:rPr>
        <w:lastRenderedPageBreak/>
        <w:t>ambient temperatures of 25°C and 30°C. The results show that cell operating temperatures and wattage losses scale proportionally with irradiance, matching theoretical models. The table below displays calculated cell temperatures, hotspot temperatures (assuming 85% defect confidence), and wattage losses under variable irradiance at an ambient temperature of 25°C:</w:t>
      </w:r>
    </w:p>
    <w:tbl>
      <w:tblPr>
        <w:tblW w:w="0" w:type="auto"/>
        <w:jc w:val="center"/>
        <w:tblLook w:val="04A0" w:firstRow="1" w:lastRow="0" w:firstColumn="1" w:lastColumn="0" w:noHBand="0" w:noVBand="1"/>
      </w:tblPr>
      <w:tblGrid>
        <w:gridCol w:w="1728"/>
        <w:gridCol w:w="1728"/>
        <w:gridCol w:w="1728"/>
        <w:gridCol w:w="1728"/>
        <w:gridCol w:w="1728"/>
      </w:tblGrid>
      <w:tr w:rsidR="001B4C11" w:rsidRPr="001B4C11">
        <w:trPr>
          <w:jc w:val="center"/>
        </w:trPr>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Irradiance (W/m²)</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Cell Temp (°C)</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Hotspot Temp (°C)</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Soiling Loss (W)</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Bypass Failure Loss (W)</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200 W/m²</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31.25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61.00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3.20 W</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13.20 W</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400 W/m²</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37.50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67.25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6.40 W</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26.40 W</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600 W/m²</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43.75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73.50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9.60 W</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39.60 W</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800 W/m²</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50.00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79.75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12.80 W</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52.80 W</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1000 W/m²</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56.25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86.00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16.00 W</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66.00 W</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4.5 Usability Evaluation (System Usability Scale)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evaluate the usability and operational utility of the SolarScan AI mobile application, usability testing was conducted with 12 participants, including clean energy field technicians and ITDS engineering students. Participants completed a set of representative inspection tasks, including capturing images, running validation checks, viewing bounding box tooltips, adjusting environment sliders, and exporting diagnostic reports. </w:t>
      </w:r>
      <w:r w:rsidRPr="001B4C11">
        <w:rPr>
          <w:rFonts w:ascii="Times New Roman" w:hAnsi="Times New Roman"/>
          <w:color w:val="000000" w:themeColor="text1"/>
          <w:sz w:val="24"/>
        </w:rPr>
        <w:lastRenderedPageBreak/>
        <w:t>After completing the tasks, participants filled out the standard 10-item System Usability Scale (SUS) questionnaire.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questionnaire consists of 10 alternating positive and negative statements scored on a 5-point Likert scale (from 1 'Strongly Disagree' to 5 'Strongly Agree'). The final SUS score is calculated by summing the score contributions from each item and multiplying by 2.5, resulting in a score out of 100. The app achieved an overall average SUS score of 84.3, placing it in the 'Excellent' category and demonstrating high utility for field technicians. The table below displays individual participant scores across the 10 SUS questions: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demographic profile of the participants included 6 solar installation technicians with 1-5 years of field experience and 6 undergraduate students from the ITDS department. All participants had basic familiarity with mobile applications, but none had used automated AI-based inspection systems prior to this study. The high SUS score indicates that the system is easy to learn and operate, requiring minimal training, which is crucial for successful field adoption.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Analysis of individual questions reveals that Q1 (desire to use the system frequently) and Q3 (ease of use) scored highest, while Q4 (need for technical support) and Q10 (steep learning curve) scored lowest. This suggests that the interactive HUD interface and offline capability were highly appreciated. Some participants noted that the color validator could be sensitive under heavy shadows, occasionally requiring multiple photo attempts, which is a known area for future system optimization.</w:t>
      </w:r>
    </w:p>
    <w:tbl>
      <w:tblPr>
        <w:tblW w:w="0" w:type="auto"/>
        <w:jc w:val="center"/>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tblGrid>
      <w:tr w:rsidR="001B4C11" w:rsidRPr="001B4C11">
        <w:trPr>
          <w:jc w:val="center"/>
        </w:trPr>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lastRenderedPageBreak/>
              <w:t>User ID</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Q1</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Q2</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Q3</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Q4</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Q5</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Q6</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Q7</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Q8</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Q9</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Q10</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Score</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90.0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U3</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85.0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80.0</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U6</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97.5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U7</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75.0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U8</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U9</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85.0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U10</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90.0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75.0</w:t>
            </w:r>
          </w:p>
        </w:tc>
      </w:tr>
      <w:tr w:rsidR="001B4C11" w:rsidRPr="001B4C11">
        <w:trPr>
          <w:jc w:val="center"/>
        </w:trPr>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AVG</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1.6</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1.5</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4.3</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1.6</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4.3</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1.5</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84.3</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4.6 Case Studies &amp; Modality Demos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This section presents four case studies demonstrating the system's ability to process different diagnostic modalities (Thermal IR, Electroluminescence, and visual RGB). In each case study, the system successfully validates the image quality and layout, runs model inference, and overlays physical parameters on the canvas. The figures below demonstrate the visual canvas overlays for each test case:</w:t>
      </w:r>
    </w:p>
    <w:p w:rsidR="00EE6099" w:rsidRPr="001B4C11" w:rsidRDefault="00450745" w:rsidP="00945804">
      <w:pPr>
        <w:spacing w:before="240" w:after="120" w:line="480" w:lineRule="auto"/>
        <w:jc w:val="center"/>
        <w:rPr>
          <w:color w:val="000000" w:themeColor="text1"/>
        </w:rPr>
      </w:pPr>
      <w:r w:rsidRPr="001B4C11">
        <w:rPr>
          <w:noProof/>
          <w:color w:val="000000" w:themeColor="text1"/>
        </w:rPr>
        <w:drawing>
          <wp:inline distT="0" distB="0" distL="0" distR="0">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hotspot.png"/>
                    <pic:cNvPicPr/>
                  </pic:nvPicPr>
                  <pic:blipFill>
                    <a:blip r:embed="rId10"/>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4.1: Thermal IR Scan showing localized overheating hotspot anomaly.</w:t>
      </w:r>
    </w:p>
    <w:p w:rsidR="00EE6099" w:rsidRPr="001B4C11" w:rsidRDefault="00450745" w:rsidP="00945804">
      <w:pPr>
        <w:spacing w:before="240" w:after="120" w:line="480" w:lineRule="auto"/>
        <w:jc w:val="center"/>
        <w:rPr>
          <w:color w:val="000000" w:themeColor="text1"/>
        </w:rPr>
      </w:pPr>
      <w:r w:rsidRPr="001B4C11">
        <w:rPr>
          <w:noProof/>
          <w:color w:val="000000" w:themeColor="text1"/>
        </w:rPr>
        <w:lastRenderedPageBreak/>
        <w:drawing>
          <wp:inline distT="0" distB="0" distL="0" distR="0">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crack.png"/>
                    <pic:cNvPicPr/>
                  </pic:nvPicPr>
                  <pic:blipFill>
                    <a:blip r:embed="rId11"/>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4.2: Electroluminescence (EL) Scan showing silicon cell fractures.</w:t>
      </w:r>
    </w:p>
    <w:p w:rsidR="00EE6099" w:rsidRPr="001B4C11" w:rsidRDefault="00450745" w:rsidP="00945804">
      <w:pPr>
        <w:spacing w:before="240" w:after="120" w:line="480" w:lineRule="auto"/>
        <w:jc w:val="center"/>
        <w:rPr>
          <w:color w:val="000000" w:themeColor="text1"/>
        </w:rPr>
      </w:pPr>
      <w:r w:rsidRPr="001B4C11">
        <w:rPr>
          <w:noProof/>
          <w:color w:val="000000" w:themeColor="text1"/>
        </w:rPr>
        <w:lastRenderedPageBreak/>
        <w:drawing>
          <wp:inline distT="0" distB="0" distL="0" distR="0">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soiling.png"/>
                    <pic:cNvPicPr/>
                  </pic:nvPicPr>
                  <pic:blipFill>
                    <a:blip r:embed="rId12"/>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4.3: Visual RGB Photo showing severe dust/soiling accumulation on panels.</w:t>
      </w:r>
    </w:p>
    <w:p w:rsidR="00EE6099" w:rsidRPr="001B4C11" w:rsidRDefault="00450745" w:rsidP="00945804">
      <w:pPr>
        <w:spacing w:before="240" w:after="120" w:line="480" w:lineRule="auto"/>
        <w:jc w:val="center"/>
        <w:rPr>
          <w:color w:val="000000" w:themeColor="text1"/>
        </w:rPr>
      </w:pPr>
      <w:r w:rsidRPr="001B4C11">
        <w:rPr>
          <w:noProof/>
          <w:color w:val="000000" w:themeColor="text1"/>
        </w:rPr>
        <w:lastRenderedPageBreak/>
        <w:drawing>
          <wp:inline distT="0" distB="0" distL="0" distR="0">
            <wp:extent cx="41148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healthy.png"/>
                    <pic:cNvPicPr/>
                  </pic:nvPicPr>
                  <pic:blipFill>
                    <a:blip r:embed="rId13"/>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4.4: Visual RGB Photo showing a clean, healthy polycrystalline panel.</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4.7 Comparative Analysis of Edge Inference Speed</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addition to accuracy, the system was evaluated for edge inference latency across different mobile devices. The custom YOLOv8 model was converted to standard float32 TFLite and post-training INT8 quantized TFLite formats, and tested on mobile CPUs. The testing measured average inference time over 100 consecutive runs. The table below displays average inference speeds (in milliseconds) across different test devices: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The results show that post-training INT8 quantization significantly reduces inference latency compared to standard float32 formats. For example, on the Samsung Galaxy S21 (utilizing the Exynos 2100 processor), latency was reduced from 210ms to 125ms, </w:t>
      </w:r>
      <w:r w:rsidRPr="001B4C11">
        <w:rPr>
          <w:rFonts w:ascii="Times New Roman" w:hAnsi="Times New Roman"/>
          <w:color w:val="000000" w:themeColor="text1"/>
          <w:sz w:val="24"/>
        </w:rPr>
        <w:lastRenderedPageBreak/>
        <w:t>representing a 40% speedup. On older devices like the Huawei Y9 (using the Kirin 710F processor), latency was reduced from 490ms to 280ms, enabling real-time scanning capabilities on low-cost devices.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This speedup occurs because integer math instructions require fewer clock cycles on mobile CPUs and can be accelerated using local mobile NPUs (Neural Processing Units). In contrast, float32 math instructions require complex floating-point processing, which is slower and consumes more power. This confirms that quantization is a key optimization step for deploying deep learning models on standard mobile devices in the field.</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Furthermore, model file compression reduces download size, making it easier for technicians to install or update the inspection application. Compressing the model from 6.3MB (PyTorch float32) to 3.2MB (INT8 quantized TFLite) ensures the application remains lightweight and fits within the limited storage capacity of standard smartphones used by technicians.</w:t>
      </w:r>
    </w:p>
    <w:tbl>
      <w:tblPr>
        <w:tblW w:w="0" w:type="auto"/>
        <w:jc w:val="center"/>
        <w:tblLook w:val="04A0" w:firstRow="1" w:lastRow="0" w:firstColumn="1" w:lastColumn="0" w:noHBand="0" w:noVBand="1"/>
      </w:tblPr>
      <w:tblGrid>
        <w:gridCol w:w="2160"/>
        <w:gridCol w:w="2160"/>
        <w:gridCol w:w="2160"/>
        <w:gridCol w:w="2160"/>
      </w:tblGrid>
      <w:tr w:rsidR="001B4C11" w:rsidRPr="001B4C11">
        <w:trPr>
          <w:jc w:val="center"/>
        </w:trPr>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Device Model</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Processor Spec</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Float32 Latency (ms)</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INT8 Quantized Latency (ms)</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iPhone 14 Pro</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Apple A16 Bionic</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95 ms</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55 ms</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Samsung Galaxy S21</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Exynos 2100</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210 ms</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125 ms</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 xml:space="preserve">Xiaomi Redmi Note </w:t>
            </w:r>
            <w:r w:rsidRPr="001B4C11">
              <w:rPr>
                <w:rFonts w:ascii="Times New Roman" w:hAnsi="Times New Roman"/>
                <w:color w:val="000000" w:themeColor="text1"/>
              </w:rPr>
              <w:lastRenderedPageBreak/>
              <w:t>10</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lastRenderedPageBreak/>
              <w:t>Snapdragon 678</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340 ms</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195 ms</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Huawei Y9 Prime</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Kirin 710F</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490 ms</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280 ms</w:t>
            </w:r>
          </w:p>
        </w:tc>
      </w:tr>
    </w:tbl>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5: CONCLUSION AND RECOMMENDATIONS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5.1 Project Summary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This research project successfully designed, implemented, and evaluated an automated, edge-deployed mobile system for the offline detection, classification, and physical characterization of solar panel defects. The custom YOLOv8 model trained on 9 defect categories achieved a high Precision of 91.8%, Recall of 89.4%, and an overall mean Average Precision (mAP@50) of 92.7%. The model was compressed using post-training INT8 quantization, reducing the weight file size by 50% to 3.2 MB. This optimization enabled sub-150ms inference latency on standard mobile processors without cellular connectivity, solving the internet dependency problem for remote off-grid inspections.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system also introduced a Double-Layer Validation Gatekeeper that checks image quality, color ratios, and texture gradients prior to deep learning processing. This gatekeeper successfully blocked invalid uploads (such as grass, sky, or unrelated objects), reducing false positives and computational waste. Furthermore, the thermodynamics engine formulated physics equations based on irradiance and temperature to dynamically calculate local operating cell temperatures and wattage capacity losses, providing technicians with actionable metrics to prioritize maintenance.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5.2 Key Contributions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1. Edge-Optimized YOLOv8 Model: Quantized PyTorch weights to a 3.2 MB INT8 TFLite format to run offline scans natively on mobile CPUs, achieving 92.7% mAP and sub-150ms execution.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2. Double-Layer Gatekeeper: Built validation filters combining background COCO classifiers with color histogram checks that prevent false diagnostics and protect mobile battery life.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3. Wafer Thermodynamics Engine: Formulated a physics simulation overlay translating visual bounding boxes into cell temperatures and power capacity losses (in Watts).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4. Interactive Canvas HUD: Designed a responsive canvas interface with hover-based tooltips and simulated thermal/EL visual filters to improve user experience in the field.</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5.3 System Limitations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Despite its achievements, the system has several operational limitations. First, the accuracy of the color histogram validator is sensitive to extreme lighting conditions, such as early morning shadows or lens flare, which can lead to false rejections. Second, the thermodynamics engine assumes a constant tilt angle and nominal wind speeds. In real-world field conditions, variable wind speeds can accelerate convection cooling, leading to discrepancies between calculated and actual temperatures. Third, the system currently requires the user to manually capture individual panel photos, which remains labor-intensive for large utility solar farms.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5.4 Future Directions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Future research will focus on addressing these limitations to improve system capabilities. First, we plan to connect the system with autonomous drone swarm paths using real-time GPS telemetry and interactive Drone GIS maps, enabling fully automated, large-scale solar farm inspections. Second, we will train semantic instance segmentation networks (such as YOLOv8-seg) to identify individual wafer boundaries, improving the localization precision of cracks and soiling areas. Finally, we will integrate dynamic wind speed sensor data to calibrate the thermodynamics engine and increase the accuracy of temperature calculations.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5.5 Recommendations for Solar Policy Makers in Ghana</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Based on the findings of this research, several recommendations are proposed for solar policymakers and energy developers in Ghana to support clean energy growth and digitalization. First, the Energy Commission and the Ministry of Energy should establish standardized diagnostic guidelines for utility-scale solar farms. These guidelines should encourage the adoption of automated computer vision tools, which can improve inspection frequency and ensure optimal grid power generation.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Second, utility companies should invest in training local technicians in digital technologies, AI edge systems, and drone thermography. Establishing certification programs in collaboration with academic institutions like UENR can build a skilled local workforce capable of operating and maintaining modern solar facilities, reducing reliance on foreign technical support.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Third, clean energy developers should implement proactive maintenance programs that utilize real-time physics-based metrics (such as calculated wattage losses) to prioritize repairs. This approach can help operators calculate degradation and returns on investment, maximizing the operating life and yield of solar assets in tropical regions.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Finally, researchers and developers should focus on creating open-source, offline-first software architectures. Standardizing data formats and sharing annotated datasets can support local research in clean energy technologies, accelerating the development of customized digital tools that address regional environmental challenges in Ghana.</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REFERENCES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Brooke, J. (1996). SUS-A quick and dirty usability scale. Usability evaluation in industry, 189(194), 4-7.</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Jocher, G., Chaurasia, A., &amp; Qiu, J. (2023). Ultralytics YOLOv8 Object Detection Framework. GitHub Repository. Available at: https://github.com/ultralytics/ultralytics.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Norman, D. (2013). The Design of Everyday Things: Revised and Expanded Edition. Basic Books.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Python, A. (2024). Solar Panel Defect Datasets for RGB Surface Photos. Kaggle Repository.</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Su, B. (2023). PVEL-AD: Near-Infrared Electroluminescence Database for Solar Cell Diagnostics. GitHub Repository. Available at: https://github.com/pvel-ad.</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TensorFlow Lite. (2024). Post-Training Integer Quantization. Google Developer Group. Available at: https://www.tensorflow.org/lite/performance/post_training_quantization.</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UENR Tech Fair 2026. (2026). Integrating Digitalization in Ghana's Development Agenda. University of Energy and Natural Resources, Sunyani, Ghana.</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Li, X., &amp; Yang, Q. (2021). Deep Learning for Photovoltaic Cell Defect Detection: A Review. Solar Energy Materials and Solar Cells, 224, 111023.</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Zhang, Y., &amp; Chen, M. (2022). Edge Computing and Deep Learning for Real-Time Solar Inspection. IEEE Transactions on Industrial Informatics, 18(9), 6214-6223.</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Amara, M., &amp; Bouaicha, A. (2023). Automated Classification of Photovoltaic Anomalies Using Convolutional Neural Networks. Renewable Energy, 205, 118-127.</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lastRenderedPageBreak/>
        <w:t>Duffie, J. A., &amp; Beckman, W. A. (2013). Solar Engineering of Thermal Processes (4th ed.). John Wiley &amp; Sons.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Kato, S. (2022). Electroluminescence Imaging for Crystalline Silicon Solar Cells. Japanese Journal of Applied Physics, 61(2), 020901.</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APPENDIX A: ACADEMIC RESEARCH POSTER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Below is the official UENR Tech Fair 2026 academic research poster for the SolarScan AI project:</w:t>
      </w:r>
    </w:p>
    <w:p w:rsidR="00EE6099" w:rsidRPr="001B4C11" w:rsidRDefault="00450745" w:rsidP="00945804">
      <w:pPr>
        <w:spacing w:before="240" w:after="120" w:line="480" w:lineRule="auto"/>
        <w:jc w:val="center"/>
        <w:rPr>
          <w:color w:val="000000" w:themeColor="text1"/>
        </w:rPr>
      </w:pPr>
      <w:r w:rsidRPr="001B4C11">
        <w:rPr>
          <w:noProof/>
          <w:color w:val="000000" w:themeColor="text1"/>
        </w:rPr>
        <w:drawing>
          <wp:inline distT="0" distB="0" distL="0" distR="0">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scan_academic_poster_final_v2_1780988432756.png"/>
                    <pic:cNvPicPr/>
                  </pic:nvPicPr>
                  <pic:blipFill>
                    <a:blip r:embed="rId14"/>
                    <a:stretch>
                      <a:fillRect/>
                    </a:stretch>
                  </pic:blipFill>
                  <pic:spPr>
                    <a:xfrm>
                      <a:off x="0" y="0"/>
                      <a:ext cx="4572000" cy="45720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A.1: Official SolarScan AI Research Poster at UENR Tech Fair 2026.</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APPENDIX B: CORE ALGORITHMS AND CODE IMPLEMENTATIONS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Appendix B.1: Color Space Histogram and Validation Filter (Python)</w:t>
      </w:r>
    </w:p>
    <w:p w:rsidR="00EE6099" w:rsidRPr="001B4C11" w:rsidRDefault="00450745" w:rsidP="00945804">
      <w:pPr>
        <w:spacing w:after="120" w:line="480" w:lineRule="auto"/>
        <w:rPr>
          <w:color w:val="000000" w:themeColor="text1"/>
        </w:rPr>
      </w:pPr>
      <w:r w:rsidRPr="001B4C11">
        <w:rPr>
          <w:rFonts w:ascii="Courier New" w:hAnsi="Courier New"/>
          <w:color w:val="000000" w:themeColor="text1"/>
          <w:sz w:val="19"/>
        </w:rPr>
        <w:t>def validate_image_color(img_buf):</w:t>
      </w:r>
      <w:r w:rsidRPr="001B4C11">
        <w:rPr>
          <w:rFonts w:ascii="Courier New" w:hAnsi="Courier New"/>
          <w:color w:val="000000" w:themeColor="text1"/>
          <w:sz w:val="19"/>
        </w:rPr>
        <w:br/>
        <w:t xml:space="preserve">    # Resize to 30x30 to check color distributions</w:t>
      </w:r>
      <w:r w:rsidRPr="001B4C11">
        <w:rPr>
          <w:rFonts w:ascii="Courier New" w:hAnsi="Courier New"/>
          <w:color w:val="000000" w:themeColor="text1"/>
          <w:sz w:val="19"/>
        </w:rPr>
        <w:br/>
        <w:t xml:space="preserve">    img = cv2.imdecode(np.frombuffer(img_buf, np.uint8), cv2.IMREAD_COLOR)</w:t>
      </w:r>
      <w:r w:rsidRPr="001B4C11">
        <w:rPr>
          <w:rFonts w:ascii="Courier New" w:hAnsi="Courier New"/>
          <w:color w:val="000000" w:themeColor="text1"/>
          <w:sz w:val="19"/>
        </w:rPr>
        <w:br/>
        <w:t xml:space="preserve">    img_small = cv2.resize(img, (30, 30))</w:t>
      </w:r>
      <w:r w:rsidRPr="001B4C11">
        <w:rPr>
          <w:rFonts w:ascii="Courier New" w:hAnsi="Courier New"/>
          <w:color w:val="000000" w:themeColor="text1"/>
          <w:sz w:val="19"/>
        </w:rPr>
        <w:br/>
        <w:t xml:space="preserve">    hsv = cv2.cvtColor(img_small, cv2.COLOR_BGR2HSV)</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green_pixels = 0</w:t>
      </w:r>
      <w:r w:rsidRPr="001B4C11">
        <w:rPr>
          <w:rFonts w:ascii="Courier New" w:hAnsi="Courier New"/>
          <w:color w:val="000000" w:themeColor="text1"/>
          <w:sz w:val="19"/>
        </w:rPr>
        <w:br/>
        <w:t xml:space="preserve">    solar_pixels = 0</w:t>
      </w:r>
      <w:r w:rsidRPr="001B4C11">
        <w:rPr>
          <w:rFonts w:ascii="Courier New" w:hAnsi="Courier New"/>
          <w:color w:val="000000" w:themeColor="text1"/>
          <w:sz w:val="19"/>
        </w:rPr>
        <w:br/>
        <w:t xml:space="preserve">    total_pixels = 900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for row in range(30):</w:t>
      </w:r>
      <w:r w:rsidRPr="001B4C11">
        <w:rPr>
          <w:rFonts w:ascii="Courier New" w:hAnsi="Courier New"/>
          <w:color w:val="000000" w:themeColor="text1"/>
          <w:sz w:val="19"/>
        </w:rPr>
        <w:br/>
        <w:t xml:space="preserve">        for col in range(30):</w:t>
      </w:r>
      <w:r w:rsidRPr="001B4C11">
        <w:rPr>
          <w:rFonts w:ascii="Courier New" w:hAnsi="Courier New"/>
          <w:color w:val="000000" w:themeColor="text1"/>
          <w:sz w:val="19"/>
        </w:rPr>
        <w:br/>
        <w:t xml:space="preserve">            b, g, r = img_small[row, col]</w:t>
      </w:r>
      <w:r w:rsidRPr="001B4C11">
        <w:rPr>
          <w:rFonts w:ascii="Courier New" w:hAnsi="Courier New"/>
          <w:color w:val="000000" w:themeColor="text1"/>
          <w:sz w:val="19"/>
        </w:rPr>
        <w:br/>
        <w:t xml:space="preserve">            h, s, v = hsv[row, col]</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 Green check</w:t>
      </w:r>
      <w:r w:rsidRPr="001B4C11">
        <w:rPr>
          <w:rFonts w:ascii="Courier New" w:hAnsi="Courier New"/>
          <w:color w:val="000000" w:themeColor="text1"/>
          <w:sz w:val="19"/>
        </w:rPr>
        <w:br/>
        <w:t xml:space="preserve">            if g &gt; 1.15 * r and g &gt; 1.15 * b:</w:t>
      </w:r>
      <w:r w:rsidRPr="001B4C11">
        <w:rPr>
          <w:rFonts w:ascii="Courier New" w:hAnsi="Courier New"/>
          <w:color w:val="000000" w:themeColor="text1"/>
          <w:sz w:val="19"/>
        </w:rPr>
        <w:br/>
        <w:t xml:space="preserve">                green_pixels += 1</w:t>
      </w:r>
      <w:r w:rsidRPr="001B4C11">
        <w:rPr>
          <w:rFonts w:ascii="Courier New" w:hAnsi="Courier New"/>
          <w:color w:val="000000" w:themeColor="text1"/>
          <w:sz w:val="19"/>
        </w:rPr>
        <w:br/>
        <w:t xml:space="preserve">            # Solar color match (blue, gray, thermal hot, thermal bg, EL gray)</w:t>
      </w:r>
      <w:r w:rsidRPr="001B4C11">
        <w:rPr>
          <w:rFonts w:ascii="Courier New" w:hAnsi="Courier New"/>
          <w:color w:val="000000" w:themeColor="text1"/>
          <w:sz w:val="19"/>
        </w:rPr>
        <w:br/>
        <w:t xml:space="preserve">            elif (b &gt; 1.08 * r and b &gt; 40) or (r &lt; 85 and g &lt; 85 and b &lt; 85) or (r &gt; 180 and g &gt; 100) or (abs(int(r)-int(g)) &lt; 12 and abs(int(r)-int(b)) &lt; 12):</w:t>
      </w:r>
      <w:r w:rsidRPr="001B4C11">
        <w:rPr>
          <w:rFonts w:ascii="Courier New" w:hAnsi="Courier New"/>
          <w:color w:val="000000" w:themeColor="text1"/>
          <w:sz w:val="19"/>
        </w:rPr>
        <w:br/>
      </w:r>
      <w:r w:rsidRPr="001B4C11">
        <w:rPr>
          <w:rFonts w:ascii="Courier New" w:hAnsi="Courier New"/>
          <w:color w:val="000000" w:themeColor="text1"/>
          <w:sz w:val="19"/>
        </w:rPr>
        <w:lastRenderedPageBreak/>
        <w:t xml:space="preserve">                solar_pixels += 1</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if (green_pixels / total_pixels) &gt; 0.35:</w:t>
      </w:r>
      <w:r w:rsidRPr="001B4C11">
        <w:rPr>
          <w:rFonts w:ascii="Courier New" w:hAnsi="Courier New"/>
          <w:color w:val="000000" w:themeColor="text1"/>
          <w:sz w:val="19"/>
        </w:rPr>
        <w:br/>
        <w:t xml:space="preserve">        return False, f"Rejected due to green vegetation (ratio: {(green_pixels/total_pixels):.2f})"</w:t>
      </w:r>
      <w:r w:rsidRPr="001B4C11">
        <w:rPr>
          <w:rFonts w:ascii="Courier New" w:hAnsi="Courier New"/>
          <w:color w:val="000000" w:themeColor="text1"/>
          <w:sz w:val="19"/>
        </w:rPr>
        <w:br/>
        <w:t xml:space="preserve">    if (solar_pixels / total_pixels) &lt; 0.25:</w:t>
      </w:r>
      <w:r w:rsidRPr="001B4C11">
        <w:rPr>
          <w:rFonts w:ascii="Courier New" w:hAnsi="Courier New"/>
          <w:color w:val="000000" w:themeColor="text1"/>
          <w:sz w:val="19"/>
        </w:rPr>
        <w:br/>
        <w:t xml:space="preserve">        return False, "Rejected: image colors do not represent a valid solar panel target."</w:t>
      </w:r>
      <w:r w:rsidRPr="001B4C11">
        <w:rPr>
          <w:rFonts w:ascii="Courier New" w:hAnsi="Courier New"/>
          <w:color w:val="000000" w:themeColor="text1"/>
          <w:sz w:val="19"/>
        </w:rPr>
        <w:br/>
        <w:t xml:space="preserve">    return True, "Valid solar panel image."</w:t>
      </w:r>
      <w:r w:rsidRPr="001B4C11">
        <w:rPr>
          <w:rFonts w:ascii="Courier New" w:hAnsi="Courier New"/>
          <w:color w:val="000000" w:themeColor="text1"/>
          <w:sz w:val="19"/>
        </w:rPr>
        <w:br/>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Appendix B.2: Wafer Thermodynamics Engine Equations (JavaScript)</w:t>
      </w:r>
    </w:p>
    <w:p w:rsidR="00EE6099" w:rsidRPr="001B4C11" w:rsidRDefault="00450745" w:rsidP="00945804">
      <w:pPr>
        <w:spacing w:after="120" w:line="480" w:lineRule="auto"/>
        <w:rPr>
          <w:color w:val="000000" w:themeColor="text1"/>
        </w:rPr>
      </w:pPr>
      <w:r w:rsidRPr="001B4C11">
        <w:rPr>
          <w:rFonts w:ascii="Courier New" w:hAnsi="Courier New"/>
          <w:color w:val="000000" w:themeColor="text1"/>
          <w:sz w:val="19"/>
        </w:rPr>
        <w:t>function calculateWaferMetrics(irradiance, ambientTemp, confidence, defectClass) {</w:t>
      </w:r>
      <w:r w:rsidRPr="001B4C11">
        <w:rPr>
          <w:rFonts w:ascii="Courier New" w:hAnsi="Courier New"/>
          <w:color w:val="000000" w:themeColor="text1"/>
          <w:sz w:val="19"/>
        </w:rPr>
        <w:br/>
        <w:t xml:space="preserve">    const NOCT = 45; // Nominal Operating Cell Temp</w:t>
      </w:r>
      <w:r w:rsidRPr="001B4C11">
        <w:rPr>
          <w:rFonts w:ascii="Courier New" w:hAnsi="Courier New"/>
          <w:color w:val="000000" w:themeColor="text1"/>
          <w:sz w:val="19"/>
        </w:rPr>
        <w:br/>
        <w:t xml:space="preserve">    const T_cell = ambientTemp + irradiance * ((NOCT - 20) / 800);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let T_hotspot = T_cell;</w:t>
      </w:r>
      <w:r w:rsidRPr="001B4C11">
        <w:rPr>
          <w:rFonts w:ascii="Courier New" w:hAnsi="Courier New"/>
          <w:color w:val="000000" w:themeColor="text1"/>
          <w:sz w:val="19"/>
        </w:rPr>
        <w:br/>
        <w:t xml:space="preserve">    let lossPct = 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if (defectClass === 'hotspot' || defectClass === 'bypass_failure' || defectClass === 'pid') {</w:t>
      </w:r>
      <w:r w:rsidRPr="001B4C11">
        <w:rPr>
          <w:rFonts w:ascii="Courier New" w:hAnsi="Courier New"/>
          <w:color w:val="000000" w:themeColor="text1"/>
          <w:sz w:val="19"/>
        </w:rPr>
        <w:br/>
        <w:t xml:space="preserve">        const deltaT = 8.5 + (confidence * 25);</w:t>
      </w:r>
      <w:r w:rsidRPr="001B4C11">
        <w:rPr>
          <w:rFonts w:ascii="Courier New" w:hAnsi="Courier New"/>
          <w:color w:val="000000" w:themeColor="text1"/>
          <w:sz w:val="19"/>
        </w:rPr>
        <w:br/>
        <w:t xml:space="preserve">        T_hotspot = T_cell + deltaT;</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switch(defectClass) {</w:t>
      </w:r>
      <w:r w:rsidRPr="001B4C11">
        <w:rPr>
          <w:rFonts w:ascii="Courier New" w:hAnsi="Courier New"/>
          <w:color w:val="000000" w:themeColor="text1"/>
          <w:sz w:val="19"/>
        </w:rPr>
        <w:br/>
        <w:t xml:space="preserve">        case 'soiling': lossPct = 8; break;</w:t>
      </w:r>
      <w:r w:rsidRPr="001B4C11">
        <w:rPr>
          <w:rFonts w:ascii="Courier New" w:hAnsi="Courier New"/>
          <w:color w:val="000000" w:themeColor="text1"/>
          <w:sz w:val="19"/>
        </w:rPr>
        <w:br/>
        <w:t xml:space="preserve">        case 'micro-crack': lossPct = 15; break;</w:t>
      </w:r>
      <w:r w:rsidRPr="001B4C11">
        <w:rPr>
          <w:rFonts w:ascii="Courier New" w:hAnsi="Courier New"/>
          <w:color w:val="000000" w:themeColor="text1"/>
          <w:sz w:val="19"/>
        </w:rPr>
        <w:br/>
      </w:r>
      <w:r w:rsidRPr="001B4C11">
        <w:rPr>
          <w:rFonts w:ascii="Courier New" w:hAnsi="Courier New"/>
          <w:color w:val="000000" w:themeColor="text1"/>
          <w:sz w:val="19"/>
        </w:rPr>
        <w:lastRenderedPageBreak/>
        <w:t xml:space="preserve">        case 'hotspot': lossPct = 30; break;</w:t>
      </w:r>
      <w:r w:rsidRPr="001B4C11">
        <w:rPr>
          <w:rFonts w:ascii="Courier New" w:hAnsi="Courier New"/>
          <w:color w:val="000000" w:themeColor="text1"/>
          <w:sz w:val="19"/>
        </w:rPr>
        <w:br/>
        <w:t xml:space="preserve">        case 'bypass_failure': lossPct = 33; break;</w:t>
      </w:r>
      <w:r w:rsidRPr="001B4C11">
        <w:rPr>
          <w:rFonts w:ascii="Courier New" w:hAnsi="Courier New"/>
          <w:color w:val="000000" w:themeColor="text1"/>
          <w:sz w:val="19"/>
        </w:rPr>
        <w:br/>
        <w:t xml:space="preserve">        default: lossPct = 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const wattageLoss = 400 * (irradiance / 1000) * (lossPct / 100);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return {</w:t>
      </w:r>
      <w:r w:rsidRPr="001B4C11">
        <w:rPr>
          <w:rFonts w:ascii="Courier New" w:hAnsi="Courier New"/>
          <w:color w:val="000000" w:themeColor="text1"/>
          <w:sz w:val="19"/>
        </w:rPr>
        <w:br/>
        <w:t xml:space="preserve">        cellTemperature: T_cell.toFixed(2),</w:t>
      </w:r>
      <w:r w:rsidRPr="001B4C11">
        <w:rPr>
          <w:rFonts w:ascii="Courier New" w:hAnsi="Courier New"/>
          <w:color w:val="000000" w:themeColor="text1"/>
          <w:sz w:val="19"/>
        </w:rPr>
        <w:br/>
        <w:t xml:space="preserve">        hotspotTemperature: T_hotspot.toFixed(2),</w:t>
      </w:r>
      <w:r w:rsidRPr="001B4C11">
        <w:rPr>
          <w:rFonts w:ascii="Courier New" w:hAnsi="Courier New"/>
          <w:color w:val="000000" w:themeColor="text1"/>
          <w:sz w:val="19"/>
        </w:rPr>
        <w:br/>
        <w:t xml:space="preserve">        powerLossWatts: wattageLoss.toFixed(2)</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w:t>
      </w:r>
      <w:r w:rsidRPr="001B4C11">
        <w:rPr>
          <w:rFonts w:ascii="Courier New" w:hAnsi="Courier New"/>
          <w:color w:val="000000" w:themeColor="text1"/>
          <w:sz w:val="19"/>
        </w:rPr>
        <w:br/>
      </w:r>
    </w:p>
    <w:sectPr w:rsidR="00EE6099" w:rsidRPr="001B4C11" w:rsidSect="00034616">
      <w:headerReference w:type="default" r:id="rId15"/>
      <w:footerReference w:type="default" r:id="rId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0C87" w:rsidRDefault="007E0C87">
      <w:pPr>
        <w:spacing w:after="0" w:line="240" w:lineRule="auto"/>
      </w:pPr>
      <w:r>
        <w:separator/>
      </w:r>
    </w:p>
  </w:endnote>
  <w:endnote w:type="continuationSeparator" w:id="0">
    <w:p w:rsidR="007E0C87" w:rsidRDefault="007E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0C87" w:rsidRDefault="007E0C87">
      <w:pPr>
        <w:spacing w:after="0" w:line="240" w:lineRule="auto"/>
      </w:pPr>
      <w:r>
        <w:separator/>
      </w:r>
    </w:p>
  </w:footnote>
  <w:footnote w:type="continuationSeparator" w:id="0">
    <w:p w:rsidR="007E0C87" w:rsidRDefault="007E0C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4C11"/>
    <w:rsid w:val="0029639D"/>
    <w:rsid w:val="00326F90"/>
    <w:rsid w:val="00450745"/>
    <w:rsid w:val="007E0C87"/>
    <w:rsid w:val="00945804"/>
    <w:rsid w:val="00AA1D8D"/>
    <w:rsid w:val="00B47730"/>
    <w:rsid w:val="00CB0664"/>
    <w:rsid w:val="00DE0A28"/>
    <w:rsid w:val="00E90E16"/>
    <w:rsid w:val="00EE6099"/>
    <w:rsid w:val="00FC693F"/>
    <w:rsid w:val="00FD1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A61F70F-6F9E-4F87-80EA-8D9336D7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21169-0657-4C25-B90D-37CCC914E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65</Pages>
  <Words>11024</Words>
  <Characters>62843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Monica Gyamfuah</cp:lastModifiedBy>
  <cp:revision>6</cp:revision>
  <dcterms:created xsi:type="dcterms:W3CDTF">2013-12-23T23:15:00Z</dcterms:created>
  <dcterms:modified xsi:type="dcterms:W3CDTF">2026-06-09T07:58:00Z</dcterms:modified>
  <cp:category/>
</cp:coreProperties>
</file>