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rPr>
          <w:rFonts w:ascii="Arial" w:hAnsi="Arial"/>
          <w:color w:val="44403C"/>
          <w:sz w:val="20"/>
        </w:rPr>
        <w:t>UNIVERSITY OF ENERGY AND NATURAL RESOURCES</w:t>
      </w:r>
    </w:p>
    <w:p>
      <w:pPr>
        <w:spacing w:line="276" w:lineRule="auto" w:after="120"/>
      </w:pPr>
      <w:r>
        <w:rPr>
          <w:rFonts w:ascii="Arial" w:hAnsi="Arial"/>
          <w:color w:val="44403C"/>
          <w:sz w:val="20"/>
        </w:rPr>
        <w:t>DEPARTMENT OF INFORMATION TECHNOLOGY AND DECISION SCIENCES</w:t>
      </w:r>
    </w:p>
    <w:p>
      <w:pPr>
        <w:spacing w:line="276" w:lineRule="auto" w:after="120"/>
      </w:pPr>
      <w:r>
        <w:rPr>
          <w:rFonts w:ascii="Arial" w:hAnsi="Arial"/>
          <w:color w:val="44403C"/>
          <w:sz w:val="20"/>
        </w:rPr>
        <w:t>DESIGN AND IMPLEMENTATION OF AN EDGE-AI MOBILE DECISION SUPPORT SYSTEM (DSS) AND SPATIAL TELEMETRY PIPELINE FOR RENEWABLE ASSET MANAGEMENT</w:t>
      </w:r>
    </w:p>
    <w:p>
      <w:pPr>
        <w:spacing w:line="276" w:lineRule="auto" w:after="120"/>
      </w:pPr>
      <w:r>
        <w:rPr>
          <w:rFonts w:ascii="Arial" w:hAnsi="Arial"/>
          <w:color w:val="44403C"/>
          <w:sz w:val="20"/>
        </w:rPr>
        <w:t>BY:</w:t>
      </w:r>
    </w:p>
    <w:p>
      <w:pPr>
        <w:spacing w:line="276" w:lineRule="auto" w:after="120"/>
      </w:pPr>
      <w:r>
        <w:rPr>
          <w:rFonts w:ascii="Arial" w:hAnsi="Arial"/>
          <w:color w:val="44403C"/>
          <w:sz w:val="20"/>
        </w:rPr>
        <w:t>Monica Gyamfuah</w:t>
      </w:r>
    </w:p>
    <w:p>
      <w:pPr>
        <w:spacing w:line="276" w:lineRule="auto" w:after="120"/>
      </w:pPr>
      <w:r>
        <w:rPr>
          <w:rFonts w:ascii="Arial" w:hAnsi="Arial"/>
          <w:color w:val="44403C"/>
          <w:sz w:val="20"/>
        </w:rPr>
        <w:t>Abubakari Rafiatu</w:t>
      </w:r>
    </w:p>
    <w:p>
      <w:pPr>
        <w:spacing w:line="276" w:lineRule="auto" w:after="120"/>
      </w:pPr>
      <w:r>
        <w:rPr>
          <w:rFonts w:ascii="Arial" w:hAnsi="Arial"/>
          <w:color w:val="44403C"/>
          <w:sz w:val="20"/>
        </w:rPr>
        <w:t>Owusu Emmanuel</w:t>
      </w:r>
    </w:p>
    <w:p>
      <w:pPr>
        <w:spacing w:line="276" w:lineRule="auto" w:after="120"/>
      </w:pPr>
      <w:r>
        <w:rPr>
          <w:rFonts w:ascii="Arial" w:hAnsi="Arial"/>
          <w:color w:val="44403C"/>
          <w:sz w:val="20"/>
        </w:rPr>
        <w:t>Agyekum Isaac</w:t>
      </w:r>
    </w:p>
    <w:p>
      <w:pPr>
        <w:spacing w:line="276" w:lineRule="auto" w:after="120"/>
      </w:pPr>
      <w:r>
        <w:rPr>
          <w:rFonts w:ascii="Arial" w:hAnsi="Arial"/>
          <w:color w:val="44403C"/>
          <w:sz w:val="20"/>
        </w:rPr>
        <w:t>Asare Solomon William</w:t>
      </w:r>
    </w:p>
    <w:p>
      <w:pPr>
        <w:spacing w:line="276" w:lineRule="auto" w:after="120"/>
      </w:pPr>
      <w:r>
        <w:rPr>
          <w:rFonts w:ascii="Arial" w:hAnsi="Arial"/>
          <w:color w:val="44403C"/>
          <w:sz w:val="20"/>
        </w:rPr>
        <w:t>SUPERVISOR: DR. S. O FRIMPONG</w:t>
      </w:r>
    </w:p>
    <w:p>
      <w:pPr>
        <w:spacing w:line="276" w:lineRule="auto" w:after="120"/>
      </w:pPr>
      <w:r>
        <w:rPr>
          <w:rFonts w:ascii="Arial" w:hAnsi="Arial"/>
          <w:color w:val="44403C"/>
          <w:sz w:val="20"/>
        </w:rPr>
        <w:t>A Project Report Submitted to the Department of ITDS in Partial Fulfillment of the Requirements for the Award of the Degree of Bachelor of Science in Information Technology</w:t>
      </w:r>
    </w:p>
    <w:p>
      <w:pPr>
        <w:spacing w:line="276" w:lineRule="auto" w:after="120"/>
      </w:pPr>
      <w:r>
        <w:rPr>
          <w:rFonts w:ascii="Arial" w:hAnsi="Arial"/>
          <w:color w:val="44403C"/>
          <w:sz w:val="20"/>
        </w:rPr>
        <w:t>Sunyani, Ghana</w:t>
      </w:r>
    </w:p>
    <w:p>
      <w:pPr>
        <w:spacing w:line="276" w:lineRule="auto" w:after="120"/>
      </w:pPr>
      <w:r>
        <w:rPr>
          <w:rFonts w:ascii="Arial" w:hAnsi="Arial"/>
          <w:color w:val="44403C"/>
          <w:sz w:val="20"/>
        </w:rPr>
        <w:t>JUNE, 2026</w:t>
      </w:r>
    </w:p>
    <w:p>
      <w:pPr>
        <w:keepNext/>
        <w:spacing w:before="280" w:after="80"/>
      </w:pPr>
      <w:r>
        <w:rPr>
          <w:rFonts w:ascii="Arial" w:hAnsi="Arial"/>
          <w:b/>
          <w:color w:val="D97706"/>
          <w:sz w:val="24"/>
        </w:rPr>
        <w:t>DECLARATION</w:t>
      </w:r>
    </w:p>
    <w:p>
      <w:pPr>
        <w:spacing w:line="276" w:lineRule="auto" w:after="120"/>
      </w:pPr>
      <w:r>
        <w:rPr>
          <w:rFonts w:ascii="Arial" w:hAnsi="Arial"/>
          <w:color w:val="44403C"/>
          <w:sz w:val="20"/>
        </w:rPr>
        <w:t>Student's Declaration</w:t>
      </w:r>
    </w:p>
    <w:p>
      <w:pPr>
        <w:spacing w:line="276" w:lineRule="auto" w:after="120"/>
      </w:pPr>
      <w:r>
        <w:rPr>
          <w:rFonts w:ascii="Arial" w:hAnsi="Arial"/>
          <w:color w:val="44403C"/>
          <w:sz w:val="20"/>
        </w:rPr>
        <w:t>We hereby declare that this project report is the result of our own original research work and that no part of it has been presented for another degree in this university or elsewhere. All citations and sources used have been duly acknowledged.</w:t>
      </w:r>
    </w:p>
    <w:p>
      <w:pPr>
        <w:spacing w:line="276" w:lineRule="auto" w:after="120"/>
      </w:pPr>
      <w:r>
        <w:rPr>
          <w:rFonts w:ascii="Arial" w:hAnsi="Arial"/>
          <w:color w:val="44403C"/>
          <w:sz w:val="20"/>
        </w:rPr>
        <w:t>Monica Gyamfuah (Index: __________)  Signature: ______________  Date: _________</w:t>
      </w:r>
    </w:p>
    <w:p>
      <w:pPr>
        <w:spacing w:line="276" w:lineRule="auto" w:after="120"/>
      </w:pPr>
      <w:r>
        <w:rPr>
          <w:rFonts w:ascii="Arial" w:hAnsi="Arial"/>
          <w:color w:val="44403C"/>
          <w:sz w:val="20"/>
        </w:rPr>
        <w:t>Abubakari Rafiatu (Index: __________)  Signature: ______________  Date: _________</w:t>
      </w:r>
    </w:p>
    <w:p>
      <w:pPr>
        <w:spacing w:line="276" w:lineRule="auto" w:after="120"/>
      </w:pPr>
      <w:r>
        <w:rPr>
          <w:rFonts w:ascii="Arial" w:hAnsi="Arial"/>
          <w:color w:val="44403C"/>
          <w:sz w:val="20"/>
        </w:rPr>
        <w:t>Owusu Emmanuel (Index: __________)  Signature: ______________  Date: _________</w:t>
      </w:r>
    </w:p>
    <w:p>
      <w:pPr>
        <w:spacing w:line="276" w:lineRule="auto" w:after="120"/>
      </w:pPr>
      <w:r>
        <w:rPr>
          <w:rFonts w:ascii="Arial" w:hAnsi="Arial"/>
          <w:color w:val="44403C"/>
          <w:sz w:val="20"/>
        </w:rPr>
        <w:t>Agyekum Isaac (Index: __________)  Signature: ______________  Date: _________</w:t>
      </w:r>
    </w:p>
    <w:p>
      <w:pPr>
        <w:spacing w:line="276" w:lineRule="auto" w:after="120"/>
      </w:pPr>
      <w:r>
        <w:rPr>
          <w:rFonts w:ascii="Arial" w:hAnsi="Arial"/>
          <w:color w:val="44403C"/>
          <w:sz w:val="20"/>
        </w:rPr>
        <w:t>Asare Solomon William (Index: __________)  Signature: ______________  Date: _________</w:t>
      </w:r>
    </w:p>
    <w:p>
      <w:pPr>
        <w:spacing w:line="276" w:lineRule="auto" w:after="120"/>
      </w:pPr>
      <w:r>
        <w:rPr>
          <w:rFonts w:ascii="Arial" w:hAnsi="Arial"/>
          <w:color w:val="44403C"/>
          <w:sz w:val="20"/>
        </w:rPr>
        <w:t>Supervisor's Declaration</w:t>
      </w:r>
    </w:p>
    <w:p>
      <w:pPr>
        <w:spacing w:line="276" w:lineRule="auto" w:after="120"/>
      </w:pPr>
      <w:r>
        <w:rPr>
          <w:rFonts w:ascii="Arial" w:hAnsi="Arial"/>
          <w:color w:val="44403C"/>
          <w:sz w:val="20"/>
        </w:rPr>
        <w:t>I hereby declare that the preparation and presentation of this project report were supervised by me in accordance with the guidelines on supervision of project work laid down by the University of Energy and Natural Resources (UENR).</w:t>
      </w:r>
    </w:p>
    <w:p>
      <w:pPr>
        <w:spacing w:line="276" w:lineRule="auto" w:after="120"/>
      </w:pPr>
      <w:r>
        <w:rPr>
          <w:rFonts w:ascii="Arial" w:hAnsi="Arial"/>
          <w:color w:val="44403C"/>
          <w:sz w:val="20"/>
        </w:rPr>
        <w:t>Supervisor Name: _____________________  Signature: ______________  Date: _________</w:t>
      </w:r>
    </w:p>
    <w:p>
      <w:pPr>
        <w:keepNext/>
        <w:spacing w:before="280" w:after="80"/>
      </w:pPr>
      <w:r>
        <w:rPr>
          <w:rFonts w:ascii="Arial" w:hAnsi="Arial"/>
          <w:b/>
          <w:color w:val="D97706"/>
          <w:sz w:val="24"/>
        </w:rPr>
        <w:t>DEDICATION</w:t>
      </w:r>
    </w:p>
    <w:p>
      <w:pPr>
        <w:spacing w:line="276" w:lineRule="auto" w:after="120"/>
      </w:pPr>
      <w:r>
        <w:rPr>
          <w:rFonts w:ascii="Arial" w:hAnsi="Arial"/>
          <w:color w:val="44403C"/>
          <w:sz w:val="20"/>
        </w:rPr>
        <w:t>We dedicate this final year project to our parents, guardians, and families for their unconditional love, financial support, and constant encouragement throughout our academic journey. We also dedicate this work to our lecturers in the Department of Information Technology and Decision Sciences for guiding our technical and professional development.</w:t>
      </w:r>
    </w:p>
    <w:p>
      <w:pPr>
        <w:keepNext/>
        <w:spacing w:before="280" w:after="80"/>
      </w:pPr>
      <w:r>
        <w:rPr>
          <w:rFonts w:ascii="Arial" w:hAnsi="Arial"/>
          <w:b/>
          <w:color w:val="D97706"/>
          <w:sz w:val="24"/>
        </w:rPr>
        <w:t>ACKNOWLEDGEMENTS</w:t>
      </w:r>
    </w:p>
    <w:p>
      <w:pPr>
        <w:spacing w:line="276" w:lineRule="auto" w:after="120"/>
      </w:pPr>
      <w:r>
        <w:rPr>
          <w:rFonts w:ascii="Arial" w:hAnsi="Arial"/>
          <w:color w:val="44403C"/>
          <w:sz w:val="20"/>
        </w:rPr>
        <w:t>We express our deepest gratitude to the Almighty God for His grace, strength, and wisdom bestowed upon us during this project. Our sincere appreciation goes to our project supervisor, Dr. S. O. Frimpong, whose invaluable guidance, critique, and continuous feedback shaped the methodology of this research. We are also thankful to the University of Energy and Natural Resources (UENR) for providing the resources and clean energy laboratory infrastructure that enabled our field testing. Finally, we thank our peers and technical staff in the ITDS department for their support and collaboration.</w:t>
      </w:r>
    </w:p>
    <w:p>
      <w:pPr>
        <w:keepNext/>
        <w:spacing w:before="280" w:after="80"/>
      </w:pPr>
      <w:r>
        <w:rPr>
          <w:rFonts w:ascii="Arial" w:hAnsi="Arial"/>
          <w:b/>
          <w:color w:val="D97706"/>
          <w:sz w:val="24"/>
        </w:rPr>
        <w:t>ABSTRACT</w:t>
      </w:r>
    </w:p>
    <w:p>
      <w:pPr>
        <w:spacing w:line="276" w:lineRule="auto" w:after="120"/>
      </w:pPr>
      <w:r>
        <w:rPr>
          <w:rFonts w:ascii="Arial" w:hAnsi="Arial"/>
          <w:color w:val="44403C"/>
          <w:sz w:val="20"/>
        </w:rPr>
        <w:t>The proliferation of utility-scale and decentralized photovoltaic (PV) solar installations in sub-Saharan Africa has exposed severe operational bottlenecks in enterprise asset maintenance. In rural off-grid environments across Ghana, field technicians face two fundamental information technology challenges: complete cellular network dead-zones (rendering centralized cloud-AI vision pipelines inoperable) and the absence of an automated Decision Support System (DSS) capable of translating raw, unstructured visual telemetry into prioritized maintenance schedules and financial risk forecasts. This project designs, implements, and evaluates an offline-first Edge-AI Mobile Decision Support System (DSS) and spatial telemetry pipeline engineered for enterprise renewable asset management.</w:t>
      </w:r>
    </w:p>
    <w:p>
      <w:pPr>
        <w:spacing w:line="276" w:lineRule="auto" w:after="120"/>
      </w:pPr>
      <w:r>
        <w:rPr>
          <w:rFonts w:ascii="Arial" w:hAnsi="Arial"/>
          <w:color w:val="44403C"/>
          <w:sz w:val="20"/>
        </w:rPr>
        <w:t>To overcome the bandwidth and latency limitations of cloud processing, we architected an edge computing pipeline featuring a custom-trained YOLOv8 neural network compressed via post-training INT8 integer quantization into a 3.2 MB TensorFlow Lite (TFLite) binary. Running natively on edge mobile devices, the model executes in 168 ms with zero wide-area network (WAN) data payload (achieving a 99.2% bandwidth reduction compared to cloud APIs). To safeguard the edge inference engine from noisy non-solar inputs, an automated double-layer validation gatekeeper combines background COCO semantic filtering with HSV color-gradient space validation.</w:t>
      </w:r>
    </w:p>
    <w:p>
      <w:pPr>
        <w:spacing w:line="276" w:lineRule="auto" w:after="120"/>
      </w:pPr>
      <w:r>
        <w:rPr>
          <w:rFonts w:ascii="Arial" w:hAnsi="Arial"/>
          <w:color w:val="44403C"/>
          <w:sz w:val="20"/>
        </w:rPr>
        <w:t>At the Decision Sciences layer, the system incorporates a Multi-Criteria Decision Analysis (MCDA) engine that algorithmically transforms detected anomaly bounding boxes and local solar irradiance telemetry into dynamic power degradation estimates (Watts lost) and multi-tier Service Level Agreement (SLA) urgency queues: P1 Critical (≤ 72 hours for thermal runaway hotspots and bypass diode failures), P2 High (≤ 7 days for micro-cracks and delamination), P3 Medium (≤ 14 days for soiling and discoloration), and P4 Low (≤ 30 days for snail trails). The platform automatically generates IT Service Management (ITSM / CMMS) work-order tickets compliant with ITIL v4 standards and exports structured JSON payloads interoperable with enterprise ERP systems (SAP Plant Maintenance, ServiceNow, and Jira Service Desk). Furthermore, a cryptographic chain of custody computes tamper-proof SHA-256 telemetry digests for every field scan, ensuring non-repudiation and audit compliance for energy insurance underwriters and carbon-credit verification bodies.</w:t>
      </w:r>
    </w:p>
    <w:p>
      <w:pPr>
        <w:spacing w:line="276" w:lineRule="auto" w:after="120"/>
      </w:pPr>
      <w:r>
        <w:rPr>
          <w:rFonts w:ascii="Arial" w:hAnsi="Arial"/>
          <w:color w:val="44403C"/>
          <w:sz w:val="20"/>
        </w:rPr>
        <w:t>Empirical evaluation demonstrated an object classification accuracy of 92.7% mAP@50 across 9 defect classes, with sub-180ms edge execution. Usability testing conducted with 12 clean energy field operators yielded an exceptional System Usability Scale (SUS) score of 84.3/100. This research provides a robust, low-cost, and scalable software engineering framework that bridges edge artificial intelligence, distributed telemetry pipelines, and decision sciences for digitalized asset management in developing nations.</w:t>
      </w:r>
    </w:p>
    <w:p>
      <w:pPr>
        <w:keepNext/>
        <w:spacing w:before="280" w:after="80"/>
      </w:pPr>
      <w:r>
        <w:rPr>
          <w:rFonts w:ascii="Arial" w:hAnsi="Arial"/>
          <w:b/>
          <w:color w:val="D97706"/>
          <w:sz w:val="24"/>
        </w:rPr>
        <w:t>TABLE OF CONTENTS</w:t>
      </w:r>
    </w:p>
    <w:p>
      <w:pPr>
        <w:spacing w:line="276" w:lineRule="auto" w:after="120"/>
      </w:pPr>
      <w:r>
        <w:rPr>
          <w:rFonts w:ascii="Arial" w:hAnsi="Arial"/>
          <w:color w:val="44403C"/>
          <w:sz w:val="20"/>
        </w:rPr>
        <w:t>Declaration......................................................... ii</w:t>
      </w:r>
    </w:p>
    <w:p>
      <w:pPr>
        <w:spacing w:line="276" w:lineRule="auto" w:after="120"/>
      </w:pPr>
      <w:r>
        <w:rPr>
          <w:rFonts w:ascii="Arial" w:hAnsi="Arial"/>
          <w:color w:val="44403C"/>
          <w:sz w:val="20"/>
        </w:rPr>
        <w:t>Dedication..........................................................iii</w:t>
      </w:r>
    </w:p>
    <w:p>
      <w:pPr>
        <w:spacing w:line="276" w:lineRule="auto" w:after="120"/>
      </w:pPr>
      <w:r>
        <w:rPr>
          <w:rFonts w:ascii="Arial" w:hAnsi="Arial"/>
          <w:color w:val="44403C"/>
          <w:sz w:val="20"/>
        </w:rPr>
        <w:t>Acknowledgements.....................................................iv</w:t>
      </w:r>
    </w:p>
    <w:p>
      <w:pPr>
        <w:spacing w:line="276" w:lineRule="auto" w:after="120"/>
      </w:pPr>
      <w:r>
        <w:rPr>
          <w:rFonts w:ascii="Arial" w:hAnsi="Arial"/>
          <w:color w:val="44403C"/>
          <w:sz w:val="20"/>
        </w:rPr>
        <w:t>Abstract..............................................................v</w:t>
      </w:r>
    </w:p>
    <w:p>
      <w:pPr>
        <w:spacing w:line="276" w:lineRule="auto" w:after="120"/>
      </w:pPr>
      <w:r>
        <w:rPr>
          <w:rFonts w:ascii="Arial" w:hAnsi="Arial"/>
          <w:color w:val="44403C"/>
          <w:sz w:val="20"/>
        </w:rPr>
        <w:t>Chapter 1: Introduction.........................................................1</w:t>
      </w:r>
    </w:p>
    <w:p>
      <w:pPr>
        <w:keepNext/>
        <w:spacing w:before="280" w:after="80"/>
      </w:pPr>
      <w:r>
        <w:rPr>
          <w:rFonts w:ascii="Arial" w:hAnsi="Arial"/>
          <w:b/>
          <w:color w:val="D97706"/>
          <w:sz w:val="24"/>
        </w:rPr>
        <w:t>1.1 Background of the Study.................................................................1</w:t>
      </w:r>
    </w:p>
    <w:p>
      <w:pPr>
        <w:keepNext/>
        <w:spacing w:before="280" w:after="80"/>
      </w:pPr>
      <w:r>
        <w:rPr>
          <w:rFonts w:ascii="Arial" w:hAnsi="Arial"/>
          <w:b/>
          <w:color w:val="D97706"/>
          <w:sz w:val="24"/>
        </w:rPr>
        <w:t>1.2 Statement of the Problem...............................................................6</w:t>
      </w:r>
    </w:p>
    <w:p>
      <w:pPr>
        <w:keepNext/>
        <w:spacing w:before="280" w:after="80"/>
      </w:pPr>
      <w:r>
        <w:rPr>
          <w:rFonts w:ascii="Arial" w:hAnsi="Arial"/>
          <w:b/>
          <w:color w:val="D97706"/>
          <w:sz w:val="24"/>
        </w:rPr>
        <w:t>1.3 Research Questions............................................................ 9</w:t>
      </w:r>
    </w:p>
    <w:p>
      <w:pPr>
        <w:keepNext/>
        <w:spacing w:before="280" w:after="80"/>
      </w:pPr>
      <w:r>
        <w:rPr>
          <w:rFonts w:ascii="Arial" w:hAnsi="Arial"/>
          <w:b/>
          <w:color w:val="D97706"/>
          <w:sz w:val="24"/>
        </w:rPr>
        <w:t>1.4 Research Objectives........................................................   10</w:t>
      </w:r>
    </w:p>
    <w:p>
      <w:pPr>
        <w:keepNext/>
        <w:spacing w:before="280" w:after="80"/>
      </w:pPr>
      <w:r>
        <w:rPr>
          <w:rFonts w:ascii="Arial" w:hAnsi="Arial"/>
          <w:b/>
          <w:color w:val="D97706"/>
          <w:sz w:val="24"/>
        </w:rPr>
        <w:t>1.5 Significance of the Study.............................................................   11</w:t>
      </w:r>
    </w:p>
    <w:p>
      <w:pPr>
        <w:keepNext/>
        <w:spacing w:before="280" w:after="80"/>
      </w:pPr>
      <w:r>
        <w:rPr>
          <w:rFonts w:ascii="Arial" w:hAnsi="Arial"/>
          <w:b/>
          <w:color w:val="D97706"/>
          <w:sz w:val="24"/>
        </w:rPr>
        <w:t>1.6 Scope of the Study.............................................................   13</w:t>
      </w:r>
    </w:p>
    <w:p>
      <w:pPr>
        <w:keepNext/>
        <w:spacing w:before="280" w:after="80"/>
      </w:pPr>
      <w:r>
        <w:rPr>
          <w:rFonts w:ascii="Arial" w:hAnsi="Arial"/>
          <w:b/>
          <w:color w:val="D97706"/>
          <w:sz w:val="24"/>
        </w:rPr>
        <w:t>1.7 Organization of the Thesis............................................................   14</w:t>
      </w:r>
    </w:p>
    <w:p>
      <w:pPr>
        <w:spacing w:line="276" w:lineRule="auto" w:after="120"/>
      </w:pPr>
      <w:r>
        <w:rPr>
          <w:rFonts w:ascii="Arial" w:hAnsi="Arial"/>
          <w:color w:val="44403C"/>
          <w:sz w:val="20"/>
        </w:rPr>
        <w:t>Chapter 2: Literature Review............................................................   16</w:t>
      </w:r>
    </w:p>
    <w:p>
      <w:pPr>
        <w:keepNext/>
        <w:spacing w:before="280" w:after="80"/>
      </w:pPr>
      <w:r>
        <w:rPr>
          <w:rFonts w:ascii="Arial" w:hAnsi="Arial"/>
          <w:b/>
          <w:color w:val="D97706"/>
          <w:sz w:val="24"/>
        </w:rPr>
        <w:t>2.1 Edge Computing and Distributed Telemetry Architectures in Field Asset Management......................................   16</w:t>
      </w:r>
    </w:p>
    <w:p>
      <w:pPr>
        <w:keepNext/>
        <w:spacing w:before="280" w:after="80"/>
      </w:pPr>
      <w:r>
        <w:rPr>
          <w:rFonts w:ascii="Arial" w:hAnsi="Arial"/>
          <w:b/>
          <w:color w:val="D97706"/>
          <w:sz w:val="24"/>
        </w:rPr>
        <w:t>2.2 Decision Support Systems (DSS) and Multi-Criteria Decision Analysis in Maintenance......................................   20</w:t>
      </w:r>
    </w:p>
    <w:p>
      <w:pPr>
        <w:keepNext/>
        <w:spacing w:before="280" w:after="80"/>
      </w:pPr>
      <w:r>
        <w:rPr>
          <w:rFonts w:ascii="Arial" w:hAnsi="Arial"/>
          <w:b/>
          <w:color w:val="D97706"/>
          <w:sz w:val="24"/>
        </w:rPr>
        <w:t>2.3 Computer Vision &amp; Deep Learning for Unstructured Visual Telemetry........................................................   24</w:t>
      </w:r>
    </w:p>
    <w:p>
      <w:pPr>
        <w:keepNext/>
        <w:spacing w:before="280" w:after="80"/>
      </w:pPr>
      <w:r>
        <w:rPr>
          <w:rFonts w:ascii="Arial" w:hAnsi="Arial"/>
          <w:b/>
          <w:color w:val="D97706"/>
          <w:sz w:val="24"/>
        </w:rPr>
        <w:t>2.4 Mobile Compression &amp; INT8 Quantization Paradigms......................................................   28</w:t>
      </w:r>
    </w:p>
    <w:p>
      <w:pPr>
        <w:keepNext/>
        <w:spacing w:before="280" w:after="80"/>
      </w:pPr>
      <w:r>
        <w:rPr>
          <w:rFonts w:ascii="Arial" w:hAnsi="Arial"/>
          <w:b/>
          <w:color w:val="D97706"/>
          <w:sz w:val="24"/>
        </w:rPr>
        <w:t>2.5 IT Service Management (ITSM) and Enterprise CMMS Integration (ITIL v4)....................................................   32</w:t>
      </w:r>
    </w:p>
    <w:p>
      <w:pPr>
        <w:keepNext/>
        <w:spacing w:before="280" w:after="80"/>
      </w:pPr>
      <w:r>
        <w:rPr>
          <w:rFonts w:ascii="Arial" w:hAnsi="Arial"/>
          <w:b/>
          <w:color w:val="D97706"/>
          <w:sz w:val="24"/>
        </w:rPr>
        <w:t>2.6 Cryptographic Data Integrity and Non-Repudiation in Field Auditing......................................................   36</w:t>
      </w:r>
    </w:p>
    <w:p>
      <w:pPr>
        <w:keepNext/>
        <w:spacing w:before="280" w:after="80"/>
      </w:pPr>
      <w:r>
        <w:rPr>
          <w:rFonts w:ascii="Arial" w:hAnsi="Arial"/>
          <w:b/>
          <w:color w:val="D97706"/>
          <w:sz w:val="24"/>
        </w:rPr>
        <w:t>2.7 Taxonomy of Photovoltaic Telemetry Anomalies...........................................................   40</w:t>
      </w:r>
    </w:p>
    <w:p>
      <w:pPr>
        <w:keepNext/>
        <w:spacing w:before="280" w:after="80"/>
      </w:pPr>
      <w:r>
        <w:rPr>
          <w:rFonts w:ascii="Arial" w:hAnsi="Arial"/>
          <w:b/>
          <w:color w:val="D97706"/>
          <w:sz w:val="24"/>
        </w:rPr>
        <w:t>2.8 Comparative Analysis of Related Works.............................................................   44</w:t>
      </w:r>
    </w:p>
    <w:p>
      <w:pPr>
        <w:keepNext/>
        <w:spacing w:before="280" w:after="80"/>
      </w:pPr>
      <w:r>
        <w:rPr>
          <w:rFonts w:ascii="Arial" w:hAnsi="Arial"/>
          <w:b/>
          <w:color w:val="D97706"/>
          <w:sz w:val="24"/>
        </w:rPr>
        <w:t>2.9 Summary of Gaps in Literature........................................................   47</w:t>
      </w:r>
    </w:p>
    <w:p>
      <w:pPr>
        <w:keepNext/>
        <w:spacing w:before="280" w:after="80"/>
      </w:pPr>
      <w:r>
        <w:rPr>
          <w:rFonts w:ascii="Arial" w:hAnsi="Arial"/>
          <w:b/>
          <w:color w:val="D97706"/>
          <w:sz w:val="24"/>
        </w:rPr>
        <w:t>2.10 Clean Energy Policies &amp; Digitalization in Ghana.............................................................   50</w:t>
      </w:r>
    </w:p>
    <w:p>
      <w:pPr>
        <w:spacing w:line="276" w:lineRule="auto" w:after="120"/>
      </w:pPr>
      <w:r>
        <w:rPr>
          <w:rFonts w:ascii="Arial" w:hAnsi="Arial"/>
          <w:color w:val="44403C"/>
          <w:sz w:val="20"/>
        </w:rPr>
        <w:t>Chapter 3: System Design &amp; Methodology.......................................................   53</w:t>
      </w:r>
    </w:p>
    <w:p>
      <w:pPr>
        <w:keepNext/>
        <w:spacing w:before="280" w:after="80"/>
      </w:pPr>
      <w:r>
        <w:rPr>
          <w:rFonts w:ascii="Arial" w:hAnsi="Arial"/>
          <w:b/>
          <w:color w:val="D97706"/>
          <w:sz w:val="24"/>
        </w:rPr>
        <w:t>3.1 Distributed System Architecture (Edge-to-Cloud Pipeline)......................................................   53</w:t>
      </w:r>
    </w:p>
    <w:p>
      <w:pPr>
        <w:keepNext/>
        <w:spacing w:before="280" w:after="80"/>
      </w:pPr>
      <w:r>
        <w:rPr>
          <w:rFonts w:ascii="Arial" w:hAnsi="Arial"/>
          <w:b/>
          <w:color w:val="D97706"/>
          <w:sz w:val="24"/>
        </w:rPr>
        <w:t>3.2 Double-Layer Validation Gatekeeper Algorithm.........................................................   56</w:t>
      </w:r>
    </w:p>
    <w:p>
      <w:pPr>
        <w:keepNext/>
        <w:spacing w:before="280" w:after="80"/>
      </w:pPr>
      <w:r>
        <w:rPr>
          <w:rFonts w:ascii="Arial" w:hAnsi="Arial"/>
          <w:b/>
          <w:color w:val="D97706"/>
          <w:sz w:val="24"/>
        </w:rPr>
        <w:t>3.3 YOLOv8 Neural Architecture &amp; INT8 Quantization Pipeline..........................................................   60</w:t>
      </w:r>
    </w:p>
    <w:p>
      <w:pPr>
        <w:keepNext/>
        <w:spacing w:before="280" w:after="80"/>
      </w:pPr>
      <w:r>
        <w:rPr>
          <w:rFonts w:ascii="Arial" w:hAnsi="Arial"/>
          <w:b/>
          <w:color w:val="D97706"/>
          <w:sz w:val="24"/>
        </w:rPr>
        <w:t>3.4 Automated Decision Support System (DSS) &amp; AHP Multi-Criteria SLA Matrix...................................................   64</w:t>
      </w:r>
    </w:p>
    <w:p>
      <w:pPr>
        <w:keepNext/>
        <w:spacing w:before="280" w:after="80"/>
      </w:pPr>
      <w:r>
        <w:rPr>
          <w:rFonts w:ascii="Arial" w:hAnsi="Arial"/>
          <w:b/>
          <w:color w:val="D97706"/>
          <w:sz w:val="24"/>
        </w:rPr>
        <w:t>3.5 Wafer Thermodynamics Loss Modeling Engine............................................................   68</w:t>
      </w:r>
    </w:p>
    <w:p>
      <w:pPr>
        <w:keepNext/>
        <w:spacing w:before="280" w:after="80"/>
      </w:pPr>
      <w:r>
        <w:rPr>
          <w:rFonts w:ascii="Arial" w:hAnsi="Arial"/>
          <w:b/>
          <w:color w:val="D97706"/>
          <w:sz w:val="24"/>
        </w:rPr>
        <w:t>3.6 Cryptographic Chain of Custody &amp; SHA-256 Audit Ledger............................................................   72</w:t>
      </w:r>
    </w:p>
    <w:p>
      <w:pPr>
        <w:keepNext/>
        <w:spacing w:before="280" w:after="80"/>
      </w:pPr>
      <w:r>
        <w:rPr>
          <w:rFonts w:ascii="Arial" w:hAnsi="Arial"/>
          <w:b/>
          <w:color w:val="D97706"/>
          <w:sz w:val="24"/>
        </w:rPr>
        <w:t>3.7 Enterprise REST API Gateway &amp; ITSM Work-Order Generator.........................................................   75</w:t>
      </w:r>
    </w:p>
    <w:p>
      <w:pPr>
        <w:keepNext/>
        <w:spacing w:before="280" w:after="80"/>
      </w:pPr>
      <w:r>
        <w:rPr>
          <w:rFonts w:ascii="Arial" w:hAnsi="Arial"/>
          <w:b/>
          <w:color w:val="D97706"/>
          <w:sz w:val="24"/>
        </w:rPr>
        <w:t>3.8 Offline Database Design &amp; Synchronization Protocols.........................................................   78</w:t>
      </w:r>
    </w:p>
    <w:p>
      <w:pPr>
        <w:keepNext/>
        <w:spacing w:before="280" w:after="80"/>
      </w:pPr>
      <w:r>
        <w:rPr>
          <w:rFonts w:ascii="Arial" w:hAnsi="Arial"/>
          <w:b/>
          <w:color w:val="D97706"/>
          <w:sz w:val="24"/>
        </w:rPr>
        <w:t>3.9 Interactive Canvas HUD &amp; Human-Computer Interface Design.......................................................   81</w:t>
      </w:r>
    </w:p>
    <w:p>
      <w:pPr>
        <w:spacing w:line="276" w:lineRule="auto" w:after="120"/>
      </w:pPr>
      <w:r>
        <w:rPr>
          <w:rFonts w:ascii="Arial" w:hAnsi="Arial"/>
          <w:color w:val="44403C"/>
          <w:sz w:val="20"/>
        </w:rPr>
        <w:t>Chapter 4: Implementation and Results...........................................................   72</w:t>
      </w:r>
    </w:p>
    <w:p>
      <w:pPr>
        <w:keepNext/>
        <w:spacing w:before="280" w:after="80"/>
      </w:pPr>
      <w:r>
        <w:rPr>
          <w:rFonts w:ascii="Arial" w:hAnsi="Arial"/>
          <w:b/>
          <w:color w:val="D97706"/>
          <w:sz w:val="24"/>
        </w:rPr>
        <w:t>4.1 Implementation Environment.......................................................   72</w:t>
      </w:r>
    </w:p>
    <w:p>
      <w:pPr>
        <w:keepNext/>
        <w:spacing w:before="280" w:after="80"/>
      </w:pPr>
      <w:r>
        <w:rPr>
          <w:rFonts w:ascii="Arial" w:hAnsi="Arial"/>
          <w:b/>
          <w:color w:val="D97706"/>
          <w:sz w:val="24"/>
        </w:rPr>
        <w:t>4.2 Model Training Performance Telemetry.........................................................   74</w:t>
      </w:r>
    </w:p>
    <w:p>
      <w:pPr>
        <w:keepNext/>
        <w:spacing w:before="280" w:after="80"/>
      </w:pPr>
      <w:r>
        <w:rPr>
          <w:rFonts w:ascii="Arial" w:hAnsi="Arial"/>
          <w:b/>
          <w:color w:val="D97706"/>
          <w:sz w:val="24"/>
        </w:rPr>
        <w:t>4.3 Gatekeeper Validator Verification Testing...........................................................   76</w:t>
      </w:r>
    </w:p>
    <w:p>
      <w:pPr>
        <w:keepNext/>
        <w:spacing w:before="280" w:after="80"/>
      </w:pPr>
      <w:r>
        <w:rPr>
          <w:rFonts w:ascii="Arial" w:hAnsi="Arial"/>
          <w:b/>
          <w:color w:val="D97706"/>
          <w:sz w:val="24"/>
        </w:rPr>
        <w:t>4.4 Wafer Thermodynamics Engine Calibration.......................................................   79</w:t>
      </w:r>
    </w:p>
    <w:p>
      <w:pPr>
        <w:keepNext/>
        <w:spacing w:before="280" w:after="80"/>
      </w:pPr>
      <w:r>
        <w:rPr>
          <w:rFonts w:ascii="Arial" w:hAnsi="Arial"/>
          <w:b/>
          <w:color w:val="D97706"/>
          <w:sz w:val="24"/>
        </w:rPr>
        <w:t>4.5 Usability Evaluation (System Usability Scale)............................................................   82</w:t>
      </w:r>
    </w:p>
    <w:p>
      <w:pPr>
        <w:keepNext/>
        <w:spacing w:before="280" w:after="80"/>
      </w:pPr>
      <w:r>
        <w:rPr>
          <w:rFonts w:ascii="Arial" w:hAnsi="Arial"/>
          <w:b/>
          <w:color w:val="D97706"/>
          <w:sz w:val="24"/>
        </w:rPr>
        <w:t>4.6 Case Studies &amp; Modality Demos.............................................................   86</w:t>
      </w:r>
    </w:p>
    <w:p>
      <w:pPr>
        <w:keepNext/>
        <w:spacing w:before="280" w:after="80"/>
      </w:pPr>
      <w:r>
        <w:rPr>
          <w:rFonts w:ascii="Arial" w:hAnsi="Arial"/>
          <w:b/>
          <w:color w:val="D97706"/>
          <w:sz w:val="24"/>
        </w:rPr>
        <w:t>4.7 Comparative Analysis of Edge Inference Speed.............................................................   89</w:t>
      </w:r>
    </w:p>
    <w:p>
      <w:pPr>
        <w:spacing w:line="276" w:lineRule="auto" w:after="120"/>
      </w:pPr>
      <w:r>
        <w:rPr>
          <w:rFonts w:ascii="Arial" w:hAnsi="Arial"/>
          <w:color w:val="44403C"/>
          <w:sz w:val="20"/>
        </w:rPr>
        <w:t>Chapter 5: Conclusion and Recommendations...................................................   92</w:t>
      </w:r>
    </w:p>
    <w:p>
      <w:pPr>
        <w:keepNext/>
        <w:spacing w:before="280" w:after="80"/>
      </w:pPr>
      <w:r>
        <w:rPr>
          <w:rFonts w:ascii="Arial" w:hAnsi="Arial"/>
          <w:b/>
          <w:color w:val="D97706"/>
          <w:sz w:val="24"/>
        </w:rPr>
        <w:t>5.1 Project Summary...........................................................   92</w:t>
      </w:r>
    </w:p>
    <w:p>
      <w:pPr>
        <w:keepNext/>
        <w:spacing w:before="280" w:after="80"/>
      </w:pPr>
      <w:r>
        <w:rPr>
          <w:rFonts w:ascii="Arial" w:hAnsi="Arial"/>
          <w:b/>
          <w:color w:val="D97706"/>
          <w:sz w:val="24"/>
        </w:rPr>
        <w:t>5.2 Key Contributions.....................................................   94</w:t>
      </w:r>
    </w:p>
    <w:p>
      <w:pPr>
        <w:keepNext/>
        <w:spacing w:before="280" w:after="80"/>
      </w:pPr>
      <w:r>
        <w:rPr>
          <w:rFonts w:ascii="Arial" w:hAnsi="Arial"/>
          <w:b/>
          <w:color w:val="D97706"/>
          <w:sz w:val="24"/>
        </w:rPr>
        <w:t>5.3 System Limitations........................................................  96</w:t>
      </w:r>
    </w:p>
    <w:p>
      <w:pPr>
        <w:keepNext/>
        <w:spacing w:before="280" w:after="80"/>
      </w:pPr>
      <w:r>
        <w:rPr>
          <w:rFonts w:ascii="Arial" w:hAnsi="Arial"/>
          <w:b/>
          <w:color w:val="D97706"/>
          <w:sz w:val="24"/>
        </w:rPr>
        <w:t>5.4 Future Directions.........................................................  98</w:t>
      </w:r>
    </w:p>
    <w:p>
      <w:pPr>
        <w:keepNext/>
        <w:spacing w:before="280" w:after="80"/>
      </w:pPr>
      <w:r>
        <w:rPr>
          <w:rFonts w:ascii="Arial" w:hAnsi="Arial"/>
          <w:b/>
          <w:color w:val="D97706"/>
          <w:sz w:val="24"/>
        </w:rPr>
        <w:t>5.5 Recommendations for Solar Policy Makers in Ghana..........................  101</w:t>
      </w:r>
    </w:p>
    <w:p>
      <w:pPr>
        <w:spacing w:line="276" w:lineRule="auto" w:after="120"/>
      </w:pPr>
      <w:r>
        <w:rPr>
          <w:rFonts w:ascii="Arial" w:hAnsi="Arial"/>
          <w:color w:val="44403C"/>
          <w:sz w:val="20"/>
        </w:rPr>
        <w:t>References........................................................  104</w:t>
      </w:r>
    </w:p>
    <w:p>
      <w:pPr>
        <w:spacing w:line="276" w:lineRule="auto" w:after="120"/>
      </w:pPr>
      <w:r>
        <w:rPr>
          <w:rFonts w:ascii="Arial" w:hAnsi="Arial"/>
          <w:color w:val="44403C"/>
          <w:sz w:val="20"/>
        </w:rPr>
        <w:t>Appendix A: Official Research Poster............................................  107</w:t>
      </w:r>
    </w:p>
    <w:p>
      <w:pPr>
        <w:spacing w:line="276" w:lineRule="auto" w:after="120"/>
      </w:pPr>
      <w:r>
        <w:rPr>
          <w:rFonts w:ascii="Arial" w:hAnsi="Arial"/>
          <w:color w:val="44403C"/>
          <w:sz w:val="20"/>
        </w:rPr>
        <w:t>Appendix B: Technical Code Implementation.......................................  109</w:t>
      </w:r>
    </w:p>
    <w:p>
      <w:pPr>
        <w:keepNext/>
        <w:spacing w:before="280" w:after="80"/>
      </w:pPr>
      <w:r>
        <w:rPr>
          <w:rFonts w:ascii="Arial" w:hAnsi="Arial"/>
          <w:b/>
          <w:color w:val="D97706"/>
          <w:sz w:val="24"/>
        </w:rPr>
        <w:t>CHAPTER 1: INTRODUCTION</w:t>
      </w:r>
    </w:p>
    <w:p>
      <w:pPr>
        <w:keepNext/>
        <w:spacing w:before="280" w:after="80"/>
      </w:pPr>
      <w:r>
        <w:rPr>
          <w:rFonts w:ascii="Arial" w:hAnsi="Arial"/>
          <w:b/>
          <w:color w:val="D97706"/>
          <w:sz w:val="24"/>
        </w:rPr>
        <w:t>1.1 Background of the Study</w:t>
      </w:r>
    </w:p>
    <w:p>
      <w:pPr>
        <w:spacing w:line="276" w:lineRule="auto" w:after="120"/>
      </w:pPr>
      <w:r>
        <w:rPr>
          <w:rFonts w:ascii="Arial" w:hAnsi="Arial"/>
          <w:color w:val="44403C"/>
          <w:sz w:val="20"/>
        </w:rPr>
        <w:t>The global transition toward decentralized clean energy infrastructure has accelerated the deployment of utility-scale and distributed photovoltaic (PV) solar installations across sub-Saharan Africa. In Ghana, national electrification agendas and climate-resilience policies have led to substantial capital investments in solar farms across the Bono, Northern, and Upper East regions. These renewable installations represent mission-critical enterprise assets that must operate reliably over 25-year lifecycle horizons. However, ensuring the operational continuity and maximum power yield of solar generation assets presents a complex Information Technology (IT) and Decision Sciences challenge. Large solar fields comprise tens of thousands of individual photovoltaic modules deployed across hundreds of acres of harsh outdoor terrain, where environmental degradation—including Harmattan dust accumulation (soiling), micro-cracks, electrical hotspots, bypass diode burnouts, and potential induced degradation (PID)—continuously degrades power output and poses catastrophic thermal runaway risks.</w:t>
      </w:r>
    </w:p>
    <w:p>
      <w:pPr>
        <w:spacing w:line="276" w:lineRule="auto" w:after="120"/>
      </w:pPr>
      <w:r>
        <w:rPr>
          <w:rFonts w:ascii="Arial" w:hAnsi="Arial"/>
          <w:color w:val="44403C"/>
          <w:sz w:val="20"/>
        </w:rPr>
        <w:t>From an Information Technology perspective, the primary operational bottleneck in modern renewable asset management is the management of distributed, unstructured spatial telemetry. While modern autonomous drones and handheld thermal imaging devices can capture thousands of high-resolution images across a solar plant, field inspection teams face a severe data processing barrier. Traditional computer vision architectures rely on a centralized cloud-computing paradigm: field operators must transmit multi-megabyte image payloads across wide-area networks (WAN) to centralized cloud servers (such as Google Cloud Vision API or AWS Rekognition) for neural inference. In developing nations like Ghana, utility-scale solar installations are predominantly situated in remote, rural locations characterized by complete cellular network dead-zones or unstable 2G/3G connectivity with prohibitive data egress costs. Under these zero-bandwidth constraints, cloud-dependent architectures fail completely, leaving field technicians unable to obtain real-time diagnostic intelligence on-site.</w:t>
      </w:r>
    </w:p>
    <w:p>
      <w:pPr>
        <w:spacing w:line="276" w:lineRule="auto" w:after="120"/>
      </w:pPr>
      <w:r>
        <w:rPr>
          <w:rFonts w:ascii="Arial" w:hAnsi="Arial"/>
          <w:color w:val="44403C"/>
          <w:sz w:val="20"/>
        </w:rPr>
        <w:t>This technological limitation highlights the necessity of **Edge Computing and Mobile Model Quantization**. By compressing high-parameter deep convolutional neural networks into lightweight, integer-quantized formats (such as INT8 TensorFlow Lite) that execute natively on commodity mobile processors, computational inference can be brought directly to the network edge. This eliminates wide-area network latency, operates with 100% offline resilience, and cuts cloud bandwidth overhead to zero.</w:t>
      </w:r>
    </w:p>
    <w:p>
      <w:pPr>
        <w:spacing w:line="276" w:lineRule="auto" w:after="120"/>
      </w:pPr>
      <w:r>
        <w:rPr>
          <w:rFonts w:ascii="Arial" w:hAnsi="Arial"/>
          <w:color w:val="44403C"/>
          <w:sz w:val="20"/>
        </w:rPr>
        <w:t>Crucially, from a **Decision Sciences** perspective, simply identifying and localizing an image defect using a computer vision bounding box is insufficient for enterprise asset management. A machine learning model that outputs a label such as "hotspot, confidence 0.94" provides raw diagnostic data, not a decision. Operations managers and field maintenance engineers require an **Automated Decision Support System (DSS)** capable of ingesting raw spatial coordinates, correlating them with real-world environmental telemetry (such as local solar irradiance and ambient temperatures), and algorithmically deriving actionable maintenance decisions. Specifically, the system must perform multi-criteria severity ranking, forecast financial degradation and wattage losses (in Watts and local currency), and dynamically route maintenance tasks into standardized Service Level Agreement (SLA) urgency queues (e.g., P1 Critical ≤ 72 hours, P2 High ≤ 7 days, P3 Medium ≤ 14 days, P4 Low ≤ 30 days).</w:t>
      </w:r>
    </w:p>
    <w:p>
      <w:pPr>
        <w:spacing w:line="276" w:lineRule="auto" w:after="120"/>
      </w:pPr>
      <w:r>
        <w:rPr>
          <w:rFonts w:ascii="Arial" w:hAnsi="Arial"/>
          <w:color w:val="44403C"/>
          <w:sz w:val="20"/>
        </w:rPr>
        <w:t>Furthermore, in enterprise IT operations, field maintenance cannot exist as an isolated island of technology. To achieve true organizational efficiency, diagnostic findings must seamlessly integrate into enterprise **IT Service Management (ITSM) and Computerized Maintenance Management Systems (CMMS)**, such as SAP Plant Maintenance, ServiceNow, and Jira Service Desk. An enterprise-grade IT platform must automatically translate verified defect anomalies into structured ITIL v4 incident work-orders, complete with unique ticket UUIDs, physical asset tags, prescriptive remediation checklists, and cryptographic audit trails. The integration of cryptographic SHA-256 data digests provides a tamper-proof chain of custody, ensuring that field maintenance inspections are provably authentic and non-repudiable for insurance underwriters and carbon-credit regulatory audits.</w:t>
      </w:r>
    </w:p>
    <w:p>
      <w:pPr>
        <w:spacing w:line="276" w:lineRule="auto" w:after="120"/>
      </w:pPr>
      <w:r>
        <w:rPr>
          <w:rFonts w:ascii="Arial" w:hAnsi="Arial"/>
          <w:color w:val="44403C"/>
          <w:sz w:val="20"/>
        </w:rPr>
        <w:t>The Department of Information Technology and Decision Sciences (ITDS) at the University of Energy and Natural Resources (UENR) has established this research to bridge the critical gap between applied machine learning, distributed edge computing, and algorithmic decision sciences, presenting an integrated, digitalized platform for sustainable enterprise asset governance in Ghana.</w:t>
      </w:r>
    </w:p>
    <w:p>
      <w:pPr>
        <w:keepNext/>
        <w:spacing w:before="280" w:after="80"/>
      </w:pPr>
      <w:r>
        <w:rPr>
          <w:rFonts w:ascii="Arial" w:hAnsi="Arial"/>
          <w:b/>
          <w:color w:val="D97706"/>
          <w:sz w:val="24"/>
        </w:rPr>
        <w:t>1.2 Statement of the Problem</w:t>
      </w:r>
    </w:p>
    <w:p>
      <w:pPr>
        <w:spacing w:line="276" w:lineRule="auto" w:after="120"/>
      </w:pPr>
      <w:r>
        <w:rPr>
          <w:rFonts w:ascii="Arial" w:hAnsi="Arial"/>
          <w:color w:val="44403C"/>
          <w:sz w:val="20"/>
        </w:rPr>
        <w:t>Enterprise photovoltaic infrastructure management in Ghana and the broader developing world is constrained by four fundamental Information Technology and Decision Sciences problems:</w:t>
      </w:r>
    </w:p>
    <w:p>
      <w:pPr>
        <w:spacing w:line="276" w:lineRule="auto" w:after="120"/>
      </w:pPr>
      <w:r>
        <w:rPr>
          <w:rFonts w:ascii="Arial" w:hAnsi="Arial"/>
          <w:color w:val="44403C"/>
          <w:sz w:val="20"/>
        </w:rPr>
        <w:t>1. **The Remote WAN Communication and Latency Bottleneck (IT Infrastructure Gap):**</w:t>
      </w:r>
    </w:p>
    <w:p>
      <w:pPr>
        <w:spacing w:line="276" w:lineRule="auto" w:after="120"/>
      </w:pPr>
      <w:r>
        <w:rPr>
          <w:rFonts w:ascii="Arial" w:hAnsi="Arial"/>
          <w:color w:val="44403C"/>
          <w:sz w:val="20"/>
        </w:rPr>
        <w:t>Conventional automated defect detection pipelines depend strictly on high-bandwidth, stable internet connections to stream visual and thermal imagery to cloud servers for deep learning inference. However, utility-scale solar farms in Ghana are almost universally located in rural, off-grid environments where cellular network connectivity is either intermittent, cost-prohibitive, or completely absent. Technicians are forced to collect imagery in the field and travel back to urban office hubs before initiating cloud-based diagnostics. This latency delay—often spanning days or weeks—prevents the immediate detection of acute electrical failures (such as thermal hotspots and bypass diode shorts), allowing localized reverse-bias overheating to cause permanent module burnouts or fire hazards before maintenance can be dispatched.</w:t>
      </w:r>
    </w:p>
    <w:p>
      <w:pPr>
        <w:spacing w:line="276" w:lineRule="auto" w:after="120"/>
      </w:pPr>
      <w:r>
        <w:rPr>
          <w:rFonts w:ascii="Arial" w:hAnsi="Arial"/>
          <w:color w:val="44403C"/>
          <w:sz w:val="20"/>
        </w:rPr>
        <w:t>2. **Absence of Automated Decision Support Systems (Decision Sciences Gap):**</w:t>
      </w:r>
    </w:p>
    <w:p>
      <w:pPr>
        <w:spacing w:line="276" w:lineRule="auto" w:after="120"/>
      </w:pPr>
      <w:r>
        <w:rPr>
          <w:rFonts w:ascii="Arial" w:hAnsi="Arial"/>
          <w:color w:val="44403C"/>
          <w:sz w:val="20"/>
        </w:rPr>
        <w:t>Existing computer vision models developed in academic literature produce raw bounding boxes, class labels, and abstract confidence percentages. These outputs fail to support managerial decision-making. Operations managers cannot deduce how many kilowatt-hours of generation yield will be lost, what financial revenue is at risk, or what operational priority should be assigned to a specific panel relative to hundreds of other deteriorating modules. Without an automated Decision Support System (DSS) utilizing multi-criteria decision analysis (MCDA) to dynamically quantify energy degradation and categorize interventions into structured SLA priority queues, maintenance scheduling remains subjective, reactive, and economically suboptimal.</w:t>
      </w:r>
    </w:p>
    <w:p>
      <w:pPr>
        <w:spacing w:line="276" w:lineRule="auto" w:after="120"/>
      </w:pPr>
      <w:r>
        <w:rPr>
          <w:rFonts w:ascii="Arial" w:hAnsi="Arial"/>
          <w:color w:val="44403C"/>
          <w:sz w:val="20"/>
        </w:rPr>
        <w:t>3. **Vulnerability to Noisy Field Telemetry and False Inference Triggers (Edge Software Engineering Gap):**</w:t>
      </w:r>
    </w:p>
    <w:p>
      <w:pPr>
        <w:spacing w:line="276" w:lineRule="auto" w:after="120"/>
      </w:pPr>
      <w:r>
        <w:rPr>
          <w:rFonts w:ascii="Arial" w:hAnsi="Arial"/>
          <w:color w:val="44403C"/>
          <w:sz w:val="20"/>
        </w:rPr>
        <w:t>Edge-deployed mobile applications operating in variable outdoor lighting conditions frequently ingest irrelevant background data, such as green vegetation, bare soil, boots, transport vehicles, or ambient field shadows. Standard deep learning object detection models attempt to force bounding box predictions onto non-solar imagery, leading to misleading false-positive alarms, technician confusion, rapid battery depletion on mobile devices, and corruption of the central maintenance database. There is an absence of robust, double-layer validation architectures capable of programmatically filtering noisy inputs prior to invoking heavy neural inference loops.</w:t>
      </w:r>
    </w:p>
    <w:p>
      <w:pPr>
        <w:spacing w:line="276" w:lineRule="auto" w:after="120"/>
      </w:pPr>
      <w:r>
        <w:rPr>
          <w:rFonts w:ascii="Arial" w:hAnsi="Arial"/>
          <w:color w:val="44403C"/>
          <w:sz w:val="20"/>
        </w:rPr>
        <w:t>4. **Lack of Cryptographic Chain of Custody and Enterprise ITSM Interoperability (IT Governance Gap):**</w:t>
      </w:r>
    </w:p>
    <w:p>
      <w:pPr>
        <w:spacing w:line="276" w:lineRule="auto" w:after="120"/>
      </w:pPr>
      <w:r>
        <w:rPr>
          <w:rFonts w:ascii="Arial" w:hAnsi="Arial"/>
          <w:color w:val="44403C"/>
          <w:sz w:val="20"/>
        </w:rPr>
        <w:t>Current solar inspection practices in developing nations rely heavily on manual paper logs, informal messaging applications, or disconnected spreadsheets. These records lack cryptographic integrity, enabling field technicians to submit falsified maintenance reports or claim unverified repairs. Furthermore, standalone inspection apps fail to provide open Service-Oriented Architecture (SOA) interfaces or standard REST APIs. Consequently, field diagnostic findings cannot be synchronized into enterprise CMMS platforms (such as SAP, ServiceNow, or Jira), breaking the organizational workflow between field detection, work-order dispatching, inventory spare-parts allocation, and regulatory carbon-credit compliance.</w:t>
      </w:r>
    </w:p>
    <w:p>
      <w:pPr>
        <w:keepNext/>
        <w:spacing w:before="280" w:after="80"/>
      </w:pPr>
      <w:r>
        <w:rPr>
          <w:rFonts w:ascii="Arial" w:hAnsi="Arial"/>
          <w:b/>
          <w:color w:val="D97706"/>
          <w:sz w:val="24"/>
        </w:rPr>
        <w:t>1.3 Research Questions</w:t>
      </w:r>
    </w:p>
    <w:p>
      <w:pPr>
        <w:spacing w:line="276" w:lineRule="auto" w:after="120"/>
      </w:pPr>
      <w:r>
        <w:rPr>
          <w:rFonts w:ascii="Arial" w:hAnsi="Arial"/>
          <w:color w:val="44403C"/>
          <w:sz w:val="20"/>
        </w:rPr>
        <w:t>To resolve the stated technological and managerial gaps, this research addresses the following core technical questions:</w:t>
      </w:r>
    </w:p>
    <w:p>
      <w:pPr>
        <w:spacing w:line="276" w:lineRule="auto" w:after="120"/>
      </w:pPr>
      <w:r>
        <w:rPr>
          <w:rFonts w:ascii="Arial" w:hAnsi="Arial"/>
          <w:color w:val="44403C"/>
          <w:sz w:val="20"/>
        </w:rPr>
        <w:t>1. How can a deep convolutional object detection model (YOLOv8) be optimized via post-training INT8 integer quantization to achieve low-latency edge inference (&lt;180 ms) and zero WAN data payload on standard mobile devices without significant loss in classification precision?</w:t>
      </w:r>
    </w:p>
    <w:p>
      <w:pPr>
        <w:spacing w:line="276" w:lineRule="auto" w:after="120"/>
      </w:pPr>
      <w:r>
        <w:rPr>
          <w:rFonts w:ascii="Arial" w:hAnsi="Arial"/>
          <w:color w:val="44403C"/>
          <w:sz w:val="20"/>
        </w:rPr>
        <w:t>2. What multi-criteria decision algorithm (combining solar irradiance inputs, wafer thermodynamics, and detected anomaly severity) can effectively transform raw spatial defect coordinates into dynamic power loss forecasts and SLA maintenance queues?</w:t>
      </w:r>
    </w:p>
    <w:p>
      <w:pPr>
        <w:spacing w:line="276" w:lineRule="auto" w:after="120"/>
      </w:pPr>
      <w:r>
        <w:rPr>
          <w:rFonts w:ascii="Arial" w:hAnsi="Arial"/>
          <w:color w:val="44403C"/>
          <w:sz w:val="20"/>
        </w:rPr>
        <w:t>3. How can a double-layer edge gatekeeper (combining background COCO semantic filtering and HSV color-space histogram gradients) be engineered to programmatically eliminate non-solar false-positive uploads at the edge?</w:t>
      </w:r>
    </w:p>
    <w:p>
      <w:pPr>
        <w:spacing w:line="276" w:lineRule="auto" w:after="120"/>
      </w:pPr>
      <w:r>
        <w:rPr>
          <w:rFonts w:ascii="Arial" w:hAnsi="Arial"/>
          <w:color w:val="44403C"/>
          <w:sz w:val="20"/>
        </w:rPr>
        <w:t>4. How can cryptographic SHA-256 telemetry digests be integrated into the mobile telemetry pipeline to ensure non-repudiation and tamper-proof audit trails for enterprise compliance?</w:t>
      </w:r>
    </w:p>
    <w:p>
      <w:pPr>
        <w:spacing w:line="276" w:lineRule="auto" w:after="120"/>
      </w:pPr>
      <w:r>
        <w:rPr>
          <w:rFonts w:ascii="Arial" w:hAnsi="Arial"/>
          <w:color w:val="44403C"/>
          <w:sz w:val="20"/>
        </w:rPr>
        <w:t>5. How can a Service-Oriented Architecture (SOA) with standardized RESTful API endpoints and ITIL v4 incident work-order schemas be designed to enable seamless interoperability between edge mobile devices and enterprise ERP/CMMS systems?</w:t>
      </w:r>
    </w:p>
    <w:p>
      <w:pPr>
        <w:spacing w:line="276" w:lineRule="auto" w:after="120"/>
      </w:pPr>
      <w:r>
        <w:rPr>
          <w:rFonts w:ascii="Arial" w:hAnsi="Arial"/>
          <w:color w:val="44403C"/>
          <w:sz w:val="20"/>
        </w:rPr>
        <w:t>6. What is the empirical usability and operational efficiency of the proposed mobile Decision Support System among clean energy field technicians in Ghana, as measured by the System Usability Scale (SUS)?</w:t>
      </w:r>
    </w:p>
    <w:p>
      <w:pPr>
        <w:keepNext/>
        <w:spacing w:before="280" w:after="80"/>
      </w:pPr>
      <w:r>
        <w:rPr>
          <w:rFonts w:ascii="Arial" w:hAnsi="Arial"/>
          <w:b/>
          <w:color w:val="D97706"/>
          <w:sz w:val="24"/>
        </w:rPr>
        <w:t>1.4 Research Objectives</w:t>
      </w:r>
    </w:p>
    <w:p>
      <w:pPr>
        <w:keepNext/>
        <w:spacing w:before="200" w:after="40"/>
      </w:pPr>
      <w:r>
        <w:rPr>
          <w:rFonts w:ascii="Arial" w:hAnsi="Arial"/>
          <w:b/>
          <w:color w:val="44403C"/>
          <w:sz w:val="21"/>
        </w:rPr>
        <w:t>1.4.1 General Objective</w:t>
      </w:r>
    </w:p>
    <w:p>
      <w:pPr>
        <w:spacing w:line="276" w:lineRule="auto" w:after="120"/>
      </w:pPr>
      <w:r>
        <w:rPr>
          <w:rFonts w:ascii="Arial" w:hAnsi="Arial"/>
          <w:color w:val="44403C"/>
          <w:sz w:val="20"/>
        </w:rPr>
        <w:t>The primary objective of this project is to design, implement, and evaluate an offline-first Edge-AI Mobile Decision Support System (DSS) and spatial telemetry pipeline that performs on-device defect classification, automated SLA maintenance prioritization, cryptographic chain-of-custody verification, and enterprise ITSM work-order generation for renewable photovoltaic assets.</w:t>
      </w:r>
    </w:p>
    <w:p>
      <w:pPr>
        <w:keepNext/>
        <w:spacing w:before="200" w:after="40"/>
      </w:pPr>
      <w:r>
        <w:rPr>
          <w:rFonts w:ascii="Arial" w:hAnsi="Arial"/>
          <w:b/>
          <w:color w:val="44403C"/>
          <w:sz w:val="21"/>
        </w:rPr>
        <w:t>1.4.2 Specific Objectives</w:t>
      </w:r>
    </w:p>
    <w:p>
      <w:pPr>
        <w:spacing w:line="276" w:lineRule="auto" w:after="120"/>
      </w:pPr>
      <w:r>
        <w:rPr>
          <w:rFonts w:ascii="Arial" w:hAnsi="Arial"/>
          <w:color w:val="44403C"/>
          <w:sz w:val="20"/>
        </w:rPr>
        <w:t>1. **To Architect and Deploy a Low-Latency Edge-AI Telemetry Pipeline:**</w:t>
      </w:r>
    </w:p>
    <w:p>
      <w:pPr>
        <w:spacing w:line="276" w:lineRule="auto" w:after="120"/>
      </w:pPr>
      <w:r>
        <w:rPr>
          <w:rFonts w:ascii="Arial" w:hAnsi="Arial"/>
          <w:color w:val="44403C"/>
          <w:sz w:val="20"/>
        </w:rPr>
        <w:t>Fine-tune a custom YOLOv8 object detection model across 9 solar defect categories and compile the network into an INT8 quantized TensorFlow Lite (TFLite) binary capable of executing on mobile CPUs in under 180 ms with 0.0 KB WAN network dependency.</w:t>
      </w:r>
    </w:p>
    <w:p>
      <w:pPr>
        <w:spacing w:line="276" w:lineRule="auto" w:after="120"/>
      </w:pPr>
      <w:r>
        <w:rPr>
          <w:rFonts w:ascii="Arial" w:hAnsi="Arial"/>
          <w:color w:val="44403C"/>
          <w:sz w:val="20"/>
        </w:rPr>
        <w:t>2. **To Engineer an Automated Decision Support System (DSS) and SLA Matrix:**</w:t>
      </w:r>
    </w:p>
    <w:p>
      <w:pPr>
        <w:spacing w:line="276" w:lineRule="auto" w:after="120"/>
      </w:pPr>
      <w:r>
        <w:rPr>
          <w:rFonts w:ascii="Arial" w:hAnsi="Arial"/>
          <w:color w:val="44403C"/>
          <w:sz w:val="20"/>
        </w:rPr>
        <w:t>Formulate a multi-criteria decision algorithm that maps detected anomalies, bounding box dimensions, and real-time solar irradiance telemetry into dynamic power yield loss metrics (Watts lost) and multi-tier SLA priority queues (P1 Critical ≤ 72h, P2 High ≤ 7d, P3 Medium ≤ 14d, P4 Low ≤ 30d).</w:t>
      </w:r>
    </w:p>
    <w:p>
      <w:pPr>
        <w:spacing w:line="276" w:lineRule="auto" w:after="120"/>
      </w:pPr>
      <w:r>
        <w:rPr>
          <w:rFonts w:ascii="Arial" w:hAnsi="Arial"/>
          <w:color w:val="44403C"/>
          <w:sz w:val="20"/>
        </w:rPr>
        <w:t>3. **To Implement a Double-Layer Semantic &amp; Color-Space Gatekeeper:**</w:t>
      </w:r>
    </w:p>
    <w:p>
      <w:pPr>
        <w:spacing w:line="276" w:lineRule="auto" w:after="120"/>
      </w:pPr>
      <w:r>
        <w:rPr>
          <w:rFonts w:ascii="Arial" w:hAnsi="Arial"/>
          <w:color w:val="44403C"/>
          <w:sz w:val="20"/>
        </w:rPr>
        <w:t>Develop a lightweight pre-inference filter integrating a COCO semantic classifier and HSV color-space histogram validator to reject invalid, non-solar image uploads before neural processing.</w:t>
      </w:r>
    </w:p>
    <w:p>
      <w:pPr>
        <w:spacing w:line="276" w:lineRule="auto" w:after="120"/>
      </w:pPr>
      <w:r>
        <w:rPr>
          <w:rFonts w:ascii="Arial" w:hAnsi="Arial"/>
          <w:color w:val="44403C"/>
          <w:sz w:val="20"/>
        </w:rPr>
        <w:t>4. **To Construct a Cryptographic Chain of Custody (SHA-256 Ledger):**</w:t>
      </w:r>
    </w:p>
    <w:p>
      <w:pPr>
        <w:spacing w:line="276" w:lineRule="auto" w:after="120"/>
      </w:pPr>
      <w:r>
        <w:rPr>
          <w:rFonts w:ascii="Arial" w:hAnsi="Arial"/>
          <w:color w:val="44403C"/>
          <w:sz w:val="20"/>
        </w:rPr>
        <w:t>Implement a client-side Web Crypto SHA-256 hashing engine that generates immutable, tamper-proof telemetry digests for every field inspection, guaranteeing non-repudiation and IEC 62443 compliance.</w:t>
      </w:r>
    </w:p>
    <w:p>
      <w:pPr>
        <w:spacing w:line="276" w:lineRule="auto" w:after="120"/>
      </w:pPr>
      <w:r>
        <w:rPr>
          <w:rFonts w:ascii="Arial" w:hAnsi="Arial"/>
          <w:color w:val="44403C"/>
          <w:sz w:val="20"/>
        </w:rPr>
        <w:t>5. **To Develop an Enterprise REST API Gateway and ITSM Work-Order Generator:**</w:t>
      </w:r>
    </w:p>
    <w:p>
      <w:pPr>
        <w:spacing w:line="276" w:lineRule="auto" w:after="120"/>
      </w:pPr>
      <w:r>
        <w:rPr>
          <w:rFonts w:ascii="Arial" w:hAnsi="Arial"/>
          <w:color w:val="44403C"/>
          <w:sz w:val="20"/>
        </w:rPr>
        <w:t>Design an OpenAPI 3.1-compliant REST service (`POST /api/v1/telemetry/scan`, `POST /api/v1/itsm/workorder`, `GET /api/v1/dss/sla-matrix`) and automate the creation of ITIL v4-compliant work orders exportable as JSON for SAP PM, ServiceNow, and Jira.</w:t>
      </w:r>
    </w:p>
    <w:p>
      <w:pPr>
        <w:spacing w:line="276" w:lineRule="auto" w:after="120"/>
      </w:pPr>
      <w:r>
        <w:rPr>
          <w:rFonts w:ascii="Arial" w:hAnsi="Arial"/>
          <w:color w:val="44403C"/>
          <w:sz w:val="20"/>
        </w:rPr>
        <w:t>6. **To Empirically Evaluate System Performance, Network Savings, and Usability:**</w:t>
      </w:r>
    </w:p>
    <w:p>
      <w:pPr>
        <w:spacing w:line="276" w:lineRule="auto" w:after="120"/>
      </w:pPr>
      <w:r>
        <w:rPr>
          <w:rFonts w:ascii="Arial" w:hAnsi="Arial"/>
          <w:color w:val="44403C"/>
          <w:sz w:val="20"/>
        </w:rPr>
        <w:t>Conduct quantitative benchmarks measuring inference latency, WAN bandwidth reduction, and classification accuracy (mAP@50), alongside qualitative field usability assessments using the System Usability Scale (SUS) with 12 clean energy technicians.</w:t>
      </w:r>
    </w:p>
    <w:p>
      <w:pPr>
        <w:keepNext/>
        <w:spacing w:before="280" w:after="80"/>
      </w:pPr>
      <w:r>
        <w:rPr>
          <w:rFonts w:ascii="Arial" w:hAnsi="Arial"/>
          <w:b/>
          <w:color w:val="D97706"/>
          <w:sz w:val="24"/>
        </w:rPr>
        <w:t>1.5 Significance of the Study</w:t>
      </w:r>
    </w:p>
    <w:p>
      <w:pPr>
        <w:spacing w:line="276" w:lineRule="auto" w:after="120"/>
      </w:pPr>
      <w:r>
        <w:rPr>
          <w:rFonts w:ascii="Arial" w:hAnsi="Arial"/>
          <w:color w:val="44403C"/>
          <w:sz w:val="20"/>
        </w:rPr>
        <w:t>The significance of this study spans Information Technology, Decision Sciences, and clean energy economics:</w:t>
      </w:r>
    </w:p>
    <w:p>
      <w:pPr>
        <w:pStyle w:val="ListBullet"/>
        <w:spacing w:line="276" w:lineRule="auto" w:after="60"/>
      </w:pPr>
      <w:r>
        <w:rPr>
          <w:rFonts w:ascii="Arial" w:hAnsi="Arial"/>
          <w:color w:val="44403C"/>
          <w:sz w:val="20"/>
        </w:rPr>
        <w:t>**Significance to Information Technology &amp; Distributed Systems:**</w:t>
      </w:r>
    </w:p>
    <w:p>
      <w:pPr>
        <w:spacing w:line="276" w:lineRule="auto" w:after="120"/>
      </w:pPr>
      <w:r>
        <w:rPr>
          <w:rFonts w:ascii="Arial" w:hAnsi="Arial"/>
          <w:color w:val="44403C"/>
          <w:sz w:val="20"/>
        </w:rPr>
        <w:t>This research provides an empirical model for edge-computing deployment in telecommunication-constrained developing nations. By proving that complex computer vision models can be compressed to 3.2 MB and run completely offline with sub-180ms latency, the study establishes a viable blueprint for rural edge intelligence, reducing reliance on expensive, fragile cloud pipelines.</w:t>
      </w:r>
    </w:p>
    <w:p>
      <w:pPr>
        <w:pStyle w:val="ListBullet"/>
        <w:spacing w:line="276" w:lineRule="auto" w:after="60"/>
      </w:pPr>
      <w:r>
        <w:rPr>
          <w:rFonts w:ascii="Arial" w:hAnsi="Arial"/>
          <w:color w:val="44403C"/>
          <w:sz w:val="20"/>
        </w:rPr>
        <w:t>**Significance to Decision Sciences &amp; Operations Research:**</w:t>
      </w:r>
    </w:p>
    <w:p>
      <w:pPr>
        <w:spacing w:line="276" w:lineRule="auto" w:after="120"/>
      </w:pPr>
      <w:r>
        <w:rPr>
          <w:rFonts w:ascii="Arial" w:hAnsi="Arial"/>
          <w:color w:val="44403C"/>
          <w:sz w:val="20"/>
        </w:rPr>
        <w:t>The study transitions predictive diagnostics from passive classification into prescriptive operational management. The integration of multi-criteria decision models, power yield loss equations, and SLA dispatch matrices allows operations managers to optimize maintenance routes mathematically, prioritizing interventions that prevent maximum economic loss and eliminate fire risks.</w:t>
      </w:r>
    </w:p>
    <w:p>
      <w:pPr>
        <w:pStyle w:val="ListBullet"/>
        <w:spacing w:line="276" w:lineRule="auto" w:after="60"/>
      </w:pPr>
      <w:r>
        <w:rPr>
          <w:rFonts w:ascii="Arial" w:hAnsi="Arial"/>
          <w:color w:val="44403C"/>
          <w:sz w:val="20"/>
        </w:rPr>
        <w:t>**Significance to Enterprise IT Governance &amp; Cybersecurity:**</w:t>
      </w:r>
    </w:p>
    <w:p>
      <w:pPr>
        <w:spacing w:line="276" w:lineRule="auto" w:after="120"/>
      </w:pPr>
      <w:r>
        <w:rPr>
          <w:rFonts w:ascii="Arial" w:hAnsi="Arial"/>
          <w:color w:val="44403C"/>
          <w:sz w:val="20"/>
        </w:rPr>
        <w:t>By implementing client-side SHA-256 cryptographic audit trails, this project introduces verifiable chain of custody to field operations. This ensures data authenticity, prevents technician falsification, and produces audit-ready compliance records necessary for solar asset insurance and international carbon credit monetization.</w:t>
      </w:r>
    </w:p>
    <w:p>
      <w:pPr>
        <w:pStyle w:val="ListBullet"/>
        <w:spacing w:line="276" w:lineRule="auto" w:after="60"/>
      </w:pPr>
      <w:r>
        <w:rPr>
          <w:rFonts w:ascii="Arial" w:hAnsi="Arial"/>
          <w:color w:val="44403C"/>
          <w:sz w:val="20"/>
        </w:rPr>
        <w:t>**Significance to National Digitalization and UENR:**</w:t>
      </w:r>
    </w:p>
    <w:p>
      <w:pPr>
        <w:spacing w:line="276" w:lineRule="auto" w:after="120"/>
      </w:pPr>
      <w:r>
        <w:rPr>
          <w:rFonts w:ascii="Arial" w:hAnsi="Arial"/>
          <w:color w:val="44403C"/>
          <w:sz w:val="20"/>
        </w:rPr>
        <w:t>Directly aligned with the mandate of the Department of Information Technology and Decision Sciences (ITDS) at the University of Energy and Natural Resources (UENR), this work illustrates how home-grown software engineering and data analytics can solve critical national infrastructure challenges in Ghana’s expanding renewable energy sector.</w:t>
      </w:r>
    </w:p>
    <w:p>
      <w:pPr>
        <w:keepNext/>
        <w:spacing w:before="280" w:after="80"/>
      </w:pPr>
      <w:r>
        <w:rPr>
          <w:rFonts w:ascii="Arial" w:hAnsi="Arial"/>
          <w:b/>
          <w:color w:val="D97706"/>
          <w:sz w:val="24"/>
        </w:rPr>
        <w:t>1.6 Scope of the Study</w:t>
      </w:r>
    </w:p>
    <w:p>
      <w:pPr>
        <w:spacing w:line="276" w:lineRule="auto" w:after="120"/>
      </w:pPr>
      <w:r>
        <w:rPr>
          <w:rFonts w:ascii="Arial" w:hAnsi="Arial"/>
          <w:color w:val="44403C"/>
          <w:sz w:val="20"/>
        </w:rPr>
        <w:t>The scope of this research encompasses the end-to-end software engineering lifecycle of the SolarScan AI Decision Support System:</w:t>
      </w:r>
    </w:p>
    <w:p>
      <w:pPr>
        <w:pStyle w:val="ListBullet"/>
        <w:spacing w:line="276" w:lineRule="auto" w:after="60"/>
      </w:pPr>
      <w:r>
        <w:rPr>
          <w:rFonts w:ascii="Arial" w:hAnsi="Arial"/>
          <w:color w:val="44403C"/>
          <w:sz w:val="20"/>
        </w:rPr>
        <w:t>**Edge Model Engineering:** Training and INT8 quantization of a YOLOv8 convolutional neural network across 9 defect classes: thermal hotspot, micro-crack, soiling/dust, bypass diode failure, delamination, cell discoloration, snail trail, potential induced degradation (PID), and snow cover.</w:t>
      </w:r>
    </w:p>
    <w:p>
      <w:pPr>
        <w:pStyle w:val="ListBullet"/>
        <w:spacing w:line="276" w:lineRule="auto" w:after="60"/>
      </w:pPr>
      <w:r>
        <w:rPr>
          <w:rFonts w:ascii="Arial" w:hAnsi="Arial"/>
          <w:color w:val="44403C"/>
          <w:sz w:val="20"/>
        </w:rPr>
        <w:t>**Data Modalities:** Ingestion and processing of high-resolution visual RGB imagery, drone-based aerial thermal infrared (IR) false-color radiometry, and near-infrared electroluminescence (EL) crack scans.</w:t>
      </w:r>
    </w:p>
    <w:p>
      <w:pPr>
        <w:pStyle w:val="ListBullet"/>
        <w:spacing w:line="276" w:lineRule="auto" w:after="60"/>
      </w:pPr>
      <w:r>
        <w:rPr>
          <w:rFonts w:ascii="Arial" w:hAnsi="Arial"/>
          <w:color w:val="44403C"/>
          <w:sz w:val="20"/>
        </w:rPr>
        <w:t>**Decision Engine &amp; Thermodynamics:** Algorithmic calculation of Nominal Operating Cell Temperature (NOCT) thermal gradients and dynamic wattage drops under variable irradiance (200–1200 W/m²).</w:t>
      </w:r>
    </w:p>
    <w:p>
      <w:pPr>
        <w:pStyle w:val="ListBullet"/>
        <w:spacing w:line="276" w:lineRule="auto" w:after="60"/>
      </w:pPr>
      <w:r>
        <w:rPr>
          <w:rFonts w:ascii="Arial" w:hAnsi="Arial"/>
          <w:color w:val="44403C"/>
          <w:sz w:val="20"/>
        </w:rPr>
        <w:t>**ITSM &amp; Interoperability:** Client-side generation of ITIL v4 incident work orders, REST API endpoint architecture, and JSON data exports for enterprise CMMS platforms.</w:t>
      </w:r>
    </w:p>
    <w:p>
      <w:pPr>
        <w:pStyle w:val="ListBullet"/>
        <w:spacing w:line="276" w:lineRule="auto" w:after="60"/>
      </w:pPr>
      <w:r>
        <w:rPr>
          <w:rFonts w:ascii="Arial" w:hAnsi="Arial"/>
          <w:color w:val="44403C"/>
          <w:sz w:val="20"/>
        </w:rPr>
        <w:t>**Target Deployment Platform:** Responsive Progressive Web Application (PWA) running natively across mobile browsers (Android and iOS) and desktop workstations, with offline service-worker caching and local storage persistence.</w:t>
      </w:r>
    </w:p>
    <w:p>
      <w:pPr>
        <w:keepNext/>
        <w:spacing w:before="280" w:after="80"/>
      </w:pPr>
      <w:r>
        <w:rPr>
          <w:rFonts w:ascii="Arial" w:hAnsi="Arial"/>
          <w:b/>
          <w:color w:val="D97706"/>
          <w:sz w:val="24"/>
        </w:rPr>
        <w:t>1.7 Organization of the Thesis</w:t>
      </w:r>
    </w:p>
    <w:p>
      <w:pPr>
        <w:spacing w:line="276" w:lineRule="auto" w:after="120"/>
      </w:pPr>
      <w:r>
        <w:rPr>
          <w:rFonts w:ascii="Arial" w:hAnsi="Arial"/>
          <w:color w:val="44403C"/>
          <w:sz w:val="20"/>
        </w:rPr>
        <w:t>This thesis is structured into five cohesive chapters:</w:t>
      </w:r>
    </w:p>
    <w:p>
      <w:pPr>
        <w:pStyle w:val="ListBullet"/>
        <w:spacing w:line="276" w:lineRule="auto" w:after="60"/>
      </w:pPr>
      <w:r>
        <w:rPr>
          <w:rFonts w:ascii="Arial" w:hAnsi="Arial"/>
          <w:color w:val="44403C"/>
          <w:sz w:val="20"/>
        </w:rPr>
        <w:t>**Chapter 1: Introduction** establishes the research background in distributed edge computing and decision support systems, delineates the problem statement, outlines the research questions and objectives, and states the significance and scope.</w:t>
      </w:r>
    </w:p>
    <w:p>
      <w:pPr>
        <w:pStyle w:val="ListBullet"/>
        <w:spacing w:line="276" w:lineRule="auto" w:after="60"/>
      </w:pPr>
      <w:r>
        <w:rPr>
          <w:rFonts w:ascii="Arial" w:hAnsi="Arial"/>
          <w:color w:val="44403C"/>
          <w:sz w:val="20"/>
        </w:rPr>
        <w:t>**Chapter 2: Literature Review** critically examines edge computing architectures, model quantization techniques, Decision Support Systems (DSS), multi-criteria decision analysis in asset maintenance, computer vision object detection paradigms, and ITIL-based IT Service Management.</w:t>
      </w:r>
    </w:p>
    <w:p>
      <w:pPr>
        <w:pStyle w:val="ListBullet"/>
        <w:spacing w:line="276" w:lineRule="auto" w:after="60"/>
      </w:pPr>
      <w:r>
        <w:rPr>
          <w:rFonts w:ascii="Arial" w:hAnsi="Arial"/>
          <w:color w:val="44403C"/>
          <w:sz w:val="20"/>
        </w:rPr>
        <w:t>**Chapter 3: System Design &amp; Methodology** presents the global distributed architecture, the double-layer validation gatekeeper algorithm, the YOLOv8 quantization pipeline, the decision sciences SLA matrix, the cryptographic SHA-256 audit engine, and the enterprise REST API specifications.</w:t>
      </w:r>
    </w:p>
    <w:p>
      <w:pPr>
        <w:pStyle w:val="ListBullet"/>
        <w:spacing w:line="276" w:lineRule="auto" w:after="60"/>
      </w:pPr>
      <w:r>
        <w:rPr>
          <w:rFonts w:ascii="Arial" w:hAnsi="Arial"/>
          <w:color w:val="44403C"/>
          <w:sz w:val="20"/>
        </w:rPr>
        <w:t>**Chapter 4: Implementation and Results** documents the developmental environment, evaluates model training telemetry and edge latency benchmarks, analyzes gatekeeper validation efficacy, presents thermodynamics calibration data, and analyzes System Usability Scale (SUS) survey results.</w:t>
      </w:r>
    </w:p>
    <w:p>
      <w:pPr>
        <w:pStyle w:val="ListBullet"/>
        <w:spacing w:line="276" w:lineRule="auto" w:after="60"/>
      </w:pPr>
      <w:r>
        <w:rPr>
          <w:rFonts w:ascii="Arial" w:hAnsi="Arial"/>
          <w:color w:val="44403C"/>
          <w:sz w:val="20"/>
        </w:rPr>
        <w:t>**Chapter 5: Conclusion and Recommendations** summarizes the technical and managerial contributions, discusses system limitations, and proposes strategic recommendations for clean energy IT policy in Ghana.</w:t>
      </w:r>
    </w:p>
    <w:p>
      <w:pPr>
        <w:keepNext/>
        <w:spacing w:before="280" w:after="80"/>
      </w:pPr>
      <w:r>
        <w:rPr>
          <w:rFonts w:ascii="Arial" w:hAnsi="Arial"/>
          <w:b/>
          <w:color w:val="D97706"/>
          <w:sz w:val="24"/>
        </w:rPr>
        <w:t>CHAPTER 2: LITERATURE REVIEW</w:t>
      </w:r>
    </w:p>
    <w:p>
      <w:pPr>
        <w:keepNext/>
        <w:spacing w:before="280" w:after="80"/>
      </w:pPr>
      <w:r>
        <w:rPr>
          <w:rFonts w:ascii="Arial" w:hAnsi="Arial"/>
          <w:b/>
          <w:color w:val="D97706"/>
          <w:sz w:val="24"/>
        </w:rPr>
        <w:t>2.1 Edge Computing and Distributed Telemetry Architectures in Field Asset Management</w:t>
      </w:r>
    </w:p>
    <w:p>
      <w:pPr>
        <w:spacing w:line="276" w:lineRule="auto" w:after="120"/>
      </w:pPr>
      <w:r>
        <w:rPr>
          <w:rFonts w:ascii="Arial" w:hAnsi="Arial"/>
          <w:color w:val="44403C"/>
          <w:sz w:val="20"/>
        </w:rPr>
        <w:t>Distributed computing architectures for enterprise asset management have undergone a paradigm shift over the past decade, driven by the exponential growth of Internet of Things (IoT) sensors, spatial telemetry, and edge artificial intelligence. Historically, industrial telemetry pipelines followed a centralized client-server model: edge collection nodes (such as field sensors, automated drones, and mobile terminals) captured raw telemetry data and streamed payloads across wide-area networks (WAN) to centralized cloud data centers for batch storage and computational processing. While this cloud-centric paradigm leverages scalable compute clusters, it introduces critical points of failure when applied to mission-critical infrastructure in developing regions. Specifically, round-trip time (RTT) network latency, packet loss across congested telecommunications backhauls, high cellular data egress costs, and complete network outages in remote geographical sectors severely impair operational responsiveness.</w:t>
      </w:r>
    </w:p>
    <w:p>
      <w:pPr>
        <w:spacing w:line="276" w:lineRule="auto" w:after="120"/>
      </w:pPr>
      <w:r>
        <w:rPr>
          <w:rFonts w:ascii="Arial" w:hAnsi="Arial"/>
          <w:color w:val="44403C"/>
          <w:sz w:val="20"/>
        </w:rPr>
        <w:t>In sub-Saharan Africa, and within Ghana specifically, utility-scale photovoltaic solar farms and off-grid mini-grids are predominantly sited in remote rural locations characterized by severe telecommunications constraints. Transmitting multi-megabyte visual and radiometric infrared inspection imagery to cloud APIs (such as Google Cloud Vision or Amazon Rekognition) requires substantial upstream bandwidth that is either non-existent or financially unsustainable for local utilities. When network connectivity fails, cloud-centric inspection pipelines stall entirely, leaving field engineers unable to detect acute, time-sensitive faults.</w:t>
      </w:r>
    </w:p>
    <w:p>
      <w:pPr>
        <w:spacing w:line="276" w:lineRule="auto" w:after="120"/>
      </w:pPr>
      <w:r>
        <w:rPr>
          <w:rFonts w:ascii="Arial" w:hAnsi="Arial"/>
          <w:color w:val="44403C"/>
          <w:sz w:val="20"/>
        </w:rPr>
        <w:t>To resolve these network bottlenecks, **Edge Computing** shifts neural computation and analytical processing directly to the physical periphery of the network—executing on-device inference on local client smartphones, ruggedized tablets, or edge field gateways. By processing spatial telemetry locally at the point of capture, edge architectures achieve three decisive advantages:</w:t>
      </w:r>
    </w:p>
    <w:p>
      <w:pPr>
        <w:spacing w:line="276" w:lineRule="auto" w:after="120"/>
      </w:pPr>
      <w:r>
        <w:rPr>
          <w:rFonts w:ascii="Arial" w:hAnsi="Arial"/>
          <w:color w:val="44403C"/>
          <w:sz w:val="20"/>
        </w:rPr>
        <w:t>1. **Deterministic Sub-Second Latency:** In-situ inference executes in under 200 ms, providing immediate diagnostic feedback to field technicians without network round-trip overhead.</w:t>
      </w:r>
    </w:p>
    <w:p>
      <w:pPr>
        <w:spacing w:line="276" w:lineRule="auto" w:after="120"/>
      </w:pPr>
      <w:r>
        <w:rPr>
          <w:rFonts w:ascii="Arial" w:hAnsi="Arial"/>
          <w:color w:val="44403C"/>
          <w:sz w:val="20"/>
        </w:rPr>
        <w:t>2. **Zero WAN Bandwidth Dependency (Offline-First Resilience):** Inspections proceed autonomously in cellular dead-zones, with 100% data availability and zero carrier data subscription costs.</w:t>
      </w:r>
    </w:p>
    <w:p>
      <w:pPr>
        <w:spacing w:line="276" w:lineRule="auto" w:after="120"/>
      </w:pPr>
      <w:r>
        <w:rPr>
          <w:rFonts w:ascii="Arial" w:hAnsi="Arial"/>
          <w:color w:val="44403C"/>
          <w:sz w:val="20"/>
        </w:rPr>
        <w:t>3. **Enhanced Privacy and Data Sovereignty:** Raw telemetry remains secure on the edge device until cryptographically audited and synchronized via controlled local interfaces.</w:t>
      </w:r>
    </w:p>
    <w:p>
      <w:pPr>
        <w:spacing w:line="276" w:lineRule="auto" w:after="120"/>
      </w:pPr>
      <w:r>
        <w:rPr>
          <w:rFonts w:ascii="Arial" w:hAnsi="Arial"/>
          <w:color w:val="44403C"/>
          <w:sz w:val="20"/>
        </w:rPr>
        <w:t>Within the context of photovoltaic asset management, physical module defects—such as micro-cracks, thermal hotspots, junction bypass shorts, and surface soiling—are conceptualized not merely as physical damage, but as **unstructured spatial telemetry states**. The core Information Technology challenge is to ingest these multi-spectral visual and radiometric signals at the edge, execute compressed neural feature extraction, and transform the resulting coordinate data into actionable operational entities within the enterprise digital ecosystem.</w:t>
      </w:r>
    </w:p>
    <w:p>
      <w:pPr>
        <w:keepNext/>
        <w:spacing w:before="280" w:after="80"/>
      </w:pPr>
      <w:r>
        <w:rPr>
          <w:rFonts w:ascii="Arial" w:hAnsi="Arial"/>
          <w:b/>
          <w:color w:val="D97706"/>
          <w:sz w:val="24"/>
        </w:rPr>
        <w:t>2.2 Decision Support Systems (DSS) and Multi-Criteria Decision Analysis in Maintenance</w:t>
      </w:r>
    </w:p>
    <w:p>
      <w:pPr>
        <w:spacing w:line="276" w:lineRule="auto" w:after="120"/>
      </w:pPr>
      <w:r>
        <w:rPr>
          <w:rFonts w:ascii="Arial" w:hAnsi="Arial"/>
          <w:color w:val="44403C"/>
          <w:sz w:val="20"/>
        </w:rPr>
        <w:t>In modern enterprise operations research, a Decision Support System (DSS) is an interactive, computer-based information system designed to assist operational managers and technical decision-makers in utilizing data, mathematical models, and structured algorithms to solve complex, semi-structured organizational problems (Turban et al., 2018). While traditional Management Information Systems (MIS) focus on passive retrospective reporting (e.g., logging that a panel is broken), an advanced DSS provides **predictive and prescriptive intelligence**—evaluating alternative maintenance strategies, quantifying risk, and prescribing optimal intervention schedules based on explicit decision criteria.</w:t>
      </w:r>
    </w:p>
    <w:p>
      <w:pPr>
        <w:spacing w:line="276" w:lineRule="auto" w:after="120"/>
      </w:pPr>
      <w:r>
        <w:rPr>
          <w:rFonts w:ascii="Arial" w:hAnsi="Arial"/>
          <w:color w:val="44403C"/>
          <w:sz w:val="20"/>
        </w:rPr>
        <w:t>In large-scale solar asset management, maintenance scheduling represents a classic multi-criteria optimization problem. When an inspection reveals dozens or hundreds of deteriorating modules across a facility, field crews operate under strict resource constraints (limited technician hours, finite replacement components, and tight maintenance budgets). A system that simply outputs bounding box coordinates fails to provide operational guidance. Operations managers require an algorithmic framework to answer three critical operational questions:</w:t>
      </w:r>
    </w:p>
    <w:p>
      <w:pPr>
        <w:spacing w:line="276" w:lineRule="auto" w:after="120"/>
      </w:pPr>
      <w:r>
        <w:rPr>
          <w:rFonts w:ascii="Arial" w:hAnsi="Arial"/>
          <w:color w:val="44403C"/>
          <w:sz w:val="20"/>
        </w:rPr>
        <w:t>1. *What is the quantifiable economic impact of the defect in terms of dynamic wattage loss and revenue degradation?*</w:t>
      </w:r>
    </w:p>
    <w:p>
      <w:pPr>
        <w:spacing w:line="276" w:lineRule="auto" w:after="120"/>
      </w:pPr>
      <w:r>
        <w:rPr>
          <w:rFonts w:ascii="Arial" w:hAnsi="Arial"/>
          <w:color w:val="44403C"/>
          <w:sz w:val="20"/>
        </w:rPr>
        <w:t>2. *What is the acute hazard level (e.g., catastrophic thermal runaway or fire risk versus benign cosmetic degradation)?*</w:t>
      </w:r>
    </w:p>
    <w:p>
      <w:pPr>
        <w:spacing w:line="276" w:lineRule="auto" w:after="120"/>
      </w:pPr>
      <w:r>
        <w:rPr>
          <w:rFonts w:ascii="Arial" w:hAnsi="Arial"/>
          <w:color w:val="44403C"/>
          <w:sz w:val="20"/>
        </w:rPr>
        <w:t>3. *What Service Level Agreement (SLA) urgency window must be assigned to ensure regulatory compliance and cost-effective dispatch routing?*</w:t>
      </w:r>
    </w:p>
    <w:p>
      <w:pPr>
        <w:spacing w:line="276" w:lineRule="auto" w:after="120"/>
      </w:pPr>
      <w:r>
        <w:rPr>
          <w:rFonts w:ascii="Arial" w:hAnsi="Arial"/>
          <w:color w:val="44403C"/>
          <w:sz w:val="20"/>
        </w:rPr>
        <w:t>To resolve this multi-criteria challenge, the proposed system integrates **Multi-Criteria Decision Analysis (MCDA)** utilizing the principles of the **Analytic Hierarchy Process (AHP)** (Saaty, 1980). AHP enables the mathematical synthesis of disparate, conflicting evaluation criteria into a standardized Composite Severity Index (CSI). In renewable asset governance, three primary criteria are evaluated:</w:t>
      </w:r>
    </w:p>
    <w:p>
      <w:pPr>
        <w:pStyle w:val="ListBullet"/>
        <w:spacing w:line="276" w:lineRule="auto" w:after="60"/>
      </w:pPr>
      <w:r>
        <w:rPr>
          <w:rFonts w:ascii="Arial" w:hAnsi="Arial"/>
          <w:color w:val="44403C"/>
          <w:sz w:val="20"/>
        </w:rPr>
        <w:t>**Criterion 1: Power Yield Degradation Risk ($C_1$, weight $w_1 = 0.45$):** Evaluates the direct drop in kilowatt-hour energy yield resulting from cell occlusion, micro-cracks, or string disconnects.</w:t>
      </w:r>
    </w:p>
    <w:p>
      <w:pPr>
        <w:pStyle w:val="ListBullet"/>
        <w:spacing w:line="276" w:lineRule="auto" w:after="60"/>
      </w:pPr>
      <w:r>
        <w:rPr>
          <w:rFonts w:ascii="Arial" w:hAnsi="Arial"/>
          <w:color w:val="44403C"/>
          <w:sz w:val="20"/>
        </w:rPr>
        <w:t>**Criterion 2: Thermal Hazard &amp; Catastrophic Risk ($C_2$, weight $w_2 = 0.35$):** Evaluates the probability of localized reverse-bias overheating causing backsheet melting, glass rupture, or string fire hazard (prominent in hotspots and diode shorts).</w:t>
      </w:r>
    </w:p>
    <w:p>
      <w:pPr>
        <w:pStyle w:val="ListBullet"/>
        <w:spacing w:line="276" w:lineRule="auto" w:after="60"/>
      </w:pPr>
      <w:r>
        <w:rPr>
          <w:rFonts w:ascii="Arial" w:hAnsi="Arial"/>
          <w:color w:val="44403C"/>
          <w:sz w:val="20"/>
        </w:rPr>
        <w:t>**Criterion 3: Environmental Aging &amp; Expansion Factor ($C_3$, weight $w_3 = 0.20$):** Evaluates the likelihood of the defect accelerating under ambient weather conditions (e.g., moisture ingress along snail trails or PID progression).</w:t>
      </w:r>
    </w:p>
    <w:p>
      <w:pPr>
        <w:spacing w:line="276" w:lineRule="auto" w:after="120"/>
      </w:pPr>
      <w:r>
        <w:rPr>
          <w:rFonts w:ascii="Arial" w:hAnsi="Arial"/>
          <w:color w:val="44403C"/>
          <w:sz w:val="20"/>
        </w:rPr>
        <w:t>The Composite Severity Index ($\text{CSI}_i$) for each inspected module $i$ is calculated as:</w:t>
      </w:r>
    </w:p>
    <w:p>
      <w:pPr>
        <w:spacing w:line="276" w:lineRule="auto" w:after="120"/>
      </w:pPr>
      <w:r>
        <w:rPr>
          <w:rFonts w:ascii="Arial" w:hAnsi="Arial"/>
          <w:color w:val="44403C"/>
          <w:sz w:val="20"/>
        </w:rPr>
        <w:t>$$\text{CSI}_i = \sum_{j=1}^{3} w_j \cdot s_{ij}$$</w:t>
      </w:r>
    </w:p>
    <w:p>
      <w:pPr>
        <w:spacing w:line="276" w:lineRule="auto" w:after="120"/>
      </w:pPr>
      <w:r>
        <w:rPr>
          <w:rFonts w:ascii="Arial" w:hAnsi="Arial"/>
          <w:color w:val="44403C"/>
          <w:sz w:val="20"/>
        </w:rPr>
        <w:t>Where $s_{ij}$ represents the normalized severity score of defect $i$ under criterion $j$. The resulting index maps directly into standardized **IT Service Management (ITSM) SLA Priority Queues**:</w:t>
      </w:r>
    </w:p>
    <w:p>
      <w:pPr>
        <w:pStyle w:val="ListBullet"/>
        <w:spacing w:line="276" w:lineRule="auto" w:after="60"/>
      </w:pPr>
      <w:r>
        <w:rPr>
          <w:rFonts w:ascii="Arial" w:hAnsi="Arial"/>
          <w:color w:val="44403C"/>
          <w:sz w:val="20"/>
        </w:rPr>
        <w:t>**P1 - CRITICAL ($\text{CSI} \ge 0.80$, SLA: $\le 72$ Hours):** Emergency dispatch; immediate string isolation to prevent fire or irreversible wafer burnout.</w:t>
      </w:r>
    </w:p>
    <w:p>
      <w:pPr>
        <w:pStyle w:val="ListBullet"/>
        <w:spacing w:line="276" w:lineRule="auto" w:after="60"/>
      </w:pPr>
      <w:r>
        <w:rPr>
          <w:rFonts w:ascii="Arial" w:hAnsi="Arial"/>
          <w:color w:val="44403C"/>
          <w:sz w:val="20"/>
        </w:rPr>
        <w:t>**P2 - HIGH ($0.60 \le \text{CSI} &lt; 0.80$, SLA: $\le 7$ Days):** Priority route; repairs scheduled within weekly maintenance cycles to prevent active silicon propagation.</w:t>
      </w:r>
    </w:p>
    <w:p>
      <w:pPr>
        <w:pStyle w:val="ListBullet"/>
        <w:spacing w:line="276" w:lineRule="auto" w:after="60"/>
      </w:pPr>
      <w:r>
        <w:rPr>
          <w:rFonts w:ascii="Arial" w:hAnsi="Arial"/>
          <w:color w:val="44403C"/>
          <w:sz w:val="20"/>
        </w:rPr>
        <w:t>**P3 - MEDIUM ($0.35 \le \text{CSI} &lt; 0.60$, SLA: $\le 14$ Days):** Standard work order; cleaning or surface sealing during routine operational sweeps.</w:t>
      </w:r>
    </w:p>
    <w:p>
      <w:pPr>
        <w:pStyle w:val="ListBullet"/>
        <w:spacing w:line="276" w:lineRule="auto" w:after="60"/>
      </w:pPr>
      <w:r>
        <w:rPr>
          <w:rFonts w:ascii="Arial" w:hAnsi="Arial"/>
          <w:color w:val="44403C"/>
          <w:sz w:val="20"/>
        </w:rPr>
        <w:t>**P4 - LOW ($\text{CSI} &lt; 0.35$, SLA: $\le 30$ Days):** Condition monitoring; logged for long-term trending with no immediate physical intervention required.</w:t>
      </w:r>
    </w:p>
    <w:p>
      <w:pPr>
        <w:spacing w:line="276" w:lineRule="auto" w:after="120"/>
      </w:pPr>
      <w:r>
        <w:rPr>
          <w:rFonts w:ascii="Arial" w:hAnsi="Arial"/>
          <w:color w:val="44403C"/>
          <w:sz w:val="20"/>
        </w:rPr>
        <w:t>By formalizing this decision pipeline, the system transforms subjective field technician intuition into an automated, mathematically rigorous Decision Support System that maximizes return on capital investment for clean energy facilities.</w:t>
      </w:r>
    </w:p>
    <w:p>
      <w:pPr>
        <w:keepNext/>
        <w:spacing w:before="280" w:after="80"/>
      </w:pPr>
      <w:r>
        <w:rPr>
          <w:rFonts w:ascii="Arial" w:hAnsi="Arial"/>
          <w:b/>
          <w:color w:val="D97706"/>
          <w:sz w:val="24"/>
        </w:rPr>
        <w:t>2.3 Computer Vision &amp; Deep Learning for Unstructured Visual Telemetry</w:t>
      </w:r>
    </w:p>
    <w:p>
      <w:pPr>
        <w:spacing w:line="276" w:lineRule="auto" w:after="120"/>
      </w:pPr>
      <w:r>
        <w:rPr>
          <w:rFonts w:ascii="Arial" w:hAnsi="Arial"/>
          <w:color w:val="44403C"/>
          <w:sz w:val="20"/>
        </w:rPr>
        <w:t>Deep learning convolutional neural networks (CNNs) have fundamentally revolutionized computer vision by automating feature extraction and spatial classification directly from raw, unstructured visual telemetry. In industrial asset inspection, traditional image processing methodologies relied heavily on handcrafted feature extractors (e.g., Sobel filters, Canny edge detectors, Scale-Invariant Feature Transform [SIFT], and Histogram of Oriented Gradients [HOG]). However, these deterministic heuristic approaches fail under real-world outdoor conditions characterized by dynamic solar illumination angles, diurnal irradiance shifts, surface glare, and partial cloud shading. Deep neural networks overcome these limitations by learning hierarchical, non-linear feature representations—ranging from low-level edge and texture primitives in early convolutional layers to high-level semantic abstractions in deeper residual blocks.</w:t>
      </w:r>
    </w:p>
    <w:p>
      <w:pPr>
        <w:spacing w:line="276" w:lineRule="auto" w:after="120"/>
      </w:pPr>
      <w:r>
        <w:rPr>
          <w:rFonts w:ascii="Arial" w:hAnsi="Arial"/>
          <w:color w:val="44403C"/>
          <w:sz w:val="20"/>
        </w:rPr>
        <w:t>In modern computer vision architectures, object detection pipelines are bifurcated into two primary paradigms:</w:t>
      </w:r>
    </w:p>
    <w:p>
      <w:pPr>
        <w:spacing w:line="276" w:lineRule="auto" w:after="120"/>
      </w:pPr>
      <w:r>
        <w:rPr>
          <w:rFonts w:ascii="Arial" w:hAnsi="Arial"/>
          <w:color w:val="44403C"/>
          <w:sz w:val="20"/>
        </w:rPr>
        <w:t>1. **Two-Stage Detectors (e.g., Faster R-CNN, Mask R-CNN):** These networks utilize a Region Proposal Network (RPN) to isolate candidate bounding regions of interest, followed by separate classification and regression heads. While two-stage detectors achieve high localization accuracy, their computational complexity and high floating-point operations per second (FLOPs) induce severe inference latencies (&gt;1,200 ms) and prohibitive memory footprints, rendering them unsuitable for low-power edge mobile processors.</w:t>
      </w:r>
    </w:p>
    <w:p>
      <w:pPr>
        <w:spacing w:line="276" w:lineRule="auto" w:after="120"/>
      </w:pPr>
      <w:r>
        <w:rPr>
          <w:rFonts w:ascii="Arial" w:hAnsi="Arial"/>
          <w:color w:val="44403C"/>
          <w:sz w:val="20"/>
        </w:rPr>
        <w:t>2. **Single-Stage Detectors (e.g., SSD, YOLO Architecture Family):** Single-stage detectors reframe object localization and semantic classification as an unified, end-to-end regression problem. By predicting bounding box coordinates and class probability vectors across multi-scale feature maps in a single forward evaluation pass, single-stage detectors achieve high computational throughput and deterministic sub-second latencies suitable for real-time mobile deployment.</w:t>
      </w:r>
    </w:p>
    <w:p>
      <w:pPr>
        <w:spacing w:line="276" w:lineRule="auto" w:after="120"/>
      </w:pPr>
      <w:r>
        <w:rPr>
          <w:rFonts w:ascii="Arial" w:hAnsi="Arial"/>
          <w:color w:val="44403C"/>
          <w:sz w:val="20"/>
        </w:rPr>
        <w:t>The continuous evolution of the You Only Look Once (YOLO) framework reflects an ongoing optimization of the accuracy-latency Pareto frontier. The release of YOLOv8 by Ultralytics introduces significant architectural innovations over previous iterations:</w:t>
      </w:r>
    </w:p>
    <w:p>
      <w:pPr>
        <w:pStyle w:val="ListBullet"/>
        <w:spacing w:line="276" w:lineRule="auto" w:after="60"/>
      </w:pPr>
      <w:r>
        <w:rPr>
          <w:rFonts w:ascii="Arial" w:hAnsi="Arial"/>
          <w:color w:val="44403C"/>
          <w:sz w:val="20"/>
        </w:rPr>
        <w:t>**Anchor-Free Detection Head:** Traditional anchor-based architectures (YOLOv3–YOLOv5) relied on predefined anchor box ratios, which introduced manual hyperparameter tuning and vulnerability to aspect ratio variance across defect geometries. YOLOv8 adopts an anchor-free split head that directly predicts the distance from the center point to bounding box edges, drastically accelerating Non-Maximum Suppression (NMS) and improving small-defect localization (such as micro-cracks and hotspots).</w:t>
      </w:r>
    </w:p>
    <w:p>
      <w:pPr>
        <w:pStyle w:val="ListBullet"/>
        <w:spacing w:line="276" w:lineRule="auto" w:after="60"/>
      </w:pPr>
      <w:r>
        <w:rPr>
          <w:rFonts w:ascii="Arial" w:hAnsi="Arial"/>
          <w:color w:val="44403C"/>
          <w:sz w:val="20"/>
        </w:rPr>
        <w:t>**Decoupled Head Architecture:** By mathematically separating the classification loss (computed using Binary Cross-Entropy) from the bounding box regression loss (computed using Complete Intersection over Union [CIoU] and Distribution Focal Loss [DFL]), YOLOv8 mitigates gradient competition between task objectives, accelerating convergence and elevating mean Average Precision (mAP).</w:t>
      </w:r>
    </w:p>
    <w:p>
      <w:pPr>
        <w:pStyle w:val="ListBullet"/>
        <w:spacing w:line="276" w:lineRule="auto" w:after="60"/>
      </w:pPr>
      <w:r>
        <w:rPr>
          <w:rFonts w:ascii="Arial" w:hAnsi="Arial"/>
          <w:color w:val="44403C"/>
          <w:sz w:val="20"/>
        </w:rPr>
        <w:t>**CSPDarknet Backbone with C2f Modules:** The cross-stage partial backbone replaces legacy C3 blocks with C2f (Cross-Stage Partial Bottleneck with two convolutions) modules. C2f integrates multiple gradient flow branches, enriching gradient representations during backpropagation while reducing memory bandwidth contention.</w:t>
      </w:r>
    </w:p>
    <w:p>
      <w:pPr>
        <w:spacing w:line="276" w:lineRule="auto" w:after="120"/>
      </w:pPr>
      <w:r>
        <w:rPr>
          <w:rFonts w:ascii="Arial" w:hAnsi="Arial"/>
          <w:color w:val="44403C"/>
          <w:sz w:val="20"/>
        </w:rPr>
        <w:t>For the SolarScan AI platform, YOLOv8 represents the foundational neural telemetry engine, enabling high-precision classification across visual RGB, aerial thermal infrared (IR), and electroluminescence (EL) modalities.</w:t>
      </w:r>
    </w:p>
    <w:p>
      <w:pPr>
        <w:keepNext/>
        <w:spacing w:before="280" w:after="80"/>
      </w:pPr>
      <w:r>
        <w:rPr>
          <w:rFonts w:ascii="Arial" w:hAnsi="Arial"/>
          <w:b/>
          <w:color w:val="D97706"/>
          <w:sz w:val="24"/>
        </w:rPr>
        <w:t>2.4 Mobile Compression &amp; INT8 Quantization Paradigms</w:t>
      </w:r>
    </w:p>
    <w:p>
      <w:pPr>
        <w:spacing w:line="276" w:lineRule="auto" w:after="120"/>
      </w:pPr>
      <w:r>
        <w:rPr>
          <w:rFonts w:ascii="Arial" w:hAnsi="Arial"/>
          <w:color w:val="44403C"/>
          <w:sz w:val="20"/>
        </w:rPr>
        <w:t>Deploying state-of-the-art deep learning architectures to resource-constrained edge devices (such as Android and iOS mobile smartphones) introduces severe computational challenges. Standard deep learning frameworks (PyTorch, TensorFlow) store weights and intermediate activation tensors in 32-bit single-precision floating-point format (FP32). A standard FP32 model requires extensive graphics memory (VRAM), incurs substantial memory bus bandwidth overhead, and dissipates significant electrical power during arithmetic operations. On mobile central processing units (CPUs) lacking dedicated desktop GPUs, running FP32 models results in severe thermal throttling, battery drain, and unacceptably high latency (&gt;800 ms).</w:t>
      </w:r>
    </w:p>
    <w:p>
      <w:pPr>
        <w:spacing w:line="276" w:lineRule="auto" w:after="120"/>
      </w:pPr>
      <w:r>
        <w:rPr>
          <w:rFonts w:ascii="Arial" w:hAnsi="Arial"/>
          <w:color w:val="44403C"/>
          <w:sz w:val="20"/>
        </w:rPr>
        <w:t>To enable deterministic edge execution, model compression via **Post-Training Quantization (PTQ)** is employed. Post-training integer quantization maps continuous FP32 tensor distributions into discrete 8-bit signed integer representations (INT8), compressing model parameter footprints by approximately 75% while unlocking SIMD (Single Instruction, Multiple Data) vectorization and hardware-accelerated integer matrix multiplication on mobile CPUs and Neural Processing Units (NPUs).</w:t>
      </w:r>
    </w:p>
    <w:p>
      <w:pPr>
        <w:spacing w:line="276" w:lineRule="auto" w:after="120"/>
      </w:pPr>
      <w:r>
        <w:rPr>
          <w:rFonts w:ascii="Arial" w:hAnsi="Arial"/>
          <w:color w:val="44403C"/>
          <w:sz w:val="20"/>
        </w:rPr>
        <w:t>The affine mapping between real floating-point values ($r$) and quantized 8-bit integers ($q$) is formulated as:</w:t>
      </w:r>
    </w:p>
    <w:p>
      <w:pPr>
        <w:spacing w:line="276" w:lineRule="auto" w:after="120"/>
      </w:pPr>
      <w:r>
        <w:rPr>
          <w:rFonts w:ascii="Arial" w:hAnsi="Arial"/>
          <w:color w:val="44403C"/>
          <w:sz w:val="20"/>
        </w:rPr>
        <w:t>$$q = \text{clamp}\left( \left\lfloor \frac{r}{S} \right\rceil + Z, -128, 127 \right)$$</w:t>
      </w:r>
    </w:p>
    <w:p>
      <w:pPr>
        <w:spacing w:line="276" w:lineRule="auto" w:after="120"/>
      </w:pPr>
      <w:r>
        <w:rPr>
          <w:rFonts w:ascii="Arial" w:hAnsi="Arial"/>
          <w:color w:val="44403C"/>
          <w:sz w:val="20"/>
        </w:rPr>
        <w:t>Where:</w:t>
      </w:r>
    </w:p>
    <w:p>
      <w:pPr>
        <w:pStyle w:val="ListBullet"/>
        <w:spacing w:line="276" w:lineRule="auto" w:after="60"/>
      </w:pPr>
      <w:r>
        <w:rPr>
          <w:rFonts w:ascii="Arial" w:hAnsi="Arial"/>
          <w:color w:val="44403C"/>
          <w:sz w:val="20"/>
        </w:rPr>
        <w:t>$S$ is the positive floating-point scale factor, determining the step size between discrete integer steps:</w:t>
      </w:r>
    </w:p>
    <w:p>
      <w:pPr>
        <w:spacing w:line="276" w:lineRule="auto" w:after="120"/>
      </w:pPr>
      <w:r>
        <w:rPr>
          <w:rFonts w:ascii="Arial" w:hAnsi="Arial"/>
          <w:color w:val="44403C"/>
          <w:sz w:val="20"/>
        </w:rPr>
        <w:t>$$S = \frac{r_{\max} - r_{\min}}{q_{\max} - q_{\min}} = \frac{r_{\max} - r_{\min}}{255}$$</w:t>
      </w:r>
    </w:p>
    <w:p>
      <w:pPr>
        <w:pStyle w:val="ListBullet"/>
        <w:spacing w:line="276" w:lineRule="auto" w:after="60"/>
      </w:pPr>
      <w:r>
        <w:rPr>
          <w:rFonts w:ascii="Arial" w:hAnsi="Arial"/>
          <w:color w:val="44403C"/>
          <w:sz w:val="20"/>
        </w:rPr>
        <w:t>$Z$ is the integer zero-point offset, ensuring that real-value zero maps exactly to a representable integer (critical for zero-padded convolutional layers):</w:t>
      </w:r>
    </w:p>
    <w:p>
      <w:pPr>
        <w:spacing w:line="276" w:lineRule="auto" w:after="120"/>
      </w:pPr>
      <w:r>
        <w:rPr>
          <w:rFonts w:ascii="Arial" w:hAnsi="Arial"/>
          <w:color w:val="44403C"/>
          <w:sz w:val="20"/>
        </w:rPr>
        <w:t>$$Z = \left\lfloor - \frac{r_{\min}}{S} \right\rceil + q_{\min}$$</w:t>
      </w:r>
    </w:p>
    <w:p>
      <w:pPr>
        <w:pStyle w:val="ListBullet"/>
        <w:spacing w:line="276" w:lineRule="auto" w:after="60"/>
      </w:pPr>
      <w:r>
        <w:rPr>
          <w:rFonts w:ascii="Arial" w:hAnsi="Arial"/>
          <w:color w:val="44403C"/>
          <w:sz w:val="20"/>
        </w:rPr>
        <w:t>$\lfloor \cdot \rceil$ denotes the nearest integer rounding operator, and $\text{clamp}(x, a, b)$ constrains output values to the dynamic range of 8-bit signed storage.</w:t>
      </w:r>
    </w:p>
    <w:p>
      <w:pPr>
        <w:spacing w:line="276" w:lineRule="auto" w:after="120"/>
      </w:pPr>
      <w:r>
        <w:rPr>
          <w:rFonts w:ascii="Arial" w:hAnsi="Arial"/>
          <w:color w:val="44403C"/>
          <w:sz w:val="20"/>
        </w:rPr>
        <w:t>During model deployment, the PyTorch FP32 graph (`best.pt`, 6.3 MB) is converted into the TensorFlow Lite (TFLite) flatbuffer format and calibrated across representative field images to calculate optimal activation scales. The resulting INT8 quantized binary occupies only 3.2 MB. This allows mobile processors to leverage INT8 matrix multiplication kernels, reducing memory access latency, lowering dynamic power consumption by over 60%, and slashing edge inference latency to under 180 ms on commodity mobile devices.</w:t>
      </w:r>
    </w:p>
    <w:p>
      <w:pPr>
        <w:keepNext/>
        <w:spacing w:before="280" w:after="80"/>
      </w:pPr>
      <w:r>
        <w:rPr>
          <w:rFonts w:ascii="Arial" w:hAnsi="Arial"/>
          <w:b/>
          <w:color w:val="D97706"/>
          <w:sz w:val="24"/>
        </w:rPr>
        <w:t>2.5 IT Service Management (ITSM) and Enterprise CMMS Integration (ITIL v4)</w:t>
      </w:r>
    </w:p>
    <w:p>
      <w:pPr>
        <w:spacing w:line="276" w:lineRule="auto" w:after="120"/>
      </w:pPr>
      <w:r>
        <w:rPr>
          <w:rFonts w:ascii="Arial" w:hAnsi="Arial"/>
          <w:color w:val="44403C"/>
          <w:sz w:val="20"/>
        </w:rPr>
        <w:t>In modern enterprise Information Technology operations, diagnostic tools cannot function in isolation. According to the ITIL v4 (Information Technology Infrastructure Library) service value system, operational efficiency depends on seamless integration between diagnostic incident capture and centralized service governance. In renewable energy utilities, field maintenance is governed by **Computerized Maintenance Management Systems (CMMS)** and Enterprise Resource Planning (ERP) platforms, including SAP Plant Maintenance (PM), ServiceNow IT Service Management, and Jira Service Desk.</w:t>
      </w:r>
    </w:p>
    <w:p>
      <w:pPr>
        <w:spacing w:line="276" w:lineRule="auto" w:after="120"/>
      </w:pPr>
      <w:r>
        <w:rPr>
          <w:rFonts w:ascii="Arial" w:hAnsi="Arial"/>
          <w:color w:val="44403C"/>
          <w:sz w:val="20"/>
        </w:rPr>
        <w:t>Historically, solar field inspections have operated across an "air-gapped" manual chasm: field technicians record defects on paper clipboards or unstandardized spreadsheets, which are manually transcribed into central IT databases days later. This introduces human transcription errors, delayed work-order dispatching, untracked SLA breaches, and uncoordinated spare parts logistics.</w:t>
      </w:r>
    </w:p>
    <w:p>
      <w:pPr>
        <w:spacing w:line="276" w:lineRule="auto" w:after="120"/>
      </w:pPr>
      <w:r>
        <w:rPr>
          <w:rFonts w:ascii="Arial" w:hAnsi="Arial"/>
          <w:color w:val="44403C"/>
          <w:sz w:val="20"/>
        </w:rPr>
        <w:t>To bridge this operational divide, the SolarScan AI architecture embeds an automated **ITSM Work-Order Generation Engine**. Upon algorithmic verification of a module defect by the Decision Support System, the platform automatically instantiates a standardized ITIL v4 incident work-order entity containing:</w:t>
      </w:r>
    </w:p>
    <w:p>
      <w:pPr>
        <w:spacing w:line="276" w:lineRule="auto" w:after="120"/>
      </w:pPr>
      <w:r>
        <w:rPr>
          <w:rFonts w:ascii="Arial" w:hAnsi="Arial"/>
          <w:color w:val="44403C"/>
          <w:sz w:val="20"/>
        </w:rPr>
        <w:t>1. **Deterministic Ticket UUID:** Globally unique incident identifiers (e.g., `WO-2026-ITDS-984210`).</w:t>
      </w:r>
    </w:p>
    <w:p>
      <w:pPr>
        <w:spacing w:line="276" w:lineRule="auto" w:after="120"/>
      </w:pPr>
      <w:r>
        <w:rPr>
          <w:rFonts w:ascii="Arial" w:hAnsi="Arial"/>
          <w:color w:val="44403C"/>
          <w:sz w:val="20"/>
        </w:rPr>
        <w:t>2. **Physical Asset Master Data:** String, combiner box, and module identifiers mapped to enterprise spatial asset registries (e.g., `PV-ARRAY-ZONE-04 / STR-02 / MOD-18`).</w:t>
      </w:r>
    </w:p>
    <w:p>
      <w:pPr>
        <w:spacing w:line="276" w:lineRule="auto" w:after="120"/>
      </w:pPr>
      <w:r>
        <w:rPr>
          <w:rFonts w:ascii="Arial" w:hAnsi="Arial"/>
          <w:color w:val="44403C"/>
          <w:sz w:val="20"/>
        </w:rPr>
        <w:t>3. **Calculated SLA Urgency Metrics:** Algorithmic prioritization with Mean Time to Repair (MTTR) countdowns.</w:t>
      </w:r>
    </w:p>
    <w:p>
      <w:pPr>
        <w:spacing w:line="276" w:lineRule="auto" w:after="120"/>
      </w:pPr>
      <w:r>
        <w:rPr>
          <w:rFonts w:ascii="Arial" w:hAnsi="Arial"/>
          <w:color w:val="44403C"/>
          <w:sz w:val="20"/>
        </w:rPr>
        <w:t>4. **Prescriptive Engineering Remediation:** Standardized technical task checklists (e.g., "Isolate string combiner, inspect bypass diode bypass box, replace cracked module").</w:t>
      </w:r>
    </w:p>
    <w:p>
      <w:pPr>
        <w:spacing w:line="276" w:lineRule="auto" w:after="120"/>
      </w:pPr>
      <w:r>
        <w:rPr>
          <w:rFonts w:ascii="Arial" w:hAnsi="Arial"/>
          <w:color w:val="44403C"/>
          <w:sz w:val="20"/>
        </w:rPr>
        <w:t>5. **Standardized RESTful Payload Serialization:** Native JSON export structures formatted for automated ingestion via enterprise CMMS webhooks and API gateways.</w:t>
      </w:r>
    </w:p>
    <w:p>
      <w:pPr>
        <w:spacing w:line="276" w:lineRule="auto" w:after="120"/>
      </w:pPr>
      <w:r>
        <w:rPr>
          <w:rFonts w:ascii="Arial" w:hAnsi="Arial"/>
          <w:color w:val="44403C"/>
          <w:sz w:val="20"/>
        </w:rPr>
        <w:t>By standardizing field defect capture into structured ITSM entities, utility enterprises achieve full operational observability, automate dispatch logistics, and minimize operational downtime.</w:t>
      </w:r>
    </w:p>
    <w:p>
      <w:pPr>
        <w:keepNext/>
        <w:spacing w:before="280" w:after="80"/>
      </w:pPr>
      <w:r>
        <w:rPr>
          <w:rFonts w:ascii="Arial" w:hAnsi="Arial"/>
          <w:b/>
          <w:color w:val="D97706"/>
          <w:sz w:val="24"/>
        </w:rPr>
        <w:t>2.6 Cryptographic Data Integrity and Non-Repudiation in Field Auditing</w:t>
      </w:r>
    </w:p>
    <w:p>
      <w:pPr>
        <w:spacing w:line="276" w:lineRule="auto" w:after="120"/>
      </w:pPr>
      <w:r>
        <w:rPr>
          <w:rFonts w:ascii="Arial" w:hAnsi="Arial"/>
          <w:color w:val="44403C"/>
          <w:sz w:val="20"/>
        </w:rPr>
        <w:t>A critical challenge in decentralized infrastructure governance is the vulnerability of field inspection telemetry to tampering, accidental corruption, or fraudulent falsification. Under conventional practices, field inspectors can submit unverified or recycled photographs, claim unperformed maintenance tasks, or misrepresent defect severity to trigger unwarranted warranty claims against module manufacturers or carbon-credit offset programs.</w:t>
      </w:r>
    </w:p>
    <w:p>
      <w:pPr>
        <w:spacing w:line="276" w:lineRule="auto" w:after="120"/>
      </w:pPr>
      <w:r>
        <w:rPr>
          <w:rFonts w:ascii="Arial" w:hAnsi="Arial"/>
          <w:color w:val="44403C"/>
          <w:sz w:val="20"/>
        </w:rPr>
        <w:t>To resolve this governance vulnerability, the proposed architecture introduces a client-side **Cryptographic Chain of Custody** governed by the **Secure Hash Algorithm 256-bit (SHA-256)** (NIST FIPS 180-4). SHA-256 is an iterated cryptographic hash function operating on 512-bit message blocks through a 64-round compression function based on Merkle-Damgård construction. It possesses critical cryptographic properties:</w:t>
      </w:r>
    </w:p>
    <w:p>
      <w:pPr>
        <w:spacing w:line="276" w:lineRule="auto" w:after="120"/>
      </w:pPr>
      <w:r>
        <w:rPr>
          <w:rFonts w:ascii="Arial" w:hAnsi="Arial"/>
          <w:color w:val="44403C"/>
          <w:sz w:val="20"/>
        </w:rPr>
        <w:t>1. **Pre-image Resistance:** Computationally infeasible to reverse-engineer the original image or telemetry payload from the resulting hash digest ($O(2^{256})$ search space).</w:t>
      </w:r>
    </w:p>
    <w:p>
      <w:pPr>
        <w:spacing w:line="276" w:lineRule="auto" w:after="120"/>
      </w:pPr>
      <w:r>
        <w:rPr>
          <w:rFonts w:ascii="Arial" w:hAnsi="Arial"/>
          <w:color w:val="44403C"/>
          <w:sz w:val="20"/>
        </w:rPr>
        <w:t>2. **Collision Resistance:** Statistically impossible for two disparate inspection datasets to yield an identical 256-bit hash digest.</w:t>
      </w:r>
    </w:p>
    <w:p>
      <w:pPr>
        <w:spacing w:line="276" w:lineRule="auto" w:after="120"/>
      </w:pPr>
      <w:r>
        <w:rPr>
          <w:rFonts w:ascii="Arial" w:hAnsi="Arial"/>
          <w:color w:val="44403C"/>
          <w:sz w:val="20"/>
        </w:rPr>
        <w:t>3. **Avalanche Effect:** A modification of a single bit in the uploaded image pixel array or telemetry timestamp alters over 50% of the output hexadecimal hash digest.</w:t>
      </w:r>
    </w:p>
    <w:p>
      <w:pPr>
        <w:spacing w:line="276" w:lineRule="auto" w:after="120"/>
      </w:pPr>
      <w:r>
        <w:rPr>
          <w:rFonts w:ascii="Arial" w:hAnsi="Arial"/>
          <w:color w:val="44403C"/>
          <w:sz w:val="20"/>
        </w:rPr>
        <w:t>Within the mobile application client, the native Web Cryptography API (`crypto.subtle.digest`) computes a cryptographic digest over the combined payload tuple:</w:t>
      </w:r>
    </w:p>
    <w:p>
      <w:pPr>
        <w:spacing w:line="276" w:lineRule="auto" w:after="120"/>
      </w:pPr>
      <w:r>
        <w:rPr>
          <w:rFonts w:ascii="Arial" w:hAnsi="Arial"/>
          <w:color w:val="44403C"/>
          <w:sz w:val="20"/>
        </w:rPr>
        <w:t>$$\mathcal{H} = \text{SHA-256}\left( \text{ImageBytes} \parallel \text{Timestamp}_{\text{UTC}} \parallel \text{AssetID} \parallel \text{GPS}_{\text{Coordinates}} \parallel \text{InferenceResults} \right)$$</w:t>
      </w:r>
    </w:p>
    <w:p>
      <w:pPr>
        <w:spacing w:line="276" w:lineRule="auto" w:after="120"/>
      </w:pPr>
      <w:r>
        <w:rPr>
          <w:rFonts w:ascii="Arial" w:hAnsi="Arial"/>
          <w:color w:val="44403C"/>
          <w:sz w:val="20"/>
        </w:rPr>
        <w:t>This tamper-proof digest is permanently bound to the inspection work order and recorded in the audit trail ledger. Energy insurance underwriters, financial auditors, and carbon-credit verification bodies (such as Gold Standard and Verra) can mathematically verify the non-repudiation of field inspections, ensuring compliance with international industrial cybersecurity and governance standards (IEC 62443 and ISO/IEC 27001).</w:t>
      </w:r>
    </w:p>
    <w:p>
      <w:pPr>
        <w:keepNext/>
        <w:spacing w:before="280" w:after="80"/>
      </w:pPr>
      <w:r>
        <w:rPr>
          <w:rFonts w:ascii="Arial" w:hAnsi="Arial"/>
          <w:b/>
          <w:color w:val="D97706"/>
          <w:sz w:val="24"/>
        </w:rPr>
        <w:t>2.7 Taxonomy of Photovoltaic Telemetry Anomalies</w:t>
      </w:r>
    </w:p>
    <w:p>
      <w:pPr>
        <w:spacing w:line="276" w:lineRule="auto" w:after="120"/>
      </w:pPr>
      <w:r>
        <w:rPr>
          <w:rFonts w:ascii="Arial" w:hAnsi="Arial"/>
          <w:color w:val="44403C"/>
          <w:sz w:val="20"/>
        </w:rPr>
        <w:t>From an Information Technology and Decision Sciences perspective, solar module anomalies are modeled as distinct spatial telemetry states across visual, thermal, and electroluminescent spectra. The SolarScan AI classification ontology encompasses 9 distinct anomaly classes:</w:t>
      </w:r>
    </w:p>
    <w:p>
      <w:pPr>
        <w:spacing w:line="276" w:lineRule="auto" w:after="120"/>
      </w:pPr>
      <w:r>
        <w:rPr>
          <w:rFonts w:ascii="Arial" w:hAnsi="Arial"/>
          <w:color w:val="44403C"/>
          <w:sz w:val="20"/>
        </w:rPr>
        <w:t>1. **Thermal Hotspots (Radiometric Thermal IR):** Localized high-temperature anomalies caused by reverse-bias dissipation in shaded or internally fractured cells. If unmitigated, localized temperatures can exceed 120°C, inducing ethylene-vinyl acetate (EVA) polymer combustion, glass shattering, and permanent module destruction.</w:t>
      </w:r>
    </w:p>
    <w:p>
      <w:pPr>
        <w:spacing w:line="276" w:lineRule="auto" w:after="120"/>
      </w:pPr>
      <w:r>
        <w:rPr>
          <w:rFonts w:ascii="Arial" w:hAnsi="Arial"/>
          <w:color w:val="44403C"/>
          <w:sz w:val="20"/>
        </w:rPr>
        <w:t>2. **Micro-Cracks (Electroluminescence &amp; High-Res Visual):** Microscopic fractures within the silicon crystalline matrix resulting from mechanical shock, transportation vibration, or cyclical wind loading. Cracks progressively sever cell busbars, creating inactive silicon sub-areas and escalating internal series resistance.</w:t>
      </w:r>
    </w:p>
    <w:p>
      <w:pPr>
        <w:spacing w:line="276" w:lineRule="auto" w:after="120"/>
      </w:pPr>
      <w:r>
        <w:rPr>
          <w:rFonts w:ascii="Arial" w:hAnsi="Arial"/>
          <w:color w:val="44403C"/>
          <w:sz w:val="20"/>
        </w:rPr>
        <w:t>3. **Harmattan Soiling &amp; Dust Accumulation (Visual RGB):** Surface deposition of atmospheric particulates, prominent during the West African Harmattan season. Soiling attenuates photon flux transmission, causing non-uniform string shading and current mismatch losses of 10% to 35%.</w:t>
      </w:r>
    </w:p>
    <w:p>
      <w:pPr>
        <w:spacing w:line="276" w:lineRule="auto" w:after="120"/>
      </w:pPr>
      <w:r>
        <w:rPr>
          <w:rFonts w:ascii="Arial" w:hAnsi="Arial"/>
          <w:color w:val="44403C"/>
          <w:sz w:val="20"/>
        </w:rPr>
        <w:t>4. **Bypass Diode Failures (Visual RGB &amp; Thermal IR):** Open-circuit or short-circuit failures in the junction box bypass diodes. A shorted diode permanently bypasses an entire sub-string (typically 18 to 24 cells), causing an instantaneous 33.3% loss of open-circuit voltage ($V_{oc}$) and module power yield.</w:t>
      </w:r>
    </w:p>
    <w:p>
      <w:pPr>
        <w:spacing w:line="276" w:lineRule="auto" w:after="120"/>
      </w:pPr>
      <w:r>
        <w:rPr>
          <w:rFonts w:ascii="Arial" w:hAnsi="Arial"/>
          <w:color w:val="44403C"/>
          <w:sz w:val="20"/>
        </w:rPr>
        <w:t>5. **Delamination (Visual RGB):** Adhesive bond degradation between the front glass, EVA encapsulant layer, and silicon wafer. Delamination creates moisture ingress pathways, accelerating contact corrosion and ground-fault leakage currents.</w:t>
      </w:r>
    </w:p>
    <w:p>
      <w:pPr>
        <w:spacing w:line="276" w:lineRule="auto" w:after="120"/>
      </w:pPr>
      <w:r>
        <w:rPr>
          <w:rFonts w:ascii="Arial" w:hAnsi="Arial"/>
          <w:color w:val="44403C"/>
          <w:sz w:val="20"/>
        </w:rPr>
        <w:t>6. **Cell Discoloration / Browning (Visual RGB):** Ultraviolet-induced photochemical degradation of encapsulating polymers, common in high-irradiance tropical climates, reducing optical transmittance and photon absorption.</w:t>
      </w:r>
    </w:p>
    <w:p>
      <w:pPr>
        <w:spacing w:line="276" w:lineRule="auto" w:after="120"/>
      </w:pPr>
      <w:r>
        <w:rPr>
          <w:rFonts w:ascii="Arial" w:hAnsi="Arial"/>
          <w:color w:val="44403C"/>
          <w:sz w:val="20"/>
        </w:rPr>
        <w:t>7. **Snail Trails (Visual RGB):** Distinct dark discoloration tracks forming along hidden micro-cracks. Moisture entering through permeable backsheets reacts with silver metallization gridlines, forming silver carbonate ($Ag_2CO_3$) deposits.</w:t>
      </w:r>
    </w:p>
    <w:p>
      <w:pPr>
        <w:spacing w:line="276" w:lineRule="auto" w:after="120"/>
      </w:pPr>
      <w:r>
        <w:rPr>
          <w:rFonts w:ascii="Arial" w:hAnsi="Arial"/>
          <w:color w:val="44403C"/>
          <w:sz w:val="20"/>
        </w:rPr>
        <w:t>8. **Potential Induced Degradation (PID) (Electroluminescence &amp; Thermal):** High-voltage stress-induced ion migration occurring in long series strings (up to 1,500V). Sodium ($Na^+$) ions migrate from the soda-lime glass into the silicon p-n junction, creating severe shunt leakage paths that degrade overall module yield by up to 30%.</w:t>
      </w:r>
    </w:p>
    <w:p>
      <w:pPr>
        <w:spacing w:line="276" w:lineRule="auto" w:after="120"/>
      </w:pPr>
      <w:r>
        <w:rPr>
          <w:rFonts w:ascii="Arial" w:hAnsi="Arial"/>
          <w:color w:val="44403C"/>
          <w:sz w:val="20"/>
        </w:rPr>
        <w:t>9. **Snow / Debris Cover (Visual RGB):** Total or partial physical obstruction of the panel aperture, blocking irradiance and dropping module current output to zero.</w:t>
      </w:r>
    </w:p>
    <w:p>
      <w:pPr>
        <w:keepNext/>
        <w:spacing w:before="280" w:after="80"/>
      </w:pPr>
      <w:r>
        <w:rPr>
          <w:rFonts w:ascii="Arial" w:hAnsi="Arial"/>
          <w:b/>
          <w:color w:val="D97706"/>
          <w:sz w:val="24"/>
        </w:rPr>
        <w:t>2.8 Comparative Analysis of Related Works</w:t>
      </w:r>
    </w:p>
    <w:p>
      <w:pPr>
        <w:spacing w:line="276" w:lineRule="auto" w:after="120"/>
      </w:pPr>
      <w:r>
        <w:rPr>
          <w:rFonts w:ascii="Arial" w:hAnsi="Arial"/>
          <w:color w:val="44403C"/>
          <w:sz w:val="20"/>
        </w:rPr>
        <w:t>A systematic review of academic literature reveals that existing automated solar diagnostic systems suffer from significant architectural limitations, primarily cloud dependency, lack of operational decision logic, and absence of enterprise IT integration. Table 2.1 provides a multi-dimensional comparative analysis between existing methodologies and the proposed SolarScan AI framework:</w:t>
      </w:r>
    </w:p>
    <w:p>
      <w:pPr>
        <w:spacing w:line="276" w:lineRule="auto" w:after="120"/>
      </w:pPr>
      <w:r>
        <w:rPr>
          <w:rFonts w:ascii="Arial" w:hAnsi="Arial"/>
          <w:color w:val="44403C"/>
          <w:sz w:val="20"/>
        </w:rPr>
        <w:t>**Table 2.1: Multi-Dimensional Comparative Architecture Matrix**</w:t>
      </w:r>
    </w:p>
    <w:p>
      <w:pPr>
        <w:spacing w:line="276" w:lineRule="auto" w:after="120"/>
      </w:pPr>
      <w:r>
        <w:rPr>
          <w:rFonts w:ascii="Arial" w:hAnsi="Arial"/>
          <w:color w:val="44403C"/>
          <w:sz w:val="20"/>
        </w:rPr>
        <w:t>| Metric / Dimension | Li &amp; Yang (2021) | Zhang &amp; Chen (2022) | Amara &amp; Bouaicha (2023) | **SolarScan AI (Proposed System)** |</w:t>
      </w:r>
    </w:p>
    <w:p>
      <w:pPr>
        <w:spacing w:line="276" w:lineRule="auto" w:after="120"/>
      </w:pPr>
      <w:r>
        <w:rPr>
          <w:rFonts w:ascii="Arial" w:hAnsi="Arial"/>
          <w:color w:val="44403C"/>
          <w:sz w:val="20"/>
        </w:rPr>
        <w:t>| :--- | :--- | :--- | :--- | :--- |</w:t>
      </w:r>
    </w:p>
    <w:p>
      <w:pPr>
        <w:spacing w:line="276" w:lineRule="auto" w:after="120"/>
      </w:pPr>
      <w:r>
        <w:rPr>
          <w:rFonts w:ascii="Arial" w:hAnsi="Arial"/>
          <w:color w:val="44403C"/>
          <w:sz w:val="20"/>
        </w:rPr>
        <w:t>| **Inference Deployment** | Central Cloud (AWS) | Cloud Edge-Gateway | Central Web API | **Offline Mobile Edge (TFLite INT8)** |</w:t>
      </w:r>
    </w:p>
    <w:p>
      <w:pPr>
        <w:spacing w:line="276" w:lineRule="auto" w:after="120"/>
      </w:pPr>
      <w:r>
        <w:rPr>
          <w:rFonts w:ascii="Arial" w:hAnsi="Arial"/>
          <w:color w:val="44403C"/>
          <w:sz w:val="20"/>
        </w:rPr>
        <w:t>| **Inference Latency** | 1,840 ms | 650 ms | 2,100 ms | **168 ms (Native On-Device)** |</w:t>
      </w:r>
    </w:p>
    <w:p>
      <w:pPr>
        <w:spacing w:line="276" w:lineRule="auto" w:after="120"/>
      </w:pPr>
      <w:r>
        <w:rPr>
          <w:rFonts w:ascii="Arial" w:hAnsi="Arial"/>
          <w:color w:val="44403C"/>
          <w:sz w:val="20"/>
        </w:rPr>
        <w:t>| **WAN Bandwidth / Scan** | ~4.5 MB (Full Upload) | ~1.2 MB | ~3.8 MB | **0.0 KB (Zero Network Egress)** |</w:t>
      </w:r>
    </w:p>
    <w:p>
      <w:pPr>
        <w:spacing w:line="276" w:lineRule="auto" w:after="120"/>
      </w:pPr>
      <w:r>
        <w:rPr>
          <w:rFonts w:ascii="Arial" w:hAnsi="Arial"/>
          <w:color w:val="44403C"/>
          <w:sz w:val="20"/>
        </w:rPr>
        <w:t>| **Input Gatekeeper** | None (Processes All) | Single-Layer Filter | None | **Double-Layer (COCO + HSV Gradient)** |</w:t>
      </w:r>
    </w:p>
    <w:p>
      <w:pPr>
        <w:spacing w:line="276" w:lineRule="auto" w:after="120"/>
      </w:pPr>
      <w:r>
        <w:rPr>
          <w:rFonts w:ascii="Arial" w:hAnsi="Arial"/>
          <w:color w:val="44403C"/>
          <w:sz w:val="20"/>
        </w:rPr>
        <w:t>| **Decision Support (DSS)**| No (Raw Labels Only)| No (Confidence Only) | No (Class Bounding Box) | **Yes (MCDA / AHP Composite Severity)**|</w:t>
      </w:r>
    </w:p>
    <w:p>
      <w:pPr>
        <w:spacing w:line="276" w:lineRule="auto" w:after="120"/>
      </w:pPr>
      <w:r>
        <w:rPr>
          <w:rFonts w:ascii="Arial" w:hAnsi="Arial"/>
          <w:color w:val="44403C"/>
          <w:sz w:val="20"/>
        </w:rPr>
        <w:t>| **Degradation Modeling** | None | Simple Temperature | None | **Physics-Based (Watts Lost &amp; GHS/kWh)**|</w:t>
      </w:r>
    </w:p>
    <w:p>
      <w:pPr>
        <w:spacing w:line="276" w:lineRule="auto" w:after="120"/>
      </w:pPr>
      <w:r>
        <w:rPr>
          <w:rFonts w:ascii="Arial" w:hAnsi="Arial"/>
          <w:color w:val="44403C"/>
          <w:sz w:val="20"/>
        </w:rPr>
        <w:t>| **ITSM / CMMS Interop** | None (Manual Entry) | Proprietary SQL | None | **Yes (ITIL v4 JSON for SAP/ServiceNow)**|</w:t>
      </w:r>
    </w:p>
    <w:p>
      <w:pPr>
        <w:spacing w:line="276" w:lineRule="auto" w:after="120"/>
      </w:pPr>
      <w:r>
        <w:rPr>
          <w:rFonts w:ascii="Arial" w:hAnsi="Arial"/>
          <w:color w:val="44403C"/>
          <w:sz w:val="20"/>
        </w:rPr>
        <w:t>| **Audit &amp; Governance** | None | Basic Server Logs | None | **Cryptographic SHA-256 Audit Trail** |</w:t>
      </w:r>
    </w:p>
    <w:p>
      <w:pPr>
        <w:spacing w:line="276" w:lineRule="auto" w:after="120"/>
      </w:pPr>
      <w:r>
        <w:rPr>
          <w:rFonts w:ascii="Arial" w:hAnsi="Arial"/>
          <w:color w:val="44403C"/>
          <w:sz w:val="20"/>
        </w:rPr>
        <w:t>| **API Architecture** | Closed / Monolithic | Restrictive RPC | Closed Webhook | **OpenAPI 3.1 RESTful Gateway** |</w:t>
      </w:r>
    </w:p>
    <w:p>
      <w:pPr>
        <w:keepNext/>
        <w:spacing w:before="280" w:after="80"/>
      </w:pPr>
      <w:r>
        <w:rPr>
          <w:rFonts w:ascii="Arial" w:hAnsi="Arial"/>
          <w:b/>
          <w:color w:val="D97706"/>
          <w:sz w:val="24"/>
        </w:rPr>
        <w:t>2.9 Summary of Gaps in Literature</w:t>
      </w:r>
    </w:p>
    <w:p>
      <w:pPr>
        <w:spacing w:line="276" w:lineRule="auto" w:after="120"/>
      </w:pPr>
      <w:r>
        <w:rPr>
          <w:rFonts w:ascii="Arial" w:hAnsi="Arial"/>
          <w:color w:val="44403C"/>
          <w:sz w:val="20"/>
        </w:rPr>
        <w:t>The systematic evaluation of prior works identifies four critical technological gaps that this research resolves:</w:t>
      </w:r>
    </w:p>
    <w:p>
      <w:pPr>
        <w:spacing w:line="276" w:lineRule="auto" w:after="120"/>
      </w:pPr>
      <w:r>
        <w:rPr>
          <w:rFonts w:ascii="Arial" w:hAnsi="Arial"/>
          <w:color w:val="44403C"/>
          <w:sz w:val="20"/>
        </w:rPr>
        <w:t>1. **The Cloud Connectivity Fallacy:** Prior research predominantly assumes ubiquitous high-speed 4G/5G broadband at solar installations. In sub-Saharan Africa, utility installations are remote, rendering cloud-dependent systems inoperable in cellular dead-zones.</w:t>
      </w:r>
    </w:p>
    <w:p>
      <w:pPr>
        <w:spacing w:line="276" w:lineRule="auto" w:after="120"/>
      </w:pPr>
      <w:r>
        <w:rPr>
          <w:rFonts w:ascii="Arial" w:hAnsi="Arial"/>
          <w:color w:val="44403C"/>
          <w:sz w:val="20"/>
        </w:rPr>
        <w:t>2. **The "Label-Only" Decision Void:** Existing systems terminate at object classification, leaving maintenance engineers without quantitative guidance regarding wattage degradation, financial risk, or dispatch scheduling urgency.</w:t>
      </w:r>
    </w:p>
    <w:p>
      <w:pPr>
        <w:spacing w:line="276" w:lineRule="auto" w:after="120"/>
      </w:pPr>
      <w:r>
        <w:rPr>
          <w:rFonts w:ascii="Arial" w:hAnsi="Arial"/>
          <w:color w:val="44403C"/>
          <w:sz w:val="20"/>
        </w:rPr>
        <w:t>3. **Vulnerability to False Edge Ingestion:** Prior mobile vision systems lack pre-inference gatekeepers, resulting in severe false alarms, mobile battery drain, and central database corruption when non-solar images (vegetation, soil, machinery) are uploaded.</w:t>
      </w:r>
    </w:p>
    <w:p>
      <w:pPr>
        <w:spacing w:line="276" w:lineRule="auto" w:after="120"/>
      </w:pPr>
      <w:r>
        <w:rPr>
          <w:rFonts w:ascii="Arial" w:hAnsi="Arial"/>
          <w:color w:val="44403C"/>
          <w:sz w:val="20"/>
        </w:rPr>
        <w:t>4. **Enterprise IT &amp; Security Disconnect:** Existing tools operate as isolated standalone apps without standard REST APIs, cryptographic verification of field records, or automated integration into enterprise ITSM / CMMS infrastructure.</w:t>
      </w:r>
    </w:p>
    <w:p>
      <w:pPr>
        <w:keepNext/>
        <w:spacing w:before="280" w:after="80"/>
      </w:pPr>
      <w:r>
        <w:rPr>
          <w:rFonts w:ascii="Arial" w:hAnsi="Arial"/>
          <w:b/>
          <w:color w:val="D97706"/>
          <w:sz w:val="24"/>
        </w:rPr>
        <w:t>2.10 Clean Energy Policies &amp; Digitalization in Ghana</w:t>
      </w:r>
    </w:p>
    <w:p>
      <w:pPr>
        <w:spacing w:line="276" w:lineRule="auto" w:after="120"/>
      </w:pPr>
      <w:r>
        <w:rPr>
          <w:rFonts w:ascii="Arial" w:hAnsi="Arial"/>
          <w:color w:val="44403C"/>
          <w:sz w:val="20"/>
        </w:rPr>
        <w:t>To contextualize this research within Ghana’s socio-economic and regulatory framework, this study aligns directly with national policy initiatives. Under the Renewable Energy Act of 2011 (Act 832) and the Renewable Energy (Amendment) Act of 2020 (Act 1045), the Republic of Ghana committed to expanding clean renewable generation to 10% of the national energy mix by 2030. Major utility infrastructure investments—including the 50 MW Bui Power Authority floating and ground-mounted solar plants and the Volta River Authority (VRA) solar installations in Kaleo and Lawra—constitute strategic national assets.</w:t>
      </w:r>
    </w:p>
    <w:p>
      <w:pPr>
        <w:spacing w:line="276" w:lineRule="auto" w:after="120"/>
      </w:pPr>
      <w:r>
        <w:rPr>
          <w:rFonts w:ascii="Arial" w:hAnsi="Arial"/>
          <w:color w:val="44403C"/>
          <w:sz w:val="20"/>
        </w:rPr>
        <w:t>Simultaneously, the Ministry of Communications and Digitalisation has championed the National Digital Transformation Agenda, emphasizing the deployment of localized digital systems, artificial intelligence, and edge-computing architectures to optimize state-owned utility operations. Integrating AI-driven edge telemetry with renewable energy governance exemplifies the "Twin Transition" (the synergy between digitalization and green sustainability).</w:t>
      </w:r>
    </w:p>
    <w:p>
      <w:pPr>
        <w:spacing w:line="276" w:lineRule="auto" w:after="120"/>
      </w:pPr>
      <w:r>
        <w:rPr>
          <w:rFonts w:ascii="Arial" w:hAnsi="Arial"/>
          <w:color w:val="44403C"/>
          <w:sz w:val="20"/>
        </w:rPr>
        <w:t>By engineering an offline-first mobile Decision Support System within the Department of Information Technology and Decision Sciences (ITDS) at the University of Energy and Natural Resources (UENR), this research delivers a resilient, home-grown software framework. It empowers local clean energy operators with decentralized diagnostic autonomy, lowers operations and maintenance (O&amp;M) expenditures, and accelerates the digitalization of Ghana's energy sector.</w:t>
      </w:r>
    </w:p>
    <w:p>
      <w:pPr>
        <w:keepNext/>
        <w:spacing w:before="280" w:after="80"/>
      </w:pPr>
      <w:r>
        <w:rPr>
          <w:rFonts w:ascii="Arial" w:hAnsi="Arial"/>
          <w:b/>
          <w:color w:val="D97706"/>
          <w:sz w:val="24"/>
        </w:rPr>
        <w:t>CHAPTER 3: SYSTEM DESIGN AND METHODOLOGY</w:t>
      </w:r>
    </w:p>
    <w:p>
      <w:pPr>
        <w:keepNext/>
        <w:spacing w:before="280" w:after="80"/>
      </w:pPr>
      <w:r>
        <w:rPr>
          <w:rFonts w:ascii="Arial" w:hAnsi="Arial"/>
          <w:b/>
          <w:color w:val="D97706"/>
          <w:sz w:val="24"/>
        </w:rPr>
        <w:t>3.1 Distributed System Architecture (Edge-to-Cloud Pipeline)</w:t>
      </w:r>
    </w:p>
    <w:p>
      <w:pPr>
        <w:spacing w:line="276" w:lineRule="auto" w:after="120"/>
      </w:pPr>
      <w:r>
        <w:rPr>
          <w:rFonts w:ascii="Arial" w:hAnsi="Arial"/>
          <w:color w:val="44403C"/>
          <w:sz w:val="20"/>
        </w:rPr>
        <w:t>The SolarScan AI platform is architected as an offline-first, distributed edge computing system engineered to operate deterministically in remote environments characterized by complete cellular network dead-zones, while providing seamless enterprise cloud synchronization when connectivity is established. As illustrated in Figure 3.1, the global architecture is decoupled into four modular tiers:</w:t>
      </w:r>
    </w:p>
    <w:p>
      <w:pPr>
        <w:spacing w:line="276" w:lineRule="auto" w:after="120"/>
      </w:pPr>
      <w:r>
        <w:rPr>
          <w:rFonts w:ascii="Arial" w:hAnsi="Arial"/>
          <w:color w:val="44403C"/>
          <w:sz w:val="20"/>
        </w:rPr>
        <w:t>1. **Edge Client Tier (Progressive Web Application):** Built using React 18 and Vite, the presentation layer executes natively inside mobile web browsers (Chromium and WebKit engines). The client utilizes HTML5 Service Workers and the Cache Storage API to pre-cache application bundles, neural runtime libraries, and styling assets, enabling 100% offline cold boots without active internet connectivity. The user interface embeds an interactive HTML5 Canvas HUD with hardware-accelerated bounding box rendering and CSS multi-spectral filter simulation.</w:t>
      </w:r>
    </w:p>
    <w:p>
      <w:pPr>
        <w:spacing w:line="276" w:lineRule="auto" w:after="120"/>
      </w:pPr>
      <w:r>
        <w:rPr>
          <w:rFonts w:ascii="Arial" w:hAnsi="Arial"/>
          <w:color w:val="44403C"/>
          <w:sz w:val="20"/>
        </w:rPr>
        <w:t>2. **On-Device Edge Inference Engine:** When deployed on mobile hardware, deep learning inference is executed locally using the TensorFlow Lite (TFLite) WebAssembly / SIMD runtime. Neural computations execute directly on mobile CPU/GPU/NPU hardware cores, eliminating WAN data transmission, cutting cloud API egress fees to zero, and maintaining deterministic sub-180ms inference latency.</w:t>
      </w:r>
    </w:p>
    <w:p>
      <w:pPr>
        <w:spacing w:line="276" w:lineRule="auto" w:after="120"/>
      </w:pPr>
      <w:r>
        <w:rPr>
          <w:rFonts w:ascii="Arial" w:hAnsi="Arial"/>
          <w:color w:val="44403C"/>
          <w:sz w:val="20"/>
        </w:rPr>
        <w:t>3. **Decentralized Decision Sciences &amp; Audit Layer:** Running client-side prior to network dispatch, this layer executes the Double-Layer Gatekeeper filter, the Analytic Hierarchy Process (AHP) Multi-Criteria Decision Support System, the Wafer Thermodynamics Degradation Engine, and the Web Cryptography SHA-256 audit hashing routine.</w:t>
      </w:r>
    </w:p>
    <w:p>
      <w:pPr>
        <w:spacing w:line="276" w:lineRule="auto" w:after="120"/>
      </w:pPr>
      <w:r>
        <w:rPr>
          <w:rFonts w:ascii="Arial" w:hAnsi="Arial"/>
          <w:color w:val="44403C"/>
          <w:sz w:val="20"/>
        </w:rPr>
        <w:t>4. **Enterprise Integration Gateway (Cloud &amp; CMMS Tier):** An asynchronous RESTful API gateway built on FastAPI and Python 3.12 provides enterprise interoperability. When mobile devices reconnect to local Wi-Fi or cellular networks, synchronization routines transmit structured ITIL v4 incident payloads and cryptographic audit digests to enterprise ERP systems (SAP Plant Maintenance, ServiceNow, and Jira Service Desk).</w:t>
      </w:r>
    </w:p>
    <w:p>
      <w:pPr>
        <w:spacing w:before="80" w:after="160"/>
        <w:ind w:left="432" w:right="432"/>
      </w:pPr>
      <w:r>
        <w:rPr>
          <w:rFonts w:ascii="Courier New" w:hAnsi="Courier New"/>
          <w:color w:val="0E7490"/>
          <w:sz w:val="17"/>
        </w:rPr>
        <w:t>+---------------------------------------------------------------------------------------+</w:t>
        <w:br/>
        <w:t>|                                    EDGE CLIENT TIER                                   |</w:t>
        <w:br/>
        <w:t>|  [Mobile Browser / Field Laptop] &lt;---&gt; [Service Worker Offline Cache &amp; IndexedDB]     |</w:t>
        <w:br/>
        <w:t>|                                                                                       |</w:t>
        <w:br/>
        <w:t>|   +--------------------------+    +--------------------------+    +----------------+  |</w:t>
        <w:br/>
        <w:t>|   | Double-Layer Gatekeeper  |    | On-Device YOLOv8 INT8    |    | Interactive    |  |</w:t>
        <w:br/>
        <w:t>|   | - Layer 1: COCO Semantic | -&gt; | - 3.2 MB TFLite Engine   | -&gt; | Canvas HUD     |  |</w:t>
        <w:br/>
        <w:t>|   | - Layer 2: HSV Gradient  |    | - 168 ms Latency         |    | Multi-Spectral |  |</w:t>
        <w:br/>
        <w:t>|   +--------------------------+    +--------------------------+    +----------------+  |</w:t>
        <w:br/>
        <w:t>|                                                                           |           |</w:t>
        <w:br/>
        <w:t>|   +-----------------------------------------------------------------------v--------+  |</w:t>
        <w:br/>
        <w:t>|   |                         DECISION SCIENCES &amp; AUDIT ENGINE                       |  |</w:t>
        <w:br/>
        <w:t>|   |  - AHP Multi-Criteria SLA Decision Matrix (P1-P4 Urgency / MTTR Targets)       |  |</w:t>
        <w:br/>
        <w:t>|   |  - Wafer Thermodynamics Engine (Wattage Loss &amp; Financial Risk in GHS)          |  |</w:t>
        <w:br/>
        <w:t>|   |  - Cryptographic Chain of Custody (SHA-256 Tamper-Proof Digest)                |  |</w:t>
        <w:br/>
        <w:t>|   +-----------------------------------------------------------------------+--------+  |</w:t>
        <w:br/>
        <w:t>+---------------------------------------------------------------------------|-----------+</w:t>
        <w:br/>
        <w:t xml:space="preserve">                                                                            | (Batch Sync /</w:t>
        <w:br/>
        <w:t xml:space="preserve">                                                                            |  Local Wi-Fi)</w:t>
        <w:br/>
        <w:t>+---------------------------------------------------------------------------v-----------+</w:t>
        <w:br/>
        <w:t>|                          ENTERPRISE INTEGRATION GATEWAY (REST API)                    |</w:t>
        <w:br/>
        <w:t>|       FastAPI / OpenAPI 3.1 Endpoint Gateway (JWT / RBAC Tier 1-3 Authorization)      |</w:t>
        <w:br/>
        <w:t>|                                                                                       |</w:t>
        <w:br/>
        <w:t>|   [POST /api/v1/telemetry/scan]   [POST /api/v1/itsm/workorder]   [GET /sla-matrix]   |</w:t>
        <w:br/>
        <w:t>+---------------------------------------------------------------------------------------+</w:t>
        <w:br/>
        <w:t xml:space="preserve">                                            |</w:t>
        <w:br/>
        <w:t xml:space="preserve">    +---------------------------------------+---------------------------------------+</w:t>
        <w:br/>
        <w:t xml:space="preserve">    |                                       |                                       |</w:t>
        <w:br/>
        <w:t xml:space="preserve">    v                                       v                                       v</w:t>
        <w:br/>
        <w:t>[SAP Plant Maintenance]           [ServiceNow IT Service Desk]          [PostgreSQL Ledger]</w:t>
      </w:r>
    </w:p>
    <w:p>
      <w:pPr>
        <w:keepNext/>
        <w:spacing w:before="280" w:after="80"/>
      </w:pPr>
      <w:r>
        <w:rPr>
          <w:rFonts w:ascii="Arial" w:hAnsi="Arial"/>
          <w:b/>
          <w:color w:val="D97706"/>
          <w:sz w:val="24"/>
        </w:rPr>
        <w:t>3.2 Double-Layer Validation Gatekeeper Algorithm</w:t>
      </w:r>
    </w:p>
    <w:p>
      <w:pPr>
        <w:spacing w:line="276" w:lineRule="auto" w:after="120"/>
      </w:pPr>
      <w:r>
        <w:rPr>
          <w:rFonts w:ascii="Arial" w:hAnsi="Arial"/>
          <w:color w:val="44403C"/>
          <w:sz w:val="20"/>
        </w:rPr>
        <w:t>Mobile inspection applications deployed in outdoor utility environments frequently ingest erroneous, non-solar imagery (such as ground vegetation, gravel, vehicles, footwear, or ambient sky). Standard convolutional neural networks attempt to evaluate these inputs, generating false-positive anomaly detections that confuse technicians, trigger unwarranted work orders, and drain mobile device batteries. To prevent this computational waste, the SolarScan AI pipeline enforces a pre-inference **Double-Layer Validation Gatekeeper**:</w:t>
      </w:r>
    </w:p>
    <w:p>
      <w:pPr>
        <w:keepNext/>
        <w:spacing w:before="200" w:after="40"/>
      </w:pPr>
      <w:r>
        <w:rPr>
          <w:rFonts w:ascii="Arial" w:hAnsi="Arial"/>
          <w:b/>
          <w:color w:val="44403C"/>
          <w:sz w:val="21"/>
        </w:rPr>
        <w:t>Layer 1: Pre-Inference Semantic Filter (COCO-80 Classifier)</w:t>
      </w:r>
    </w:p>
    <w:p>
      <w:pPr>
        <w:spacing w:line="276" w:lineRule="auto" w:after="120"/>
      </w:pPr>
      <w:r>
        <w:rPr>
          <w:rFonts w:ascii="Arial" w:hAnsi="Arial"/>
          <w:color w:val="44403C"/>
          <w:sz w:val="20"/>
        </w:rPr>
        <w:t>The input image is evaluated against a lightweight semantic classifier pre-trained on the Microsoft COCO dataset (80 common object classes). Because solar photovoltaic modules do not belong to the 80 COCO categories, the detection of common foreground objects indicates an invalid inspection target. Any detection satisfying:</w:t>
      </w:r>
    </w:p>
    <w:p>
      <w:pPr>
        <w:spacing w:line="276" w:lineRule="auto" w:after="120"/>
      </w:pPr>
      <w:r>
        <w:rPr>
          <w:rFonts w:ascii="Arial" w:hAnsi="Arial"/>
          <w:color w:val="44403C"/>
          <w:sz w:val="20"/>
        </w:rPr>
        <w:t>$$\max_{k \in \text{COCO}} P(c_k \mid I) \ge \tau_{\text{semantic}} \quad (\tau_{\text{semantic}} = 0.12)$$</w:t>
      </w:r>
    </w:p>
    <w:p>
      <w:pPr>
        <w:spacing w:line="276" w:lineRule="auto" w:after="120"/>
      </w:pPr>
      <w:r>
        <w:rPr>
          <w:rFonts w:ascii="Arial" w:hAnsi="Arial"/>
          <w:color w:val="44403C"/>
          <w:sz w:val="20"/>
        </w:rPr>
        <w:t>immediately aborts the inference pipeline, rejects the upload, and displays a descriptive alert notifying the technician that an invalid object (e.g., automobile, animal, person) has obstructed the capture aperture.</w:t>
      </w:r>
    </w:p>
    <w:p>
      <w:pPr>
        <w:keepNext/>
        <w:spacing w:before="200" w:after="40"/>
      </w:pPr>
      <w:r>
        <w:rPr>
          <w:rFonts w:ascii="Arial" w:hAnsi="Arial"/>
          <w:b/>
          <w:color w:val="44403C"/>
          <w:sz w:val="21"/>
        </w:rPr>
        <w:t>Layer 2: Color Space Histogram and Spatial Texture Gradient Validator</w:t>
      </w:r>
    </w:p>
    <w:p>
      <w:pPr>
        <w:spacing w:line="276" w:lineRule="auto" w:after="120"/>
      </w:pPr>
      <w:r>
        <w:rPr>
          <w:rFonts w:ascii="Arial" w:hAnsi="Arial"/>
          <w:color w:val="44403C"/>
          <w:sz w:val="20"/>
        </w:rPr>
        <w:t>Images that pass Layer 1 are resized to a normalized $30 \times 30$ pixel buffer and converted from RGB to HSV (Hue, Saturation, Value) color space. Two distinct mathematical checks are evaluated:</w:t>
      </w:r>
    </w:p>
    <w:p>
      <w:pPr>
        <w:spacing w:line="276" w:lineRule="auto" w:after="120"/>
      </w:pPr>
      <w:r>
        <w:rPr>
          <w:rFonts w:ascii="Arial" w:hAnsi="Arial"/>
          <w:color w:val="44403C"/>
          <w:sz w:val="20"/>
        </w:rPr>
        <w:t>1. **Vegetation &amp; Flora Rejection Check:** In agricultural and rural installations, tall weeds and grass frequently shade panels or enter the camera frame. Green vegetation is detected using the spectral condition:</w:t>
      </w:r>
    </w:p>
    <w:p>
      <w:pPr>
        <w:spacing w:line="276" w:lineRule="auto" w:after="120"/>
      </w:pPr>
      <w:r>
        <w:rPr>
          <w:rFonts w:ascii="Arial" w:hAnsi="Arial"/>
          <w:color w:val="44403C"/>
          <w:sz w:val="20"/>
        </w:rPr>
        <w:t>$$G_{\text{ratio}} = \frac{1}{N} \sum_{i=1}^{N} \mathbb{I}\left( g_i &gt; 1.15 r_i \land g_i &gt; 1.15 b_i \right)$$</w:t>
      </w:r>
    </w:p>
    <w:p>
      <w:pPr>
        <w:spacing w:line="276" w:lineRule="auto" w:after="120"/>
      </w:pPr>
      <w:r>
        <w:rPr>
          <w:rFonts w:ascii="Arial" w:hAnsi="Arial"/>
          <w:color w:val="44403C"/>
          <w:sz w:val="20"/>
        </w:rPr>
        <w:t>If $G_{\text{ratio}} &gt; 0.35$, the upload is immediately rejected as foreground vegetation.</w:t>
      </w:r>
    </w:p>
    <w:p>
      <w:pPr>
        <w:spacing w:line="276" w:lineRule="auto" w:after="120"/>
      </w:pPr>
      <w:r>
        <w:rPr>
          <w:rFonts w:ascii="Arial" w:hAnsi="Arial"/>
          <w:color w:val="44403C"/>
          <w:sz w:val="20"/>
        </w:rPr>
        <w:t>2. **Solar Material Spectrum Verification:** Solar cells exhibit distinct spectral signatures: monocrystalline silicon (absorptive dark-gray/black), polycrystalline silicon (specular blue), thermal radiometry (false-color high-contrast heat signatures), and electroluminescence (monochrome NIR grayscale). The target pixel ratio $S_{\text{ratio}}$ evaluates:</w:t>
      </w:r>
    </w:p>
    <w:p>
      <w:pPr>
        <w:spacing w:line="276" w:lineRule="auto" w:after="120"/>
      </w:pPr>
      <w:r>
        <w:rPr>
          <w:rFonts w:ascii="Arial" w:hAnsi="Arial"/>
          <w:color w:val="44403C"/>
          <w:sz w:val="20"/>
        </w:rPr>
        <w:t>$$S_{\text{ratio}} = \frac{1}{N} \sum_{i=1}^{N} \mathbb{I}\left( \text{isSolarPixel}(r_i, g_i, b_i) \right)$$</w:t>
      </w:r>
    </w:p>
    <w:p>
      <w:pPr>
        <w:spacing w:line="276" w:lineRule="auto" w:after="120"/>
      </w:pPr>
      <w:r>
        <w:rPr>
          <w:rFonts w:ascii="Arial" w:hAnsi="Arial"/>
          <w:color w:val="44403C"/>
          <w:sz w:val="20"/>
        </w:rPr>
        <w:t>Where $\text{isSolarPixel}$ evaluates:</w:t>
      </w:r>
    </w:p>
    <w:p>
      <w:pPr>
        <w:pStyle w:val="ListBullet"/>
        <w:spacing w:line="276" w:lineRule="auto" w:after="60"/>
      </w:pPr>
      <w:r>
        <w:rPr>
          <w:rFonts w:ascii="Arial" w:hAnsi="Arial"/>
          <w:color w:val="44403C"/>
          <w:sz w:val="20"/>
        </w:rPr>
        <w:t>*Polycrystalline Blue:* $(b &gt; 1.08 r) \land (b &gt; 40)$</w:t>
      </w:r>
    </w:p>
    <w:p>
      <w:pPr>
        <w:pStyle w:val="ListBullet"/>
        <w:spacing w:line="276" w:lineRule="auto" w:after="60"/>
      </w:pPr>
      <w:r>
        <w:rPr>
          <w:rFonts w:ascii="Arial" w:hAnsi="Arial"/>
          <w:color w:val="44403C"/>
          <w:sz w:val="20"/>
        </w:rPr>
        <w:t>*Monocrystalline Dark:* $(r &lt; 85) \land (g &lt; 85) \land (b &lt; 85)$</w:t>
      </w:r>
    </w:p>
    <w:p>
      <w:pPr>
        <w:pStyle w:val="ListBullet"/>
        <w:spacing w:line="276" w:lineRule="auto" w:after="60"/>
      </w:pPr>
      <w:r>
        <w:rPr>
          <w:rFonts w:ascii="Arial" w:hAnsi="Arial"/>
          <w:color w:val="44403C"/>
          <w:sz w:val="20"/>
        </w:rPr>
        <w:t>*Thermal False-Color Hotspot:* $(r &gt; 180 \land g &gt; 100) \lor (r &gt; 30 \land b &gt; 1.1 r)$</w:t>
      </w:r>
    </w:p>
    <w:p>
      <w:pPr>
        <w:pStyle w:val="ListBullet"/>
        <w:spacing w:line="276" w:lineRule="auto" w:after="60"/>
      </w:pPr>
      <w:r>
        <w:rPr>
          <w:rFonts w:ascii="Arial" w:hAnsi="Arial"/>
          <w:color w:val="44403C"/>
          <w:sz w:val="20"/>
        </w:rPr>
        <w:t>*Electroluminescence Grayscale:* $(|r - g| &lt; 12) \land (|r - b| &lt; 12)$</w:t>
      </w:r>
    </w:p>
    <w:p>
      <w:pPr>
        <w:spacing w:line="276" w:lineRule="auto" w:after="120"/>
      </w:pPr>
      <w:r>
        <w:rPr>
          <w:rFonts w:ascii="Arial" w:hAnsi="Arial"/>
          <w:color w:val="44403C"/>
          <w:sz w:val="20"/>
        </w:rPr>
        <w:t>If $S_{\text{ratio}} &lt; 0.25$, the image is rejected for lacking valid solar cell spectral properties. Additionally, spatial texture gradients are checked using horizontal and vertical Sobel approximations ($\nabla_x, \nabla_y$). If the mean gradient variation $\overline{|\nabla I|} &lt; 1.8$, the image is rejected as an untextured, flat surface (e.g., blank wall or open sky).</w:t>
      </w:r>
    </w:p>
    <w:p>
      <w:pPr>
        <w:keepNext/>
        <w:spacing w:before="280" w:after="80"/>
      </w:pPr>
      <w:r>
        <w:rPr>
          <w:rFonts w:ascii="Arial" w:hAnsi="Arial"/>
          <w:b/>
          <w:color w:val="D97706"/>
          <w:sz w:val="24"/>
        </w:rPr>
        <w:t>3.3 YOLOv8 Neural Architecture &amp; INT8 Quantization Pipeline</w:t>
      </w:r>
    </w:p>
    <w:p>
      <w:pPr>
        <w:keepNext/>
        <w:spacing w:before="200" w:after="40"/>
      </w:pPr>
      <w:r>
        <w:rPr>
          <w:rFonts w:ascii="Arial" w:hAnsi="Arial"/>
          <w:b/>
          <w:color w:val="44403C"/>
          <w:sz w:val="21"/>
        </w:rPr>
        <w:t>Neural Network Design</w:t>
      </w:r>
    </w:p>
    <w:p>
      <w:pPr>
        <w:spacing w:line="276" w:lineRule="auto" w:after="120"/>
      </w:pPr>
      <w:r>
        <w:rPr>
          <w:rFonts w:ascii="Arial" w:hAnsi="Arial"/>
          <w:color w:val="44403C"/>
          <w:sz w:val="20"/>
        </w:rPr>
        <w:t>The core defect localization engine utilizes Ultralytics YOLOv8 nano (`yolov8n`), customized for multi-modal clean energy defect detection across 9 anomaly classes. The network architecture incorporates:</w:t>
      </w:r>
    </w:p>
    <w:p>
      <w:pPr>
        <w:pStyle w:val="ListBullet"/>
        <w:spacing w:line="276" w:lineRule="auto" w:after="60"/>
      </w:pPr>
      <w:r>
        <w:rPr>
          <w:rFonts w:ascii="Arial" w:hAnsi="Arial"/>
          <w:color w:val="44403C"/>
          <w:sz w:val="20"/>
        </w:rPr>
        <w:t>**Modified CSPDarknet Backbone:** Feature extraction utilizing C2f cross-stage partial bottleneck modules with two convolutions and residual skip connections, maintaining high gradient flow with low parameter overhead.</w:t>
      </w:r>
    </w:p>
    <w:p>
      <w:pPr>
        <w:pStyle w:val="ListBullet"/>
        <w:spacing w:line="276" w:lineRule="auto" w:after="60"/>
      </w:pPr>
      <w:r>
        <w:rPr>
          <w:rFonts w:ascii="Arial" w:hAnsi="Arial"/>
          <w:color w:val="44403C"/>
          <w:sz w:val="20"/>
        </w:rPr>
        <w:t>**Path Aggregation Network (PAN) Neck:** Multi-scale feature fusion combining spatial detail from early layers with semantic context from deep layers, optimizing the detection of fine fractures (micro-cracks) and broad anomalies (soiling patterns).</w:t>
      </w:r>
    </w:p>
    <w:p>
      <w:pPr>
        <w:pStyle w:val="ListBullet"/>
        <w:spacing w:line="276" w:lineRule="auto" w:after="60"/>
      </w:pPr>
      <w:r>
        <w:rPr>
          <w:rFonts w:ascii="Arial" w:hAnsi="Arial"/>
          <w:color w:val="44403C"/>
          <w:sz w:val="20"/>
        </w:rPr>
        <w:t>**Decoupled Anchor-Free Detection Head:** Independent convolutional branches for bounding box regression (DFL and CIoU loss) and object classification (Binary Cross-Entropy), improving convergence rate and inference precision.</w:t>
      </w:r>
    </w:p>
    <w:p>
      <w:pPr>
        <w:keepNext/>
        <w:spacing w:before="200" w:after="40"/>
      </w:pPr>
      <w:r>
        <w:rPr>
          <w:rFonts w:ascii="Arial" w:hAnsi="Arial"/>
          <w:b/>
          <w:color w:val="44403C"/>
          <w:sz w:val="21"/>
        </w:rPr>
        <w:t>Post-Training INT8 Quantization Pipeline</w:t>
      </w:r>
    </w:p>
    <w:p>
      <w:pPr>
        <w:spacing w:line="276" w:lineRule="auto" w:after="120"/>
      </w:pPr>
      <w:r>
        <w:rPr>
          <w:rFonts w:ascii="Arial" w:hAnsi="Arial"/>
          <w:color w:val="44403C"/>
          <w:sz w:val="20"/>
        </w:rPr>
        <w:t>To transition the trained PyTorch model (`best.pt`, 6.3 MB) into an edge-executable mobile flatbuffer, a three-stage compression workflow is executed:</w:t>
      </w:r>
    </w:p>
    <w:p>
      <w:pPr>
        <w:spacing w:line="276" w:lineRule="auto" w:after="120"/>
      </w:pPr>
      <w:r>
        <w:rPr>
          <w:rFonts w:ascii="Arial" w:hAnsi="Arial"/>
          <w:color w:val="44403C"/>
          <w:sz w:val="20"/>
        </w:rPr>
        <w:t>1. **ONNX Graph Export:** The PyTorch computational graph is serialized into Open Neural Network Exchange (ONNX) format with dynamic batching disabled to optimize memory allocation.</w:t>
      </w:r>
    </w:p>
    <w:p>
      <w:pPr>
        <w:spacing w:line="276" w:lineRule="auto" w:after="120"/>
      </w:pPr>
      <w:r>
        <w:rPr>
          <w:rFonts w:ascii="Arial" w:hAnsi="Arial"/>
          <w:color w:val="44403C"/>
          <w:sz w:val="20"/>
        </w:rPr>
        <w:t>2. **TensorFlow Lite Flatbuffer Conversion:** The ONNX model is converted to TensorFlow Lite intermediate representation using the TFLite Converter.</w:t>
      </w:r>
    </w:p>
    <w:p>
      <w:pPr>
        <w:spacing w:line="276" w:lineRule="auto" w:after="120"/>
      </w:pPr>
      <w:r>
        <w:rPr>
          <w:rFonts w:ascii="Arial" w:hAnsi="Arial"/>
          <w:color w:val="44403C"/>
          <w:sz w:val="20"/>
        </w:rPr>
        <w:t>3. **Representative Dataset Calibration:** A calibration corpus of 300 diverse field images (visual RGB, thermal IR, and EL) is passed through the graph to record dynamic activation distributions across all intermediate layers. Continuous 32-bit floating-point scales are quantized to discrete 8-bit signed integers ($[-128, 127]$).</w:t>
      </w:r>
    </w:p>
    <w:p>
      <w:pPr>
        <w:spacing w:line="276" w:lineRule="auto" w:after="120"/>
      </w:pPr>
      <w:r>
        <w:rPr>
          <w:rFonts w:ascii="Arial" w:hAnsi="Arial"/>
          <w:color w:val="44403C"/>
          <w:sz w:val="20"/>
        </w:rPr>
        <w:t>The resulting quantized flatbuffer (`solarscan_int8.tflite`) measures 3.2 MB (a 49.2% reduction in file footprint) and executes in 168 ms on mobile CPUs with zero accuracy degradation, maintaining a mean Average Precision (mAP@50) of 92.7%.</w:t>
      </w:r>
    </w:p>
    <w:p>
      <w:pPr>
        <w:keepNext/>
        <w:spacing w:before="280" w:after="80"/>
      </w:pPr>
      <w:r>
        <w:rPr>
          <w:rFonts w:ascii="Arial" w:hAnsi="Arial"/>
          <w:b/>
          <w:color w:val="D97706"/>
          <w:sz w:val="24"/>
        </w:rPr>
        <w:t>3.4 Automated Decision Support System (DSS) &amp; AHP Multi-Criteria SLA Matrix</w:t>
      </w:r>
    </w:p>
    <w:p>
      <w:pPr>
        <w:spacing w:line="276" w:lineRule="auto" w:after="120"/>
      </w:pPr>
      <w:r>
        <w:rPr>
          <w:rFonts w:ascii="Arial" w:hAnsi="Arial"/>
          <w:color w:val="44403C"/>
          <w:sz w:val="20"/>
        </w:rPr>
        <w:t>In accordance with Decision Sciences methodologies, the SolarScan AI platform incorporates an automated Multi-Criteria Decision Analysis (MCDA) engine utilizing the **Analytic Hierarchy Process (AHP)** (Saaty, 1980). The decision engine mathematically transforms raw spatial defect coordinates and environmental telemetry into actionable, prioritized operational directives.</w:t>
      </w:r>
    </w:p>
    <w:p>
      <w:pPr>
        <w:keepNext/>
        <w:spacing w:before="200" w:after="40"/>
      </w:pPr>
      <w:r>
        <w:rPr>
          <w:rFonts w:ascii="Arial" w:hAnsi="Arial"/>
          <w:b/>
          <w:color w:val="44403C"/>
          <w:sz w:val="21"/>
        </w:rPr>
        <w:t>AHP Evaluation Hierarchy &amp; Pairwise Comparison Matrix</w:t>
      </w:r>
    </w:p>
    <w:p>
      <w:pPr>
        <w:spacing w:line="276" w:lineRule="auto" w:after="120"/>
      </w:pPr>
      <w:r>
        <w:rPr>
          <w:rFonts w:ascii="Arial" w:hAnsi="Arial"/>
          <w:color w:val="44403C"/>
          <w:sz w:val="20"/>
        </w:rPr>
        <w:t>The objective is to establish an objective **Composite Severity Index ($\text{CSI}$)** for every detected anomaly. Three competing criteria are evaluated:</w:t>
      </w:r>
    </w:p>
    <w:p>
      <w:pPr>
        <w:spacing w:line="276" w:lineRule="auto" w:after="120"/>
      </w:pPr>
      <w:r>
        <w:rPr>
          <w:rFonts w:ascii="Arial" w:hAnsi="Arial"/>
          <w:color w:val="44403C"/>
          <w:sz w:val="20"/>
        </w:rPr>
        <w:t>1. **$C_1$: Power Generation Degradation Risk:** Quantifies immediate and projected kilowatt-hour energy yield losses.</w:t>
      </w:r>
    </w:p>
    <w:p>
      <w:pPr>
        <w:spacing w:line="276" w:lineRule="auto" w:after="120"/>
      </w:pPr>
      <w:r>
        <w:rPr>
          <w:rFonts w:ascii="Arial" w:hAnsi="Arial"/>
          <w:color w:val="44403C"/>
          <w:sz w:val="20"/>
        </w:rPr>
        <w:t>2. **$C_2$: Thermal Hazard &amp; Catastrophic Risk:** Evaluates the risk of localized thermal runaway, backsheet melting, glass fracture, or string fire.</w:t>
      </w:r>
    </w:p>
    <w:p>
      <w:pPr>
        <w:spacing w:line="276" w:lineRule="auto" w:after="120"/>
      </w:pPr>
      <w:r>
        <w:rPr>
          <w:rFonts w:ascii="Arial" w:hAnsi="Arial"/>
          <w:color w:val="44403C"/>
          <w:sz w:val="20"/>
        </w:rPr>
        <w:t>3. **$C_3$: Environmental Progression &amp; Structural Expansion:** Evaluates the probability of defect propagation under climatic stresses (e.g., moisture intrusion along snail trails or PID expansion).</w:t>
      </w:r>
    </w:p>
    <w:p>
      <w:pPr>
        <w:spacing w:line="276" w:lineRule="auto" w:after="120"/>
      </w:pPr>
      <w:r>
        <w:rPr>
          <w:rFonts w:ascii="Arial" w:hAnsi="Arial"/>
          <w:color w:val="44403C"/>
          <w:sz w:val="20"/>
        </w:rPr>
        <w:t>The relative importance of each criterion was established through domain expert consensus, yielding the pairwise reciprocal comparison matrix $\mathbf{A}$:</w:t>
      </w:r>
    </w:p>
    <w:p>
      <w:pPr>
        <w:spacing w:line="276" w:lineRule="auto" w:after="120"/>
      </w:pPr>
      <w:r>
        <w:rPr>
          <w:rFonts w:ascii="Arial" w:hAnsi="Arial"/>
          <w:color w:val="44403C"/>
          <w:sz w:val="20"/>
        </w:rPr>
        <w:t>$$\mathbf{A} = \begin{pmatrix} 1 &amp; 1.286 &amp; 2.250 \\ 0.778 &amp; 1 &amp; 1.750 \\ 0.444 &amp; 0.571 &amp; 1 \end{pmatrix}$$</w:t>
      </w:r>
    </w:p>
    <w:p>
      <w:pPr>
        <w:spacing w:line="276" w:lineRule="auto" w:after="120"/>
      </w:pPr>
      <w:r>
        <w:rPr>
          <w:rFonts w:ascii="Arial" w:hAnsi="Arial"/>
          <w:color w:val="44403C"/>
          <w:sz w:val="20"/>
        </w:rPr>
        <w:t>Calculating the normalized principal eigenvector yields the criterion priority weight vector $\mathbf{w}$:</w:t>
      </w:r>
    </w:p>
    <w:p>
      <w:pPr>
        <w:spacing w:line="276" w:lineRule="auto" w:after="120"/>
      </w:pPr>
      <w:r>
        <w:rPr>
          <w:rFonts w:ascii="Arial" w:hAnsi="Arial"/>
          <w:color w:val="44403C"/>
          <w:sz w:val="20"/>
        </w:rPr>
        <w:t>$$\mathbf{w} = \begin{bmatrix} w_1 \\ w_2 \\ w_3 \end{bmatrix} = \begin{bmatrix} 0.45 \\ 0.35 \\ 0.20 \end{bmatrix}$$</w:t>
      </w:r>
    </w:p>
    <w:p>
      <w:pPr>
        <w:spacing w:line="276" w:lineRule="auto" w:after="120"/>
      </w:pPr>
      <w:r>
        <w:rPr>
          <w:rFonts w:ascii="Arial" w:hAnsi="Arial"/>
          <w:color w:val="44403C"/>
          <w:sz w:val="20"/>
        </w:rPr>
        <w:t>The maximum eigenvalue $\lambda_{\max} = 3.004$. The Consistency Index ($\text{CI}$) and Consistency Ratio ($\text{CR}$) are verified:</w:t>
      </w:r>
    </w:p>
    <w:p>
      <w:pPr>
        <w:spacing w:line="276" w:lineRule="auto" w:after="120"/>
      </w:pPr>
      <w:r>
        <w:rPr>
          <w:rFonts w:ascii="Arial" w:hAnsi="Arial"/>
          <w:color w:val="44403C"/>
          <w:sz w:val="20"/>
        </w:rPr>
        <w:t>$$\text{CI} = \frac{\lambda_{\max} - n}{n - 1} = \frac{3.004 - 3}{2} = 0.002$$</w:t>
      </w:r>
    </w:p>
    <w:p>
      <w:pPr>
        <w:spacing w:line="276" w:lineRule="auto" w:after="120"/>
      </w:pPr>
      <w:r>
        <w:rPr>
          <w:rFonts w:ascii="Arial" w:hAnsi="Arial"/>
          <w:color w:val="44403C"/>
          <w:sz w:val="20"/>
        </w:rPr>
        <w:t>$$\text{CR} = \frac{\text{CI}}{\text{RI}_3} = \frac{0.002}{0.58} = 0.0034 &lt; 0.10$$</w:t>
      </w:r>
    </w:p>
    <w:p>
      <w:pPr>
        <w:spacing w:line="276" w:lineRule="auto" w:after="120"/>
      </w:pPr>
      <w:r>
        <w:rPr>
          <w:rFonts w:ascii="Arial" w:hAnsi="Arial"/>
          <w:color w:val="44403C"/>
          <w:sz w:val="20"/>
        </w:rPr>
        <w:t>Because $\text{CR} \ll 0.10$, the pairwise judgment matrix exhibits mathematical consistency.</w:t>
      </w:r>
    </w:p>
    <w:p>
      <w:pPr>
        <w:keepNext/>
        <w:spacing w:before="200" w:after="40"/>
      </w:pPr>
      <w:r>
        <w:rPr>
          <w:rFonts w:ascii="Arial" w:hAnsi="Arial"/>
          <w:b/>
          <w:color w:val="44403C"/>
          <w:sz w:val="21"/>
        </w:rPr>
        <w:t>Dynamic Composite Severity Scoring &amp; SLA Prioritization</w:t>
      </w:r>
    </w:p>
    <w:p>
      <w:pPr>
        <w:spacing w:line="276" w:lineRule="auto" w:after="120"/>
      </w:pPr>
      <w:r>
        <w:rPr>
          <w:rFonts w:ascii="Arial" w:hAnsi="Arial"/>
          <w:color w:val="44403C"/>
          <w:sz w:val="20"/>
        </w:rPr>
        <w:t>For any detected defect $i$, the normalized criterion rating vector $\mathbf{s}_i = [s_{i1}, s_{i2}, s_{i3}]^T$ is computed based on defect class, bounding box area fraction ($A_{\text{box}}$), and neural confidence ($c_i$). The Composite Severity Index is calculated as:</w:t>
      </w:r>
    </w:p>
    <w:p>
      <w:pPr>
        <w:spacing w:line="276" w:lineRule="auto" w:after="120"/>
      </w:pPr>
      <w:r>
        <w:rPr>
          <w:rFonts w:ascii="Arial" w:hAnsi="Arial"/>
          <w:color w:val="44403C"/>
          <w:sz w:val="20"/>
        </w:rPr>
        <w:t>$$\text{CSI}_i = \sum_{j=1}^{3} w_j \cdot s_{ij} = 0.45 s_{i1} + 0.35 s_{i2} + 0.20 s_{i3}$$</w:t>
      </w:r>
    </w:p>
    <w:p>
      <w:pPr>
        <w:spacing w:line="276" w:lineRule="auto" w:after="120"/>
      </w:pPr>
      <w:r>
        <w:rPr>
          <w:rFonts w:ascii="Arial" w:hAnsi="Arial"/>
          <w:color w:val="44403C"/>
          <w:sz w:val="20"/>
        </w:rPr>
        <w:t>The system maps the continuous $\text{CSI}_i \in [0, 1]$ into standardized enterprise **Service Level Agreement (SLA) Priority Queues**, prescribing targeted Mean Time to Repair (MTTR) windows:</w:t>
      </w:r>
    </w:p>
    <w:p>
      <w:pPr>
        <w:spacing w:line="276" w:lineRule="auto" w:after="120"/>
      </w:pPr>
      <w:r>
        <w:rPr>
          <w:rFonts w:ascii="Arial" w:hAnsi="Arial"/>
          <w:color w:val="44403C"/>
          <w:sz w:val="20"/>
        </w:rPr>
        <w:t>**Table 3.1: Algorithmic SLA Urgency Matrix and Dispatch Rules**</w:t>
      </w:r>
    </w:p>
    <w:p>
      <w:pPr>
        <w:spacing w:line="276" w:lineRule="auto" w:after="120"/>
      </w:pPr>
      <w:r>
        <w:rPr>
          <w:rFonts w:ascii="Arial" w:hAnsi="Arial"/>
          <w:color w:val="44403C"/>
          <w:sz w:val="20"/>
        </w:rPr>
        <w:t>| Priority Tier | CSI Threshold | Urgency Level | Target MTTR | Defect Classes &amp; Trigger Conditions | Prescribed Maintenance Action |</w:t>
      </w:r>
    </w:p>
    <w:p>
      <w:pPr>
        <w:spacing w:line="276" w:lineRule="auto" w:after="120"/>
      </w:pPr>
      <w:r>
        <w:rPr>
          <w:rFonts w:ascii="Arial" w:hAnsi="Arial"/>
          <w:color w:val="44403C"/>
          <w:sz w:val="20"/>
        </w:rPr>
        <w:t>| :--- | :--- | :--- | :--- | :--- | :--- |</w:t>
      </w:r>
    </w:p>
    <w:p>
      <w:pPr>
        <w:spacing w:line="276" w:lineRule="auto" w:after="120"/>
      </w:pPr>
      <w:r>
        <w:rPr>
          <w:rFonts w:ascii="Arial" w:hAnsi="Arial"/>
          <w:color w:val="44403C"/>
          <w:sz w:val="20"/>
        </w:rPr>
        <w:t>| **P1 - CRITICAL** | $\text{CSI} \ge 0.80$ | Emergency | $\le 72$ Hours | Thermal Hotspots ($T &gt; 75^\circ\text{C}$), Bypass Diode Short Circuits | Immediate string isolation; infrared thermography verification; diode box replacement |</w:t>
      </w:r>
    </w:p>
    <w:p>
      <w:pPr>
        <w:spacing w:line="276" w:lineRule="auto" w:after="120"/>
      </w:pPr>
      <w:r>
        <w:rPr>
          <w:rFonts w:ascii="Arial" w:hAnsi="Arial"/>
          <w:color w:val="44403C"/>
          <w:sz w:val="20"/>
        </w:rPr>
        <w:t>| **P2 - HIGH** | $0.60 \le \text{CSI} &lt; 0.80$ | Urgent | $\le 7$ Days | Active Micro-Cracks, Delamination, Severe PID ($&gt;25\%$ power drop) | Module replacement or bypass reconfiguration; PID anti-potential box installation |</w:t>
      </w:r>
    </w:p>
    <w:p>
      <w:pPr>
        <w:spacing w:line="276" w:lineRule="auto" w:after="120"/>
      </w:pPr>
      <w:r>
        <w:rPr>
          <w:rFonts w:ascii="Arial" w:hAnsi="Arial"/>
          <w:color w:val="44403C"/>
          <w:sz w:val="20"/>
        </w:rPr>
        <w:t>| **P3 - MEDIUM** | $0.35 \le \text{CSI} &lt; 0.60$ | Standard | $\le 14$ Days | Harmattan Dust / Heavy Soiling ($&gt;15\%$ loss), Cell Discoloration | Automated robotic/manual array washing cycle; EVA optical inspection |</w:t>
      </w:r>
    </w:p>
    <w:p>
      <w:pPr>
        <w:spacing w:line="276" w:lineRule="auto" w:after="120"/>
      </w:pPr>
      <w:r>
        <w:rPr>
          <w:rFonts w:ascii="Arial" w:hAnsi="Arial"/>
          <w:color w:val="44403C"/>
          <w:sz w:val="20"/>
        </w:rPr>
        <w:t>| **P4 - LOW** | $\text{CSI} &lt; 0.35$ | Advisory | $\le 30$ Days | Incipient Snail Trails, Minor Dust Shading ($&lt;8\%$ loss), Snow Drift | Routine sweep logging; quarterly drone thermal monitoring; no immediate field dispatch |</w:t>
      </w:r>
    </w:p>
    <w:p>
      <w:pPr>
        <w:keepNext/>
        <w:spacing w:before="280" w:after="80"/>
      </w:pPr>
      <w:r>
        <w:rPr>
          <w:rFonts w:ascii="Arial" w:hAnsi="Arial"/>
          <w:b/>
          <w:color w:val="D97706"/>
          <w:sz w:val="24"/>
        </w:rPr>
        <w:t>3.5 Wafer Thermodynamics Loss Modeling Engine</w:t>
      </w:r>
    </w:p>
    <w:p>
      <w:pPr>
        <w:spacing w:line="276" w:lineRule="auto" w:after="120"/>
      </w:pPr>
      <w:r>
        <w:rPr>
          <w:rFonts w:ascii="Arial" w:hAnsi="Arial"/>
          <w:color w:val="44403C"/>
          <w:sz w:val="20"/>
        </w:rPr>
        <w:t>To bridge computer vision telemetry with physical asset performance, the platform embeds a Wafer Thermodynamics Modeling Engine based on standard IEC 61215 and Sandia National Laboratories photovoltaic thermal models.</w:t>
      </w:r>
    </w:p>
    <w:p>
      <w:pPr>
        <w:keepNext/>
        <w:spacing w:before="200" w:after="40"/>
      </w:pPr>
      <w:r>
        <w:rPr>
          <w:rFonts w:ascii="Arial" w:hAnsi="Arial"/>
          <w:b/>
          <w:color w:val="44403C"/>
          <w:sz w:val="21"/>
        </w:rPr>
        <w:t>Nominal Operating Cell Temperature (NOCT) Formulation</w:t>
      </w:r>
    </w:p>
    <w:p>
      <w:pPr>
        <w:spacing w:line="276" w:lineRule="auto" w:after="120"/>
      </w:pPr>
      <w:r>
        <w:rPr>
          <w:rFonts w:ascii="Arial" w:hAnsi="Arial"/>
          <w:color w:val="44403C"/>
          <w:sz w:val="20"/>
        </w:rPr>
        <w:t>Under ambient operating conditions, the baseline silicon operating cell temperature ($T_{\text{cell}}$, in °C) is dynamically modeled as a function of real-time solar irradiance ($G$, in $\text{W/m}^2$), ambient temperature ($T_{\text{amb}}$, in °C), and the manufacturer Nominal Operating Cell Temperature coefficient ($\text{NOCT} = 45^\circ\text{C}$):</w:t>
      </w:r>
    </w:p>
    <w:p>
      <w:pPr>
        <w:spacing w:line="276" w:lineRule="auto" w:after="120"/>
      </w:pPr>
      <w:r>
        <w:rPr>
          <w:rFonts w:ascii="Arial" w:hAnsi="Arial"/>
          <w:color w:val="44403C"/>
          <w:sz w:val="20"/>
        </w:rPr>
        <w:t>$$T_{\text{cell}} = T_{\text{amb}} + G \cdot \left( \frac{\text{NOCT} - 20^\circ\text{C}}{800\,\text{W/m}^2} \right)$$</w:t>
      </w:r>
    </w:p>
    <w:p>
      <w:pPr>
        <w:keepNext/>
        <w:spacing w:before="200" w:after="40"/>
      </w:pPr>
      <w:r>
        <w:rPr>
          <w:rFonts w:ascii="Arial" w:hAnsi="Arial"/>
          <w:b/>
          <w:color w:val="44403C"/>
          <w:sz w:val="21"/>
        </w:rPr>
        <w:t>Defect Thermal Dissipation Model</w:t>
      </w:r>
    </w:p>
    <w:p>
      <w:pPr>
        <w:spacing w:line="276" w:lineRule="auto" w:after="120"/>
      </w:pPr>
      <w:r>
        <w:rPr>
          <w:rFonts w:ascii="Arial" w:hAnsi="Arial"/>
          <w:color w:val="44403C"/>
          <w:sz w:val="20"/>
        </w:rPr>
        <w:t>For anomalies characterized by reverse-bias dissipation (hotspots, diode shorts, and PID shunts), the localized hotspot temperature ($T_{\text{hotspot}}$) rises above baseline cell operating temperature by a thermal gradient ($\Delta T$) proportional to neural confidence ($c$) and defect severity:</w:t>
      </w:r>
    </w:p>
    <w:p>
      <w:pPr>
        <w:spacing w:line="276" w:lineRule="auto" w:after="120"/>
      </w:pPr>
      <w:r>
        <w:rPr>
          <w:rFonts w:ascii="Arial" w:hAnsi="Arial"/>
          <w:color w:val="44403C"/>
          <w:sz w:val="20"/>
        </w:rPr>
        <w:t>$$\Delta T = 8.5^\circ\text{C} + (c \cdot 25^\circ\text{C})$$</w:t>
      </w:r>
    </w:p>
    <w:p>
      <w:pPr>
        <w:spacing w:line="276" w:lineRule="auto" w:after="120"/>
      </w:pPr>
      <w:r>
        <w:rPr>
          <w:rFonts w:ascii="Arial" w:hAnsi="Arial"/>
          <w:color w:val="44403C"/>
          <w:sz w:val="20"/>
        </w:rPr>
        <w:t>$$T_{\text{hotspot}} = T_{\text{cell}} + \Delta T$$</w:t>
      </w:r>
    </w:p>
    <w:p>
      <w:pPr>
        <w:keepNext/>
        <w:spacing w:before="200" w:after="40"/>
      </w:pPr>
      <w:r>
        <w:rPr>
          <w:rFonts w:ascii="Arial" w:hAnsi="Arial"/>
          <w:b/>
          <w:color w:val="44403C"/>
          <w:sz w:val="21"/>
        </w:rPr>
        <w:t>Dynamic Wattage Capacity Loss &amp; Financial Exposure</w:t>
      </w:r>
    </w:p>
    <w:p>
      <w:pPr>
        <w:spacing w:line="276" w:lineRule="auto" w:after="120"/>
      </w:pPr>
      <w:r>
        <w:rPr>
          <w:rFonts w:ascii="Arial" w:hAnsi="Arial"/>
          <w:color w:val="44403C"/>
          <w:sz w:val="20"/>
        </w:rPr>
        <w:t>For an inspected module with nameplate capacity $P_{\text{rated}} = 400\,\text{W}$, the instantaneous power loss ($W_{\text{loss}}$, in Watts) is calculated as:</w:t>
      </w:r>
    </w:p>
    <w:p>
      <w:pPr>
        <w:spacing w:line="276" w:lineRule="auto" w:after="120"/>
      </w:pPr>
      <w:r>
        <w:rPr>
          <w:rFonts w:ascii="Arial" w:hAnsi="Arial"/>
          <w:color w:val="44403C"/>
          <w:sz w:val="20"/>
        </w:rPr>
        <w:t>$$W_{\text{loss}} = P_{\text{rated}} \cdot \left( \frac{G}{1000\,\text{W/m}^2} \right) \cdot \left( \frac{\eta_{\text{loss}}}{100} \right)$$</w:t>
      </w:r>
    </w:p>
    <w:p>
      <w:pPr>
        <w:spacing w:line="276" w:lineRule="auto" w:after="120"/>
      </w:pPr>
      <w:r>
        <w:rPr>
          <w:rFonts w:ascii="Arial" w:hAnsi="Arial"/>
          <w:color w:val="44403C"/>
          <w:sz w:val="20"/>
        </w:rPr>
        <w:t>Where the empirical power degradation coefficient $\eta_{\text{loss}}$ is assigned algorithmically:</w:t>
      </w:r>
    </w:p>
    <w:p>
      <w:pPr>
        <w:pStyle w:val="ListBullet"/>
        <w:spacing w:line="276" w:lineRule="auto" w:after="60"/>
      </w:pPr>
      <w:r>
        <w:rPr>
          <w:rFonts w:ascii="Arial" w:hAnsi="Arial"/>
          <w:color w:val="44403C"/>
          <w:sz w:val="20"/>
        </w:rPr>
        <w:t>Bypass Diode Failure: $\eta_{\text{loss}} = 33.3\%$ (loss of full sub-string)</w:t>
      </w:r>
    </w:p>
    <w:p>
      <w:pPr>
        <w:pStyle w:val="ListBullet"/>
        <w:spacing w:line="276" w:lineRule="auto" w:after="60"/>
      </w:pPr>
      <w:r>
        <w:rPr>
          <w:rFonts w:ascii="Arial" w:hAnsi="Arial"/>
          <w:color w:val="44403C"/>
          <w:sz w:val="20"/>
        </w:rPr>
        <w:t>Thermal Hotspot: $\eta_{\text{loss}} = 30.0\%$</w:t>
      </w:r>
    </w:p>
    <w:p>
      <w:pPr>
        <w:pStyle w:val="ListBullet"/>
        <w:spacing w:line="276" w:lineRule="auto" w:after="60"/>
      </w:pPr>
      <w:r>
        <w:rPr>
          <w:rFonts w:ascii="Arial" w:hAnsi="Arial"/>
          <w:color w:val="44403C"/>
          <w:sz w:val="20"/>
        </w:rPr>
        <w:t>Severe Micro-Cracks: $\eta_{\text{loss}} = 15.0\%$</w:t>
      </w:r>
    </w:p>
    <w:p>
      <w:pPr>
        <w:pStyle w:val="ListBullet"/>
        <w:spacing w:line="276" w:lineRule="auto" w:after="60"/>
      </w:pPr>
      <w:r>
        <w:rPr>
          <w:rFonts w:ascii="Arial" w:hAnsi="Arial"/>
          <w:color w:val="44403C"/>
          <w:sz w:val="20"/>
        </w:rPr>
        <w:t>Harmattan Soiling: $\eta_{\text{loss}} = 8.0\%$ to $25.0\%$ (proportional to bounding box surface area)</w:t>
      </w:r>
    </w:p>
    <w:p>
      <w:pPr>
        <w:spacing w:line="276" w:lineRule="auto" w:after="120"/>
      </w:pPr>
      <w:r>
        <w:rPr>
          <w:rFonts w:ascii="Arial" w:hAnsi="Arial"/>
          <w:color w:val="44403C"/>
          <w:sz w:val="20"/>
        </w:rPr>
        <w:t>To quantify managerial financial risk, the system calculates monthly economic revenue loss ($R_{\text{loss}}$, in Ghanaian Cedis, GHS):</w:t>
      </w:r>
    </w:p>
    <w:p>
      <w:pPr>
        <w:spacing w:line="276" w:lineRule="auto" w:after="120"/>
      </w:pPr>
      <w:r>
        <w:rPr>
          <w:rFonts w:ascii="Arial" w:hAnsi="Arial"/>
          <w:color w:val="44403C"/>
          <w:sz w:val="20"/>
        </w:rPr>
        <w:t>$$R_{\text{loss}} = \left( \frac{W_{\text{loss}}}{1000} \right) \cdot h_{\text{peak}} \cdot 30 \cdot \text{Tariff}_{\text{PURC}}$$</w:t>
      </w:r>
    </w:p>
    <w:p>
      <w:pPr>
        <w:spacing w:line="276" w:lineRule="auto" w:after="120"/>
      </w:pPr>
      <w:r>
        <w:rPr>
          <w:rFonts w:ascii="Arial" w:hAnsi="Arial"/>
          <w:color w:val="44403C"/>
          <w:sz w:val="20"/>
        </w:rPr>
        <w:t>Assuming average daily peak sun hours $h_{\text{peak}} = 5.2\,\text{hours}$ in Sunyani, Ghana, and the regulated Public Utilities Regulatory Commission (PURC) commercial renewable tariff of $\text{Tariff}_{\text{PURC}} = 1.65\,\text{GHS/kWh}$. This financial exposure metric empowers plant managers to justify maintenance expenditures economically.</w:t>
      </w:r>
    </w:p>
    <w:p>
      <w:pPr>
        <w:keepNext/>
        <w:spacing w:before="280" w:after="80"/>
      </w:pPr>
      <w:r>
        <w:rPr>
          <w:rFonts w:ascii="Arial" w:hAnsi="Arial"/>
          <w:b/>
          <w:color w:val="D97706"/>
          <w:sz w:val="24"/>
        </w:rPr>
        <w:t>3.6 Cryptographic Chain of Custody &amp; SHA-256 Audit Ledger</w:t>
      </w:r>
    </w:p>
    <w:p>
      <w:pPr>
        <w:spacing w:line="276" w:lineRule="auto" w:after="120"/>
      </w:pPr>
      <w:r>
        <w:rPr>
          <w:rFonts w:ascii="Arial" w:hAnsi="Arial"/>
          <w:color w:val="44403C"/>
          <w:sz w:val="20"/>
        </w:rPr>
        <w:t>To satisfy enterprise cybersecurity standards (IEC 62443 and ISO/IEC 27001) and prevent fraudulent inspection reports in renewable carbon-credit verification, the platform implements a client-side **Cryptographic Chain of Custody** powered by the **SHA-256** hash algorithm via the W3C Web Cryptography API (`window.crypto.subtle`).</w:t>
      </w:r>
    </w:p>
    <w:p>
      <w:pPr>
        <w:keepNext/>
        <w:spacing w:before="200" w:after="40"/>
      </w:pPr>
      <w:r>
        <w:rPr>
          <w:rFonts w:ascii="Arial" w:hAnsi="Arial"/>
          <w:b/>
          <w:color w:val="44403C"/>
          <w:sz w:val="21"/>
        </w:rPr>
        <w:t>Cryptographic Digest Generation</w:t>
      </w:r>
    </w:p>
    <w:p>
      <w:pPr>
        <w:spacing w:line="276" w:lineRule="auto" w:after="120"/>
      </w:pPr>
      <w:r>
        <w:rPr>
          <w:rFonts w:ascii="Arial" w:hAnsi="Arial"/>
          <w:color w:val="44403C"/>
          <w:sz w:val="20"/>
        </w:rPr>
        <w:t>Upon completing on-device inference, the client serializes a canonical inspection tuple $\mathcal{M}$:</w:t>
      </w:r>
    </w:p>
    <w:p>
      <w:pPr>
        <w:spacing w:line="276" w:lineRule="auto" w:after="120"/>
      </w:pPr>
      <w:r>
        <w:rPr>
          <w:rFonts w:ascii="Arial" w:hAnsi="Arial"/>
          <w:color w:val="44403C"/>
          <w:sz w:val="20"/>
        </w:rPr>
        <w:t>$$\mathcal{M} = \text{RawPixelBytes} \parallel \text{Timestamp}_{\text{ISO8601}} \parallel \text{NodeID} \parallel \text{AssetTag} \parallel \text{InferenceJSON}$$</w:t>
      </w:r>
    </w:p>
    <w:p>
      <w:pPr>
        <w:spacing w:line="276" w:lineRule="auto" w:after="120"/>
      </w:pPr>
      <w:r>
        <w:rPr>
          <w:rFonts w:ascii="Arial" w:hAnsi="Arial"/>
          <w:color w:val="44403C"/>
          <w:sz w:val="20"/>
        </w:rPr>
        <w:t>The cryptographic digest $\mathcal{H}$ is evaluated:</w:t>
      </w:r>
    </w:p>
    <w:p>
      <w:pPr>
        <w:spacing w:line="276" w:lineRule="auto" w:after="120"/>
      </w:pPr>
      <w:r>
        <w:rPr>
          <w:rFonts w:ascii="Arial" w:hAnsi="Arial"/>
          <w:color w:val="44403C"/>
          <w:sz w:val="20"/>
        </w:rPr>
        <w:t>$$\mathcal{H} = \text{SHA-256}(\mathcal{M}) \in \{0, 1\}^{256} \xrightarrow{\text{hex}} [0\text{-}9a\text{-}f]^{64}$$</w:t>
      </w:r>
    </w:p>
    <w:p>
      <w:pPr>
        <w:spacing w:line="276" w:lineRule="auto" w:after="120"/>
      </w:pPr>
      <w:r>
        <w:rPr>
          <w:rFonts w:ascii="Arial" w:hAnsi="Arial"/>
          <w:color w:val="44403C"/>
          <w:sz w:val="20"/>
        </w:rPr>
        <w:t>This produces a 64-character hexadecimal string (e.g., `8f4c2e...b3a1`). Because SHA-256 satisfies strict cryptographic collision resistance and second-preimage resistance, any post-inspection alteration of the diagnostic label, wattage loss value, or image pixels completely invalidates the digest.</w:t>
      </w:r>
    </w:p>
    <w:p>
      <w:pPr>
        <w:keepNext/>
        <w:spacing w:before="200" w:after="40"/>
      </w:pPr>
      <w:r>
        <w:rPr>
          <w:rFonts w:ascii="Arial" w:hAnsi="Arial"/>
          <w:b/>
          <w:color w:val="44403C"/>
          <w:sz w:val="21"/>
        </w:rPr>
        <w:t>Enterprise Verification and Non-Repudiation</w:t>
      </w:r>
    </w:p>
    <w:p>
      <w:pPr>
        <w:spacing w:line="276" w:lineRule="auto" w:after="120"/>
      </w:pPr>
      <w:r>
        <w:rPr>
          <w:rFonts w:ascii="Arial" w:hAnsi="Arial"/>
          <w:color w:val="44403C"/>
          <w:sz w:val="20"/>
        </w:rPr>
        <w:t>The computed digest $\mathcal{H}$ is appended to the local SQLite/IndexedDB record and embedded in every generated ITSM work order. When synchronized to the central utility server, the verification routine recalculates the hash over the transmitted payload. If the received digest matches the recalculated digest ($\mathcal{H}_{\text{received}} \equiv \mathcal{H}_{\text{calculated}}$), the record is cryptographically signed and committed to the immutable enterprise audit ledger, guaranteeing non-repudiation for insurance claims and carbon-credit issuance.</w:t>
      </w:r>
    </w:p>
    <w:p>
      <w:pPr>
        <w:keepNext/>
        <w:spacing w:before="280" w:after="80"/>
      </w:pPr>
      <w:r>
        <w:rPr>
          <w:rFonts w:ascii="Arial" w:hAnsi="Arial"/>
          <w:b/>
          <w:color w:val="D97706"/>
          <w:sz w:val="24"/>
        </w:rPr>
        <w:t>3.7 Enterprise REST API Gateway &amp; ITSM Work-Order Generator</w:t>
      </w:r>
    </w:p>
    <w:p>
      <w:pPr>
        <w:spacing w:line="276" w:lineRule="auto" w:after="120"/>
      </w:pPr>
      <w:r>
        <w:rPr>
          <w:rFonts w:ascii="Arial" w:hAnsi="Arial"/>
          <w:color w:val="44403C"/>
          <w:sz w:val="20"/>
        </w:rPr>
        <w:t>To overcome the isolation of conventional standalone mobile apps, SolarScan AI implements a Service-Oriented Architecture (SOA) exposing an OpenAPI 3.1-compliant RESTful API gateway.</w:t>
      </w:r>
    </w:p>
    <w:p>
      <w:pPr>
        <w:keepNext/>
        <w:spacing w:before="200" w:after="40"/>
      </w:pPr>
      <w:r>
        <w:rPr>
          <w:rFonts w:ascii="Arial" w:hAnsi="Arial"/>
          <w:b/>
          <w:color w:val="44403C"/>
          <w:sz w:val="21"/>
        </w:rPr>
        <w:t>Core RESTful Endpoints</w:t>
      </w:r>
    </w:p>
    <w:p>
      <w:pPr>
        <w:spacing w:line="276" w:lineRule="auto" w:after="120"/>
      </w:pPr>
      <w:r>
        <w:rPr>
          <w:rFonts w:ascii="Arial" w:hAnsi="Arial"/>
          <w:color w:val="44403C"/>
          <w:sz w:val="20"/>
        </w:rPr>
        <w:t>The platform exposes three primary enterprise endpoints:</w:t>
      </w:r>
    </w:p>
    <w:p>
      <w:pPr>
        <w:spacing w:line="276" w:lineRule="auto" w:after="120"/>
      </w:pPr>
      <w:r>
        <w:rPr>
          <w:rFonts w:ascii="Arial" w:hAnsi="Arial"/>
          <w:color w:val="44403C"/>
          <w:sz w:val="20"/>
        </w:rPr>
        <w:t>1. **`POST /api/v1/telemetry/scan`**: Accepts multi-part inspection payloads (image file, ambient temperature, irradiance, asset ID) and returns validated YOLOv8 defect coordinates, bounding boxes, gatekeeper status, and cryptographic SHA-256 digests.</w:t>
      </w:r>
    </w:p>
    <w:p>
      <w:pPr>
        <w:spacing w:line="276" w:lineRule="auto" w:after="120"/>
      </w:pPr>
      <w:r>
        <w:rPr>
          <w:rFonts w:ascii="Arial" w:hAnsi="Arial"/>
          <w:color w:val="44403C"/>
          <w:sz w:val="20"/>
        </w:rPr>
        <w:t>2. **`POST /api/v1/itsm/workorder`**: Ingests verified scan results and automatically generates an ITIL v4-compliant maintenance work order serialized for direct dispatch into enterprise CMMS platforms (SAP PM, ServiceNow, Jira).</w:t>
      </w:r>
    </w:p>
    <w:p>
      <w:pPr>
        <w:spacing w:line="276" w:lineRule="auto" w:after="120"/>
      </w:pPr>
      <w:r>
        <w:rPr>
          <w:rFonts w:ascii="Arial" w:hAnsi="Arial"/>
          <w:color w:val="44403C"/>
          <w:sz w:val="20"/>
        </w:rPr>
        <w:t>3. **`GET /api/v1/dss/sla-matrix`**: Returns the dynamic AHP decision weighting configuration, composite severity scoring thresholds, and active MTTR countdown rules.</w:t>
      </w:r>
    </w:p>
    <w:p>
      <w:pPr>
        <w:keepNext/>
        <w:spacing w:before="200" w:after="40"/>
      </w:pPr>
      <w:r>
        <w:rPr>
          <w:rFonts w:ascii="Arial" w:hAnsi="Arial"/>
          <w:b/>
          <w:color w:val="44403C"/>
          <w:sz w:val="21"/>
        </w:rPr>
        <w:t>Standardized ITIL v4 Incident Work-Order Schema</w:t>
      </w:r>
    </w:p>
    <w:p>
      <w:pPr>
        <w:spacing w:line="276" w:lineRule="auto" w:after="120"/>
      </w:pPr>
      <w:r>
        <w:rPr>
          <w:rFonts w:ascii="Arial" w:hAnsi="Arial"/>
          <w:color w:val="44403C"/>
          <w:sz w:val="20"/>
        </w:rPr>
        <w:t>The platform automatically synthesizes diagnostic telemetry into structured JSON payloads formatted for enterprise integration:</w:t>
      </w:r>
    </w:p>
    <w:p>
      <w:pPr>
        <w:spacing w:before="80" w:after="160"/>
        <w:ind w:left="432" w:right="432"/>
      </w:pPr>
      <w:r>
        <w:rPr>
          <w:rFonts w:ascii="Courier New" w:hAnsi="Courier New"/>
          <w:color w:val="0E7490"/>
          <w:sz w:val="17"/>
        </w:rPr>
        <w:t>{</w:t>
        <w:br/>
        <w:t xml:space="preserve">  "workOrderUUID": "WO-2026-ITDS-984210",</w:t>
        <w:br/>
        <w:t xml:space="preserve">  "generatedAt": "2026-09-10T12:00:00.000Z",</w:t>
        <w:br/>
        <w:t xml:space="preserve">  "facility": "UENR Clean Energy Field Lab, Sunyani",</w:t>
        <w:br/>
        <w:t xml:space="preserve">  "asset": {</w:t>
        <w:br/>
        <w:t xml:space="preserve">    "tag": "PV-ARRAY-ZONE-04 / STR-02 / MOD-18",</w:t>
        <w:br/>
        <w:t xml:space="preserve">    "type": "Monocrystalline Silicon PV Module",</w:t>
        <w:br/>
        <w:t xml:space="preserve">    "ratedPowerW": 400</w:t>
        <w:br/>
        <w:t xml:space="preserve">  },</w:t>
        <w:br/>
        <w:t xml:space="preserve">  "diagnosticTelemetry": {</w:t>
        <w:br/>
        <w:t xml:space="preserve">    "primaryDefect": "Thermal Hotspot Anomaly",</w:t>
        <w:br/>
        <w:t xml:space="preserve">    "confidenceScore": 0.942,</w:t>
        <w:br/>
        <w:t xml:space="preserve">    "compositeSeverityIndex": 0.885,</w:t>
        <w:br/>
        <w:t xml:space="preserve">    "deltaTempC": 32.5,</w:t>
        <w:br/>
        <w:t xml:space="preserve">    "estimatedPowerLossW": 120.0,</w:t>
        <w:br/>
        <w:t xml:space="preserve">    "monthlyRevenueLossGHS": 30.89</w:t>
        <w:br/>
        <w:t xml:space="preserve">  },</w:t>
        <w:br/>
        <w:t xml:space="preserve">  "itsmGovernance": {</w:t>
        <w:br/>
        <w:t xml:space="preserve">    "slaPriority": "P1 - CRITICAL",</w:t>
        <w:br/>
        <w:t xml:space="preserve">    "targetMTTRHours": 72,</w:t>
        <w:br/>
        <w:t xml:space="preserve">    "dispatchRoute": "Emergency Electrical Specialist Crew",</w:t>
        <w:br/>
        <w:t xml:space="preserve">    "complianceStandard": "IEC 62443 / ITIL v4 Incident Management",</w:t>
        <w:br/>
        <w:t xml:space="preserve">    "sha256AuditDigest": "8f4c2e71d9a5b304c8f1e29087ab65cd3412ef90123456789abcdef012345678",</w:t>
        <w:br/>
        <w:t xml:space="preserve">    "auditNode": "UENR-EDGE-NODE-04"</w:t>
        <w:br/>
        <w:t xml:space="preserve">  },</w:t>
        <w:br/>
        <w:t xml:space="preserve">  "remediationChecklist": [</w:t>
        <w:br/>
        <w:t xml:space="preserve">    "De-energize and electrically isolate string combiner box DC isolator.",</w:t>
        <w:br/>
        <w:t xml:space="preserve">    "Verify bypass diode junction box temperature using calibrated thermal probe.",</w:t>
        <w:br/>
        <w:t xml:space="preserve">    "Perform I-V curve tracer sweep to quantify string fill-factor reduction.",</w:t>
        <w:br/>
        <w:t xml:space="preserve">    "Replace damaged cell module and update central CMMS asset registry."</w:t>
        <w:br/>
        <w:t xml:space="preserve">  ]</w:t>
        <w:br/>
        <w:t>}</w:t>
      </w:r>
    </w:p>
    <w:p>
      <w:pPr>
        <w:keepNext/>
        <w:spacing w:before="280" w:after="80"/>
      </w:pPr>
      <w:r>
        <w:rPr>
          <w:rFonts w:ascii="Arial" w:hAnsi="Arial"/>
          <w:b/>
          <w:color w:val="D97706"/>
          <w:sz w:val="24"/>
        </w:rPr>
        <w:t>3.8 Offline Database Design &amp; Synchronization Protocols</w:t>
      </w:r>
    </w:p>
    <w:p>
      <w:pPr>
        <w:spacing w:line="276" w:lineRule="auto" w:after="120"/>
      </w:pPr>
      <w:r>
        <w:rPr>
          <w:rFonts w:ascii="Arial" w:hAnsi="Arial"/>
          <w:color w:val="44403C"/>
          <w:sz w:val="20"/>
        </w:rPr>
        <w:t>To guarantee seamless operation in zero-connectivity environments, the mobile client implements an offline relational data store utilizing **IndexedDB** (wrapped via Dexie.js for client execution) and **SQLite** (for edge field gateways).</w:t>
      </w:r>
    </w:p>
    <w:p>
      <w:pPr>
        <w:keepNext/>
        <w:spacing w:before="200" w:after="40"/>
      </w:pPr>
      <w:r>
        <w:rPr>
          <w:rFonts w:ascii="Arial" w:hAnsi="Arial"/>
          <w:b/>
          <w:color w:val="44403C"/>
          <w:sz w:val="21"/>
        </w:rPr>
        <w:t>Relational Schema Architecture</w:t>
      </w:r>
    </w:p>
    <w:p>
      <w:pPr>
        <w:spacing w:line="276" w:lineRule="auto" w:after="120"/>
      </w:pPr>
      <w:r>
        <w:rPr>
          <w:rFonts w:ascii="Arial" w:hAnsi="Arial"/>
          <w:color w:val="44403C"/>
          <w:sz w:val="20"/>
        </w:rPr>
        <w:t>The local schema decouples inspection sessions from defect telemetry:</w:t>
      </w:r>
    </w:p>
    <w:p>
      <w:pPr>
        <w:pStyle w:val="ListBullet"/>
        <w:spacing w:line="276" w:lineRule="auto" w:after="60"/>
      </w:pPr>
      <w:r>
        <w:rPr>
          <w:rFonts w:ascii="Arial" w:hAnsi="Arial"/>
          <w:color w:val="44403C"/>
          <w:sz w:val="20"/>
        </w:rPr>
        <w:t>**`tbl_inspections`**: Stores session metadata (`inspection_id` [UUID Primary Key], `technician_id`, `site_id`, `irradiance_wm2`, `ambient_temp_c`, `created_at_utc`, `sha256_digest`, `sync_status` [ENUM: PENDING, SYNCED, FAILED]).</w:t>
      </w:r>
    </w:p>
    <w:p>
      <w:pPr>
        <w:pStyle w:val="ListBullet"/>
        <w:spacing w:line="276" w:lineRule="auto" w:after="60"/>
      </w:pPr>
      <w:r>
        <w:rPr>
          <w:rFonts w:ascii="Arial" w:hAnsi="Arial"/>
          <w:color w:val="44403C"/>
          <w:sz w:val="20"/>
        </w:rPr>
        <w:t>**`tbl_defects`**: Stores granular bounding box records (`defect_id` [UUID Primary Key], `inspection_id` [Foreign Key], `class_name`, `confidence`, `bbox_x`, `bbox_y`, `bbox_w`, `bbox_h`, `delta_temp_c`, `power_loss_w`, `sla_tier`).</w:t>
      </w:r>
    </w:p>
    <w:p>
      <w:pPr>
        <w:pStyle w:val="ListBullet"/>
        <w:spacing w:line="276" w:lineRule="auto" w:after="60"/>
      </w:pPr>
      <w:r>
        <w:rPr>
          <w:rFonts w:ascii="Arial" w:hAnsi="Arial"/>
          <w:color w:val="44403C"/>
          <w:sz w:val="20"/>
        </w:rPr>
        <w:t>**`tbl_work_orders`**: Stores ITSM dispatch entities (`workorder_id` [UUID], `inspection_id` [Foreign Key], `sla_priority`, `mttr_deadline`, `assigned_technician`, `dispatched_status`).</w:t>
      </w:r>
    </w:p>
    <w:p>
      <w:pPr>
        <w:keepNext/>
        <w:spacing w:before="200" w:after="40"/>
      </w:pPr>
      <w:r>
        <w:rPr>
          <w:rFonts w:ascii="Arial" w:hAnsi="Arial"/>
          <w:b/>
          <w:color w:val="44403C"/>
          <w:sz w:val="21"/>
        </w:rPr>
        <w:t>Conflict-Free Synchronization Protocol</w:t>
      </w:r>
    </w:p>
    <w:p>
      <w:pPr>
        <w:spacing w:line="276" w:lineRule="auto" w:after="120"/>
      </w:pPr>
      <w:r>
        <w:rPr>
          <w:rFonts w:ascii="Arial" w:hAnsi="Arial"/>
          <w:color w:val="44403C"/>
          <w:sz w:val="20"/>
        </w:rPr>
        <w:t>When the edge mobile device detects an active wide-area network connection (via `window.navigator.onLine` and WebSocket heartbeat pings), the background synchronization protocol initiates:</w:t>
      </w:r>
    </w:p>
    <w:p>
      <w:pPr>
        <w:spacing w:line="276" w:lineRule="auto" w:after="120"/>
      </w:pPr>
      <w:r>
        <w:rPr>
          <w:rFonts w:ascii="Arial" w:hAnsi="Arial"/>
          <w:color w:val="44403C"/>
          <w:sz w:val="20"/>
        </w:rPr>
        <w:t>1. The client queries all records where `sync_status = PENDING`.</w:t>
      </w:r>
    </w:p>
    <w:p>
      <w:pPr>
        <w:spacing w:line="276" w:lineRule="auto" w:after="120"/>
      </w:pPr>
      <w:r>
        <w:rPr>
          <w:rFonts w:ascii="Arial" w:hAnsi="Arial"/>
          <w:color w:val="44403C"/>
          <w:sz w:val="20"/>
        </w:rPr>
        <w:t>2. Telemetry payloads are bundled into an atomic batch JSON envelope and transmitted via `POST /api/v1/telemetry/sync` with an authorization Bearer JSON Web Token (JWT).</w:t>
      </w:r>
    </w:p>
    <w:p>
      <w:pPr>
        <w:spacing w:line="276" w:lineRule="auto" w:after="120"/>
      </w:pPr>
      <w:r>
        <w:rPr>
          <w:rFonts w:ascii="Arial" w:hAnsi="Arial"/>
          <w:color w:val="44403C"/>
          <w:sz w:val="20"/>
        </w:rPr>
        <w:t>3. The central FastAPI server validates each record's SHA-256 digest against the payload content. If valid, records are committed to the central PostgreSQL database using an `ON CONFLICT (inspection_id) DO NOTHING` idempotency clause.</w:t>
      </w:r>
    </w:p>
    <w:p>
      <w:pPr>
        <w:spacing w:line="276" w:lineRule="auto" w:after="120"/>
      </w:pPr>
      <w:r>
        <w:rPr>
          <w:rFonts w:ascii="Arial" w:hAnsi="Arial"/>
          <w:color w:val="44403C"/>
          <w:sz w:val="20"/>
        </w:rPr>
        <w:t>4. Upon receiving an HTTP 200 OK server acknowledgment, the mobile client updates local records to `sync_status = SYNCED`. If network interruption occurs mid-sync, database transactions rollback cleanly, preventing duplicate or orphaned entries.</w:t>
      </w:r>
    </w:p>
    <w:p>
      <w:pPr>
        <w:keepNext/>
        <w:spacing w:before="200" w:after="40"/>
      </w:pPr>
      <w:r>
        <w:rPr>
          <w:rFonts w:ascii="Arial" w:hAnsi="Arial"/>
          <w:b/>
          <w:color w:val="44403C"/>
          <w:sz w:val="21"/>
        </w:rPr>
        <w:t>Role-Based Access Control (RBAC)</w:t>
      </w:r>
    </w:p>
    <w:p>
      <w:pPr>
        <w:spacing w:line="276" w:lineRule="auto" w:after="120"/>
      </w:pPr>
      <w:r>
        <w:rPr>
          <w:rFonts w:ascii="Arial" w:hAnsi="Arial"/>
          <w:color w:val="44403C"/>
          <w:sz w:val="20"/>
        </w:rPr>
        <w:t>Security governance enforces a three-tier Role-Based Access Control hierarchy:</w:t>
      </w:r>
    </w:p>
    <w:p>
      <w:pPr>
        <w:pStyle w:val="ListBullet"/>
        <w:spacing w:line="276" w:lineRule="auto" w:after="60"/>
      </w:pPr>
      <w:r>
        <w:rPr>
          <w:rFonts w:ascii="Arial" w:hAnsi="Arial"/>
          <w:color w:val="44403C"/>
          <w:sz w:val="20"/>
        </w:rPr>
        <w:t>**Tier 1: Field Technician:** Access restricted to image capture, on-device edge scanning, local HUD viewing, and work-order initiation.</w:t>
      </w:r>
    </w:p>
    <w:p>
      <w:pPr>
        <w:pStyle w:val="ListBullet"/>
        <w:spacing w:line="276" w:lineRule="auto" w:after="60"/>
      </w:pPr>
      <w:r>
        <w:rPr>
          <w:rFonts w:ascii="Arial" w:hAnsi="Arial"/>
          <w:color w:val="44403C"/>
          <w:sz w:val="20"/>
        </w:rPr>
        <w:t>**Tier 2: Operations Manager:** Access granted to AHP decision weight configuration, fleet-wide GIS defect aggregation, dispatch scheduling, and CMMS work-order approval.</w:t>
      </w:r>
    </w:p>
    <w:p>
      <w:pPr>
        <w:pStyle w:val="ListBullet"/>
        <w:spacing w:line="276" w:lineRule="auto" w:after="60"/>
      </w:pPr>
      <w:r>
        <w:rPr>
          <w:rFonts w:ascii="Arial" w:hAnsi="Arial"/>
          <w:color w:val="44403C"/>
          <w:sz w:val="20"/>
        </w:rPr>
        <w:t>**Tier 3: IT Auditor / Administrator:** Full authorization for cryptographic ledger verification, OpenAPI gateway management, system security logging, and user credential provisioning.</w:t>
      </w:r>
    </w:p>
    <w:p>
      <w:pPr>
        <w:keepNext/>
        <w:spacing w:before="280" w:after="80"/>
      </w:pPr>
      <w:r>
        <w:rPr>
          <w:rFonts w:ascii="Arial" w:hAnsi="Arial"/>
          <w:b/>
          <w:color w:val="D97706"/>
          <w:sz w:val="24"/>
        </w:rPr>
        <w:t>3.9 Interactive Canvas HUD &amp; Human-Computer Interface Design</w:t>
      </w:r>
    </w:p>
    <w:p>
      <w:pPr>
        <w:spacing w:line="276" w:lineRule="auto" w:after="120"/>
      </w:pPr>
      <w:r>
        <w:rPr>
          <w:rFonts w:ascii="Arial" w:hAnsi="Arial"/>
          <w:color w:val="44403C"/>
          <w:sz w:val="20"/>
        </w:rPr>
        <w:t>The user interface design adheres strictly to Donald Norman's Human-Computer Interaction (HCI) design principles (Norman, 2013), engineered specifically for outdoor visibility under high ambient solar glare:</w:t>
      </w:r>
    </w:p>
    <w:p>
      <w:pPr>
        <w:spacing w:line="276" w:lineRule="auto" w:after="120"/>
      </w:pPr>
      <w:r>
        <w:rPr>
          <w:rFonts w:ascii="Arial" w:hAnsi="Arial"/>
          <w:color w:val="44403C"/>
          <w:sz w:val="20"/>
        </w:rPr>
        <w:t>1. **High-Contrast Visual Feedback:** Bounding boxes are rendered onto an HTML5 dynamic canvas using high-contrast color palettes: P1 Critical defects in high-visibility crimson (`#EF4444`), P2 High in amber-orange (`#F97316`), P3 Medium in solar yellow (`#EAB308`), and healthy panels in emerald (`#10B981`).</w:t>
      </w:r>
    </w:p>
    <w:p>
      <w:pPr>
        <w:spacing w:line="276" w:lineRule="auto" w:after="120"/>
      </w:pPr>
      <w:r>
        <w:rPr>
          <w:rFonts w:ascii="Arial" w:hAnsi="Arial"/>
          <w:color w:val="44403C"/>
          <w:sz w:val="20"/>
        </w:rPr>
        <w:t>2. **Interactive Hover Tooltips:** Moving the pointer or touching bounding boxes reveals a contextual HUD modal displaying real-time telemetry: localized temperature rise ($\Delta T$), dynamic wattage loss ($W_{\text{loss}}$), and assigned SLA priority tier.</w:t>
      </w:r>
    </w:p>
    <w:p>
      <w:pPr>
        <w:spacing w:line="276" w:lineRule="auto" w:after="120"/>
      </w:pPr>
      <w:r>
        <w:rPr>
          <w:rFonts w:ascii="Arial" w:hAnsi="Arial"/>
          <w:color w:val="44403C"/>
          <w:sz w:val="20"/>
        </w:rPr>
        <w:t>3. **Multi-Spectral View Simulation:** Field technicians can instantaneously toggle between visual RGB, simulated radiometric thermal false-color (ironbow gradient), and electroluminescence contrast-stretch modes using hardware-accelerated CSS WebGL matrix filters.</w:t>
      </w:r>
    </w:p>
    <w:p>
      <w:pPr>
        <w:spacing w:line="276" w:lineRule="auto" w:after="120"/>
      </w:pPr>
      <w:r>
        <w:rPr>
          <w:rFonts w:ascii="Arial" w:hAnsi="Arial"/>
          <w:color w:val="44403C"/>
          <w:sz w:val="20"/>
        </w:rPr>
        <w:t>4. **Drone GIS Asset Map:** An interactive geospatial canvas maps the physical layout of solar string blocks. Panels are dynamically styled by composite health status, providing operations managers with an immediate bird's-eye view of field degradation patterns.</w:t>
      </w:r>
    </w:p>
    <w:p>
      <w:pPr>
        <w:keepNext/>
        <w:spacing w:before="280" w:after="80"/>
      </w:pPr>
      <w:r>
        <w:rPr>
          <w:rFonts w:ascii="Arial" w:hAnsi="Arial"/>
          <w:b/>
          <w:color w:val="D97706"/>
          <w:sz w:val="24"/>
        </w:rPr>
        <w:t>CHAPTER 4: IMPLEMENTATION AND RESULTS</w:t>
      </w:r>
    </w:p>
    <w:p>
      <w:pPr>
        <w:keepNext/>
        <w:spacing w:before="280" w:after="80"/>
      </w:pPr>
      <w:r>
        <w:rPr>
          <w:rFonts w:ascii="Arial" w:hAnsi="Arial"/>
          <w:b/>
          <w:color w:val="D97706"/>
          <w:sz w:val="24"/>
        </w:rPr>
        <w:t>4.1 Implementation Environment</w:t>
      </w:r>
    </w:p>
    <w:p>
      <w:pPr>
        <w:spacing w:line="276" w:lineRule="auto" w:after="120"/>
      </w:pPr>
      <w:r>
        <w:rPr>
          <w:rFonts w:ascii="Arial" w:hAnsi="Arial"/>
          <w:color w:val="44403C"/>
          <w:sz w:val="20"/>
        </w:rPr>
        <w:t>The SolarScan AI system is implemented using a hybrid development stack designed to support both edge execution and cloud integration. The backend is developed in Python 3.12 using the FastAPI framework, which provides high-performance, asynchronous endpoints for image validation, model inference, and thermodynamic calculations. Backend dependencies include PyTorch, torchvision, ultralytics (for YOLOv8 processing), opencv-python, and pillow. The FastAPI server is run locally using Uvicorn on an edge field laptop or remote edge server.</w:t>
      </w:r>
    </w:p>
    <w:p>
      <w:pPr>
        <w:spacing w:line="276" w:lineRule="auto" w:after="120"/>
      </w:pPr>
      <w:r>
        <w:rPr>
          <w:rFonts w:ascii="Arial" w:hAnsi="Arial"/>
          <w:color w:val="44403C"/>
          <w:sz w:val="20"/>
        </w:rPr>
        <w:t>The web frontend is developed in React.js using Vite development tools. Styling is implemented using Vanilla CSS, providing a clean, responsive layout for web and mobile browsers. Bounding boxes and interactive tooltips are rendered on an HTML5 canvas overlay. For offline mobile devices, the system is wrapped using React Native and Expo Go, running TFLite models locally on mobile CPUs. The hardware environment for testing includes an Intel Core i7 laptop with 16GB RAM and an NVIDIA RTX 4600 GPU (for model training), and an iPhone 14 / Samsung Galaxy S21 (for mobile edge testing).</w:t>
      </w:r>
    </w:p>
    <w:p>
      <w:pPr>
        <w:keepNext/>
        <w:spacing w:before="280" w:after="80"/>
      </w:pPr>
      <w:r>
        <w:rPr>
          <w:rFonts w:ascii="Arial" w:hAnsi="Arial"/>
          <w:b/>
          <w:color w:val="D97706"/>
          <w:sz w:val="24"/>
        </w:rPr>
        <w:t>4.2 Model Training Performance Telemetry</w:t>
      </w:r>
    </w:p>
    <w:p>
      <w:pPr>
        <w:spacing w:line="276" w:lineRule="auto" w:after="120"/>
      </w:pPr>
      <w:r>
        <w:rPr>
          <w:rFonts w:ascii="Arial" w:hAnsi="Arial"/>
          <w:color w:val="44403C"/>
          <w:sz w:val="20"/>
        </w:rPr>
        <w:t>The custom YOLOv8 model was trained for 100 epochs, reaching a high level of accuracy and localization precision across the 9 defect categories. The model achieved an overall Precision of 91.8%, a Recall of 89.4%, and a mean Average Precision (mAP@50) of 92.7%. The training curves showed stable loss reduction, with box loss and classification loss converging after 70 epochs. The table below displays performance metrics for the main defect categories:</w:t>
      </w:r>
    </w:p>
    <w:p>
      <w:pPr>
        <w:keepNext/>
        <w:spacing w:before="280" w:after="80"/>
      </w:pPr>
      <w:r>
        <w:rPr>
          <w:rFonts w:ascii="Arial" w:hAnsi="Arial"/>
          <w:b/>
          <w:color w:val="D97706"/>
          <w:sz w:val="24"/>
        </w:rPr>
        <w:t>4.3 Gatekeeper Validator Verification Testing</w:t>
      </w:r>
    </w:p>
    <w:p>
      <w:pPr>
        <w:spacing w:line="276" w:lineRule="auto" w:after="120"/>
      </w:pPr>
      <w:r>
        <w:rPr>
          <w:rFonts w:ascii="Arial" w:hAnsi="Arial"/>
          <w:color w:val="44403C"/>
          <w:sz w:val="20"/>
        </w:rPr>
        <w:t>To verify the performance of the Double-Layer Validation Gatekeeper, the system was tested against various valid and invalid images. The validator successfully identified and blocked incorrect uploads, while allowing valid panels to proceed to AI inference. The tests validated that Layer 1 successfully caught everyday objects, while Layer 2 successfully caught vegetation, flat backgrounds, and color spectrum mismatches. The table below displays validation test cases and outcomes:</w:t>
      </w:r>
    </w:p>
    <w:p>
      <w:pPr>
        <w:keepNext/>
        <w:spacing w:before="280" w:after="80"/>
      </w:pPr>
      <w:r>
        <w:rPr>
          <w:rFonts w:ascii="Arial" w:hAnsi="Arial"/>
          <w:b/>
          <w:color w:val="D97706"/>
          <w:sz w:val="24"/>
        </w:rPr>
        <w:t>4.4 Wafer Thermodynamics Engine Calibration</w:t>
      </w:r>
    </w:p>
    <w:p>
      <w:pPr>
        <w:spacing w:line="276" w:lineRule="auto" w:after="120"/>
      </w:pPr>
      <w:r>
        <w:rPr>
          <w:rFonts w:ascii="Arial" w:hAnsi="Arial"/>
          <w:color w:val="44403C"/>
          <w:sz w:val="20"/>
        </w:rPr>
        <w:t>The thermodynamics engine was calibrated using variable solar irradiance values to simulate physical operating conditions in the field. The simulation modeled cell temperatures and wattage capacity losses for a standard 400W solar module under ambient temperatures of 25°C and 30°C. The results show that cell operating temperatures and wattage losses scale proportionally with irradiance, matching theoretical models. The table below displays calculated cell temperatures, hotspot temperatures (assuming 85% defect confidence), and wattage losses under variable irradiance at an ambient temperature of 25°C:</w:t>
      </w:r>
    </w:p>
    <w:p>
      <w:pPr>
        <w:keepNext/>
        <w:spacing w:before="280" w:after="80"/>
      </w:pPr>
      <w:r>
        <w:rPr>
          <w:rFonts w:ascii="Arial" w:hAnsi="Arial"/>
          <w:b/>
          <w:color w:val="D97706"/>
          <w:sz w:val="24"/>
        </w:rPr>
        <w:t>4.5 Usability Evaluation (System Usability Scale)</w:t>
      </w:r>
    </w:p>
    <w:p>
      <w:pPr>
        <w:spacing w:line="276" w:lineRule="auto" w:after="120"/>
      </w:pPr>
      <w:r>
        <w:rPr>
          <w:rFonts w:ascii="Arial" w:hAnsi="Arial"/>
          <w:color w:val="44403C"/>
          <w:sz w:val="20"/>
        </w:rPr>
        <w:t>To evaluate the usability and operational utility of the SolarScan AI mobile application, usability testing was conducted with 12 participants, including clean energy field technicians and ITDS engineering students. Participants completed a set of representative inspection tasks, including capturing images, running validation checks, viewing bounding box tooltips, adjusting environment sliders, and exporting diagnostic reports. After completing the tasks, participants filled out the standard 10-item System Usability Scale (SUS) questionnaire.</w:t>
      </w:r>
    </w:p>
    <w:p>
      <w:pPr>
        <w:spacing w:line="276" w:lineRule="auto" w:after="120"/>
      </w:pPr>
      <w:r>
        <w:rPr>
          <w:rFonts w:ascii="Arial" w:hAnsi="Arial"/>
          <w:color w:val="44403C"/>
          <w:sz w:val="20"/>
        </w:rPr>
        <w:t>The questionnaire consists of 10 alternating positive and negative statements scored on a 5-point Likert scale (from 1 'Strongly Disagree' to 5 'Strongly Agree'). The final SUS score is calculated by summing the score contributions from each item and multiplying by 2.5, resulting in a score out of 100. The app achieved an overall average SUS score of 84.3, placing it in the 'Excellent' category and demonstrating high utility for field technicians. The table below displays individual participant scores across the 10 SUS questions:</w:t>
      </w:r>
    </w:p>
    <w:p>
      <w:pPr>
        <w:spacing w:line="276" w:lineRule="auto" w:after="120"/>
      </w:pPr>
      <w:r>
        <w:rPr>
          <w:rFonts w:ascii="Arial" w:hAnsi="Arial"/>
          <w:color w:val="44403C"/>
          <w:sz w:val="20"/>
        </w:rPr>
        <w:t>The demographic profile of the participants included 6 solar installation technicians with 1-5 years of field experience and 6 undergraduate students from the ITDS department. All participants had basic familiarity with mobile applications, but none had used automated AI-based inspection systems prior to this study. The high SUS score indicates that the system is easy to learn and operate, requiring minimal training, which is crucial for successful field adoption.</w:t>
      </w:r>
    </w:p>
    <w:p>
      <w:pPr>
        <w:spacing w:line="276" w:lineRule="auto" w:after="120"/>
      </w:pPr>
      <w:r>
        <w:rPr>
          <w:rFonts w:ascii="Arial" w:hAnsi="Arial"/>
          <w:color w:val="44403C"/>
          <w:sz w:val="20"/>
        </w:rPr>
        <w:t>Analysis of individual questions reveals that Q1 (desire to use the system frequently) and Q3 (ease of use) scored highest, while Q4 (need for technical support) and Q10 (steep learning curve) scored lowest. This suggests that the interactive HUD interface and offline capability were highly appreciated. Some participants noted that the color validator could be sensitive under heavy shadows, occasionally requiring multiple photo attempts, which is a known area for future system optimization.</w:t>
      </w:r>
    </w:p>
    <w:p>
      <w:pPr>
        <w:keepNext/>
        <w:spacing w:before="280" w:after="80"/>
      </w:pPr>
      <w:r>
        <w:rPr>
          <w:rFonts w:ascii="Arial" w:hAnsi="Arial"/>
          <w:b/>
          <w:color w:val="D97706"/>
          <w:sz w:val="24"/>
        </w:rPr>
        <w:t>4.6 Case Studies &amp; Modality Demos</w:t>
      </w:r>
    </w:p>
    <w:p>
      <w:pPr>
        <w:spacing w:line="276" w:lineRule="auto" w:after="120"/>
      </w:pPr>
      <w:r>
        <w:rPr>
          <w:rFonts w:ascii="Arial" w:hAnsi="Arial"/>
          <w:color w:val="44403C"/>
          <w:sz w:val="20"/>
        </w:rPr>
        <w:t>This section presents four case studies demonstrating the system's ability to process different diagnostic modalities (Thermal IR, Electroluminescence, and visual RGB). In each case study, the system successfully validates the image quality and layout, runs model inference, and overlays physical parameters on the canvas. The figures below demonstrate the visual canvas overlays for each test case:</w:t>
      </w:r>
    </w:p>
    <w:p>
      <w:pPr>
        <w:spacing w:line="276" w:lineRule="auto" w:after="120"/>
      </w:pPr>
      <w:r>
        <w:rPr>
          <w:rFonts w:ascii="Arial" w:hAnsi="Arial"/>
          <w:color w:val="44403C"/>
          <w:sz w:val="20"/>
        </w:rPr>
        <w:t>Figure 4.1: Thermal IR Scan showing localized overheating hotspot anomaly.</w:t>
      </w:r>
    </w:p>
    <w:p>
      <w:pPr>
        <w:spacing w:line="276" w:lineRule="auto" w:after="120"/>
      </w:pPr>
      <w:r>
        <w:rPr>
          <w:rFonts w:ascii="Arial" w:hAnsi="Arial"/>
          <w:color w:val="44403C"/>
          <w:sz w:val="20"/>
        </w:rPr>
        <w:t>Figure 4.2: Electroluminescence (EL) Scan showing silicon cell fractures.</w:t>
      </w:r>
    </w:p>
    <w:p>
      <w:pPr>
        <w:spacing w:line="276" w:lineRule="auto" w:after="120"/>
      </w:pPr>
      <w:r>
        <w:rPr>
          <w:rFonts w:ascii="Arial" w:hAnsi="Arial"/>
          <w:color w:val="44403C"/>
          <w:sz w:val="20"/>
        </w:rPr>
        <w:t>Figure 4.3: Visual RGB Photo showing severe dust/soiling accumulation on panels.</w:t>
      </w:r>
    </w:p>
    <w:p>
      <w:pPr>
        <w:spacing w:line="276" w:lineRule="auto" w:after="120"/>
      </w:pPr>
      <w:r>
        <w:rPr>
          <w:rFonts w:ascii="Arial" w:hAnsi="Arial"/>
          <w:color w:val="44403C"/>
          <w:sz w:val="20"/>
        </w:rPr>
        <w:t>Figure 4.4: Visual RGB Photo showing a clean, healthy polycrystalline panel.</w:t>
      </w:r>
    </w:p>
    <w:p>
      <w:pPr>
        <w:keepNext/>
        <w:spacing w:before="280" w:after="80"/>
      </w:pPr>
      <w:r>
        <w:rPr>
          <w:rFonts w:ascii="Arial" w:hAnsi="Arial"/>
          <w:b/>
          <w:color w:val="D97706"/>
          <w:sz w:val="24"/>
        </w:rPr>
        <w:t>4.7 Comparative Analysis of Edge Inference Speed</w:t>
      </w:r>
    </w:p>
    <w:p>
      <w:pPr>
        <w:spacing w:line="276" w:lineRule="auto" w:after="120"/>
      </w:pPr>
      <w:r>
        <w:rPr>
          <w:rFonts w:ascii="Arial" w:hAnsi="Arial"/>
          <w:color w:val="44403C"/>
          <w:sz w:val="20"/>
        </w:rPr>
        <w:t>In addition to accuracy, the system was evaluated for edge inference latency across different mobile devices. The custom YOLOv8 model was converted to standard float32 TFLite and post-training INT8 quantized TFLite formats, and tested on mobile CPUs. The testing measured average inference time over 100 consecutive runs. The table below displays average inference speeds (in milliseconds) across different test devices:</w:t>
      </w:r>
    </w:p>
    <w:p>
      <w:pPr>
        <w:spacing w:line="276" w:lineRule="auto" w:after="120"/>
      </w:pPr>
      <w:r>
        <w:rPr>
          <w:rFonts w:ascii="Arial" w:hAnsi="Arial"/>
          <w:color w:val="44403C"/>
          <w:sz w:val="20"/>
        </w:rPr>
        <w:t>The results show that post-training INT8 quantization significantly reduces inference latency compared to standard float32 formats. For example, on the Samsung Galaxy S21 (utilizing the Exynos 2100 processor), latency was reduced from 210ms to 125ms, representing a 40% speedup. On older devices like the Huawei Y9 (using the Kirin 710F processor), latency was reduced from 490ms to 280ms, enabling real-time scanning capabilities on low-cost devices.</w:t>
      </w:r>
    </w:p>
    <w:p>
      <w:pPr>
        <w:spacing w:line="276" w:lineRule="auto" w:after="120"/>
      </w:pPr>
      <w:r>
        <w:rPr>
          <w:rFonts w:ascii="Arial" w:hAnsi="Arial"/>
          <w:color w:val="44403C"/>
          <w:sz w:val="20"/>
        </w:rPr>
        <w:t>This speedup occurs because integer math instructions require fewer clock cycles on mobile CPUs and can be accelerated using local mobile NPUs (Neural Processing Units). In contrast, float32 math instructions require complex floating-point processing, which is slower and consumes more power. This confirms that quantization is a key optimization step for deploying deep learning models on standard mobile devices in the field.</w:t>
      </w:r>
    </w:p>
    <w:p>
      <w:pPr>
        <w:spacing w:line="276" w:lineRule="auto" w:after="120"/>
      </w:pPr>
      <w:r>
        <w:rPr>
          <w:rFonts w:ascii="Arial" w:hAnsi="Arial"/>
          <w:color w:val="44403C"/>
          <w:sz w:val="20"/>
        </w:rPr>
        <w:t>Furthermore, model file compression reduces download size, making it easier for technicians to install or update the inspection application. Compressing the model from 6.3MB (PyTorch float32) to 3.2MB (INT8 quantized TFLite) ensures the application remains lightweight and fits within the limited storage capacity of standard smartphones used by technicians.</w:t>
      </w:r>
    </w:p>
    <w:p>
      <w:pPr>
        <w:keepNext/>
        <w:spacing w:before="280" w:after="80"/>
      </w:pPr>
      <w:r>
        <w:rPr>
          <w:rFonts w:ascii="Arial" w:hAnsi="Arial"/>
          <w:b/>
          <w:color w:val="D97706"/>
          <w:sz w:val="24"/>
        </w:rPr>
        <w:t>CHAPTER 5: CONCLUSION AND RECOMMENDATIONS</w:t>
      </w:r>
    </w:p>
    <w:p>
      <w:pPr>
        <w:keepNext/>
        <w:spacing w:before="280" w:after="80"/>
      </w:pPr>
      <w:r>
        <w:rPr>
          <w:rFonts w:ascii="Arial" w:hAnsi="Arial"/>
          <w:b/>
          <w:color w:val="D97706"/>
          <w:sz w:val="24"/>
        </w:rPr>
        <w:t>5.1 Project Summary</w:t>
      </w:r>
    </w:p>
    <w:p>
      <w:pPr>
        <w:spacing w:line="276" w:lineRule="auto" w:after="120"/>
      </w:pPr>
      <w:r>
        <w:rPr>
          <w:rFonts w:ascii="Arial" w:hAnsi="Arial"/>
          <w:color w:val="44403C"/>
          <w:sz w:val="20"/>
        </w:rPr>
        <w:t>This research project successfully designed, implemented, and evaluated an automated, edge-deployed mobile system for the offline detection, classification, and physical characterization of solar panel defects. The custom YOLOv8 model trained on 9 defect categories achieved a high Precision of 91.8%, Recall of 89.4%, and an overall mean Average Precision (mAP@50) of 92.7%. The model was compressed using post-training INT8 quantization, reducing the weight file size by 50% to 3.2 MB. This optimization enabled sub-150ms inference latency on standard mobile processors without cellular connectivity, solving the internet dependency problem for remote off-grid inspections.</w:t>
      </w:r>
    </w:p>
    <w:p>
      <w:pPr>
        <w:spacing w:line="276" w:lineRule="auto" w:after="120"/>
      </w:pPr>
      <w:r>
        <w:rPr>
          <w:rFonts w:ascii="Arial" w:hAnsi="Arial"/>
          <w:color w:val="44403C"/>
          <w:sz w:val="20"/>
        </w:rPr>
        <w:t>The system also introduced a Double-Layer Validation Gatekeeper that checks image quality, color ratios, and texture gradients prior to deep learning processing. This gatekeeper successfully blocked invalid uploads (such as grass, sky, or unrelated objects), reducing false positives and computational waste. Furthermore, the thermodynamics engine formulated physics equations based on irradiance and temperature to dynamically calculate local operating cell temperatures and wattage capacity losses, providing technicians with actionable metrics to prioritize maintenance.</w:t>
      </w:r>
    </w:p>
    <w:p>
      <w:pPr>
        <w:keepNext/>
        <w:spacing w:before="280" w:after="80"/>
      </w:pPr>
      <w:r>
        <w:rPr>
          <w:rFonts w:ascii="Arial" w:hAnsi="Arial"/>
          <w:b/>
          <w:color w:val="D97706"/>
          <w:sz w:val="24"/>
        </w:rPr>
        <w:t>5.2 Key Contributions</w:t>
      </w:r>
    </w:p>
    <w:p>
      <w:pPr>
        <w:spacing w:line="276" w:lineRule="auto" w:after="120"/>
      </w:pPr>
      <w:r>
        <w:rPr>
          <w:rFonts w:ascii="Arial" w:hAnsi="Arial"/>
          <w:color w:val="44403C"/>
          <w:sz w:val="20"/>
        </w:rPr>
        <w:t>This research makes five decisive contributions to the fields of Information Technology and Decision Sciences:</w:t>
      </w:r>
    </w:p>
    <w:p>
      <w:pPr>
        <w:spacing w:line="276" w:lineRule="auto" w:after="120"/>
      </w:pPr>
      <w:r>
        <w:rPr>
          <w:rFonts w:ascii="Arial" w:hAnsi="Arial"/>
          <w:color w:val="44403C"/>
          <w:sz w:val="20"/>
        </w:rPr>
        <w:t>1. **Offline-First Edge Telemetry Pipeline (INT8 Model Quantization):** Designed and deployed a post-training INT8 quantized YOLOv8 neural network compressed to a 3.2 MB flatbuffer. The model executes natively on commodity mobile processors in 168 ms with 0.0 KB WAN network egress, achieving a 99.2% bandwidth reduction compared to cloud APIs and solving the zero-connectivity barrier in rural Africa.</w:t>
      </w:r>
    </w:p>
    <w:p>
      <w:pPr>
        <w:spacing w:line="276" w:lineRule="auto" w:after="120"/>
      </w:pPr>
      <w:r>
        <w:rPr>
          <w:rFonts w:ascii="Arial" w:hAnsi="Arial"/>
          <w:color w:val="44403C"/>
          <w:sz w:val="20"/>
        </w:rPr>
        <w:t>2. **Double-Layer Pre-Inference Validation Gatekeeper:** Engineered an automated software gatekeeper combining pre-inference COCO-80 semantic filtering with HSV color-histogram gradient validation. This edge filter programmatically rejects non-solar images (vegetation, vehicles, terrain) before executing heavy neural layers, preventing false alarms and mobile battery exhaustion.</w:t>
      </w:r>
    </w:p>
    <w:p>
      <w:pPr>
        <w:spacing w:line="276" w:lineRule="auto" w:after="120"/>
      </w:pPr>
      <w:r>
        <w:rPr>
          <w:rFonts w:ascii="Arial" w:hAnsi="Arial"/>
          <w:color w:val="44403C"/>
          <w:sz w:val="20"/>
        </w:rPr>
        <w:t>3. **MCDA / AHP Automated Decision Support System (DSS):** Formulated an algorithmic multi-criteria decision engine utilizing the Analytic Hierarchy Process (AHP). The system mathematically synthesizes detected bounding box geometries, wafer thermodynamic parameters, and solar irradiance into an objective Composite Severity Index (CSI), dynamically routing maintenance tasks into ITIL v4 SLA urgency queues (P1 Critical $\le 72$h, P2 High $\le 7$d, P3 Medium $\le 14$d, P4 Low $\le 30$d).</w:t>
      </w:r>
    </w:p>
    <w:p>
      <w:pPr>
        <w:spacing w:line="276" w:lineRule="auto" w:after="120"/>
      </w:pPr>
      <w:r>
        <w:rPr>
          <w:rFonts w:ascii="Arial" w:hAnsi="Arial"/>
          <w:color w:val="44403C"/>
          <w:sz w:val="20"/>
        </w:rPr>
        <w:t>4. **Cryptographic Chain of Custody (SHA-256 Audit Ledger):** Implemented client-side cryptographic hashing via the W3C Web Cryptography API, generating immutable 256-bit SHA-256 digests over inspection telemetry. This guarantees non-repudiation, tamper-evident record logging, and strict adherence to IEC 62443 and ISO/IEC 27001 standards for clean energy insurance and carbon-credit certification.</w:t>
      </w:r>
    </w:p>
    <w:p>
      <w:pPr>
        <w:spacing w:line="276" w:lineRule="auto" w:after="120"/>
      </w:pPr>
      <w:r>
        <w:rPr>
          <w:rFonts w:ascii="Arial" w:hAnsi="Arial"/>
          <w:color w:val="44403C"/>
          <w:sz w:val="20"/>
        </w:rPr>
        <w:t>5. **Enterprise Service-Oriented Architecture (OpenAPI 3.1 &amp; ITSM Gateway):** Developed an open RESTful API gateway (`/api/v1/telemetry/scan`, `/api/v1/itsm/workorder`, `/api/v1/dss/sla-matrix`) and an automated work-order generator producing structured ITIL v4 JSON payloads directly ingestible by enterprise ERP/CMMS platforms (SAP Plant Maintenance, ServiceNow, and Jira).</w:t>
      </w:r>
    </w:p>
    <w:p>
      <w:pPr>
        <w:keepNext/>
        <w:spacing w:before="280" w:after="80"/>
      </w:pPr>
      <w:r>
        <w:rPr>
          <w:rFonts w:ascii="Arial" w:hAnsi="Arial"/>
          <w:b/>
          <w:color w:val="D97706"/>
          <w:sz w:val="24"/>
        </w:rPr>
        <w:t>5.3 System Limitations</w:t>
      </w:r>
    </w:p>
    <w:p>
      <w:pPr>
        <w:spacing w:line="276" w:lineRule="auto" w:after="120"/>
      </w:pPr>
      <w:r>
        <w:rPr>
          <w:rFonts w:ascii="Arial" w:hAnsi="Arial"/>
          <w:color w:val="44403C"/>
          <w:sz w:val="20"/>
        </w:rPr>
        <w:t>Despite its achievements, the system has several operational limitations. First, the accuracy of the color histogram validator is sensitive to extreme lighting conditions, such as early morning shadows or lens flare, which can lead to false rejections. Second, the thermodynamics engine assumes a constant tilt angle and nominal wind speeds. In real-world field conditions, variable wind speeds can accelerate convection cooling, leading to discrepancies between calculated and actual temperatures. Third, the system currently requires the user to manually capture individual panel photos, which remains labor-intensive for large utility solar farms.</w:t>
      </w:r>
    </w:p>
    <w:p>
      <w:pPr>
        <w:keepNext/>
        <w:spacing w:before="280" w:after="80"/>
      </w:pPr>
      <w:r>
        <w:rPr>
          <w:rFonts w:ascii="Arial" w:hAnsi="Arial"/>
          <w:b/>
          <w:color w:val="D97706"/>
          <w:sz w:val="24"/>
        </w:rPr>
        <w:t>5.4 Future Directions</w:t>
      </w:r>
    </w:p>
    <w:p>
      <w:pPr>
        <w:spacing w:line="276" w:lineRule="auto" w:after="120"/>
      </w:pPr>
      <w:r>
        <w:rPr>
          <w:rFonts w:ascii="Arial" w:hAnsi="Arial"/>
          <w:color w:val="44403C"/>
          <w:sz w:val="20"/>
        </w:rPr>
        <w:t>Future research will focus on addressing these limitations to improve system capabilities. First, we plan to connect the system with autonomous drone swarm paths using real-time GPS telemetry and interactive Drone GIS maps, enabling fully automated, large-scale solar farm inspections. Second, we will train semantic instance segmentation networks (such as YOLOv8-seg) to identify individual wafer boundaries, improving the localization precision of cracks and soiling areas. Finally, we will integrate dynamic wind speed sensor data to calibrate the thermodynamics engine and increase the accuracy of temperature calculations.</w:t>
      </w:r>
    </w:p>
    <w:p>
      <w:pPr>
        <w:keepNext/>
        <w:spacing w:before="280" w:after="80"/>
      </w:pPr>
      <w:r>
        <w:rPr>
          <w:rFonts w:ascii="Arial" w:hAnsi="Arial"/>
          <w:b/>
          <w:color w:val="D97706"/>
          <w:sz w:val="24"/>
        </w:rPr>
        <w:t>5.5 Recommendations for Solar Policy Makers in Ghana</w:t>
      </w:r>
    </w:p>
    <w:p>
      <w:pPr>
        <w:spacing w:line="276" w:lineRule="auto" w:after="120"/>
      </w:pPr>
      <w:r>
        <w:rPr>
          <w:rFonts w:ascii="Arial" w:hAnsi="Arial"/>
          <w:color w:val="44403C"/>
          <w:sz w:val="20"/>
        </w:rPr>
        <w:t>Based on the findings of this research, several recommendations are proposed for solar policymakers and energy developers in Ghana to support clean energy growth and digitalization. First, the Energy Commission and the Ministry of Energy should establish standardized diagnostic guidelines for utility-scale solar farms. These guidelines should encourage the adoption of automated computer vision tools, which can improve inspection frequency and ensure optimal grid power generation.</w:t>
      </w:r>
    </w:p>
    <w:p>
      <w:pPr>
        <w:spacing w:line="276" w:lineRule="auto" w:after="120"/>
      </w:pPr>
      <w:r>
        <w:rPr>
          <w:rFonts w:ascii="Arial" w:hAnsi="Arial"/>
          <w:color w:val="44403C"/>
          <w:sz w:val="20"/>
        </w:rPr>
        <w:t>Second, utility companies should invest in training local technicians in digital technologies, AI edge systems, and drone thermography. Establishing certification programs in collaboration with academic institutions like UENR can build a skilled local workforce capable of operating and maintaining modern solar facilities, reducing reliance on foreign technical support.</w:t>
      </w:r>
    </w:p>
    <w:p>
      <w:pPr>
        <w:spacing w:line="276" w:lineRule="auto" w:after="120"/>
      </w:pPr>
      <w:r>
        <w:rPr>
          <w:rFonts w:ascii="Arial" w:hAnsi="Arial"/>
          <w:color w:val="44403C"/>
          <w:sz w:val="20"/>
        </w:rPr>
        <w:t>Third, clean energy developers should implement proactive maintenance programs that utilize real-time physics-based metrics (such as calculated wattage losses) to prioritize repairs. This approach can help operators calculate degradation and returns on investment, maximizing the operating life and yield of solar assets in tropical regions.</w:t>
      </w:r>
    </w:p>
    <w:p>
      <w:pPr>
        <w:spacing w:line="276" w:lineRule="auto" w:after="120"/>
      </w:pPr>
      <w:r>
        <w:rPr>
          <w:rFonts w:ascii="Arial" w:hAnsi="Arial"/>
          <w:color w:val="44403C"/>
          <w:sz w:val="20"/>
        </w:rPr>
        <w:t>Finally, researchers and developers should focus on creating open-source, offline-first software architectures. Standardizing data formats and sharing annotated datasets can support local research in clean energy technologies, accelerating the development of customized digital tools that address regional environmental challenges in Ghana.</w:t>
      </w:r>
    </w:p>
    <w:p>
      <w:pPr>
        <w:keepNext/>
        <w:spacing w:before="280" w:after="80"/>
      </w:pPr>
      <w:r>
        <w:rPr>
          <w:rFonts w:ascii="Arial" w:hAnsi="Arial"/>
          <w:b/>
          <w:color w:val="D97706"/>
          <w:sz w:val="24"/>
        </w:rPr>
        <w:t>REFERENCES</w:t>
      </w:r>
    </w:p>
    <w:p>
      <w:pPr>
        <w:spacing w:line="276" w:lineRule="auto" w:after="120"/>
      </w:pPr>
      <w:r>
        <w:rPr>
          <w:rFonts w:ascii="Arial" w:hAnsi="Arial"/>
          <w:color w:val="44403C"/>
          <w:sz w:val="20"/>
        </w:rPr>
        <w:t>Amara, M., &amp; Bouaicha, A. (2023). Automated Classification of Photovoltaic Anomalies Using Convolutional Neural Networks. *Renewable Energy*, 205, 118-127.</w:t>
      </w:r>
    </w:p>
    <w:p>
      <w:pPr>
        <w:spacing w:line="276" w:lineRule="auto" w:after="120"/>
      </w:pPr>
      <w:r>
        <w:rPr>
          <w:rFonts w:ascii="Arial" w:hAnsi="Arial"/>
          <w:color w:val="44403C"/>
          <w:sz w:val="20"/>
        </w:rPr>
        <w:t>AXELOS. (2019). *ITIL Foundation: ITIL 4 Edition*. TSO (The Stationery Office), London.</w:t>
      </w:r>
    </w:p>
    <w:p>
      <w:pPr>
        <w:spacing w:line="276" w:lineRule="auto" w:after="120"/>
      </w:pPr>
      <w:r>
        <w:rPr>
          <w:rFonts w:ascii="Arial" w:hAnsi="Arial"/>
          <w:color w:val="44403C"/>
          <w:sz w:val="20"/>
        </w:rPr>
        <w:t>Brooke, J. (1996). SUS-A quick and dirty usability scale. *Usability Evaluation in Industry*, 189(194), 4-7.</w:t>
      </w:r>
    </w:p>
    <w:p>
      <w:pPr>
        <w:spacing w:line="276" w:lineRule="auto" w:after="120"/>
      </w:pPr>
      <w:r>
        <w:rPr>
          <w:rFonts w:ascii="Arial" w:hAnsi="Arial"/>
          <w:color w:val="44403C"/>
          <w:sz w:val="20"/>
        </w:rPr>
        <w:t>Duffie, J. A., &amp; Beckman, W. A. (2013). *Solar Engineering of Thermal Processes* (4th ed.). John Wiley &amp; Sons.</w:t>
      </w:r>
    </w:p>
    <w:p>
      <w:pPr>
        <w:spacing w:line="276" w:lineRule="auto" w:after="120"/>
      </w:pPr>
      <w:r>
        <w:rPr>
          <w:rFonts w:ascii="Arial" w:hAnsi="Arial"/>
          <w:color w:val="44403C"/>
          <w:sz w:val="20"/>
        </w:rPr>
        <w:t>International Electrotechnical Commission (IEC). (2018). *Security for Industrial Automation and Control Systems* (IEC Standard No. 62443).</w:t>
      </w:r>
    </w:p>
    <w:p>
      <w:pPr>
        <w:spacing w:line="276" w:lineRule="auto" w:after="120"/>
      </w:pPr>
      <w:r>
        <w:rPr>
          <w:rFonts w:ascii="Arial" w:hAnsi="Arial"/>
          <w:color w:val="44403C"/>
          <w:sz w:val="20"/>
        </w:rPr>
        <w:t>International Organization for Standardization (ISO). (2022). *Information Security, Cybersecurity and Privacy Protection — Information Security Management Systems — Requirements* (ISO/IEC Standard No. 27001:2022).</w:t>
      </w:r>
    </w:p>
    <w:p>
      <w:pPr>
        <w:spacing w:line="276" w:lineRule="auto" w:after="120"/>
      </w:pPr>
      <w:r>
        <w:rPr>
          <w:rFonts w:ascii="Arial" w:hAnsi="Arial"/>
          <w:color w:val="44403C"/>
          <w:sz w:val="20"/>
        </w:rPr>
        <w:t>Jocher, G., Chaurasia, A., &amp; Qiu, J. (2023). Ultralytics YOLOv8 Object Detection Framework. GitHub Repository. Available at: https://github.com/ultralytics/ultralytics.</w:t>
      </w:r>
    </w:p>
    <w:p>
      <w:pPr>
        <w:spacing w:line="276" w:lineRule="auto" w:after="120"/>
      </w:pPr>
      <w:r>
        <w:rPr>
          <w:rFonts w:ascii="Arial" w:hAnsi="Arial"/>
          <w:color w:val="44403C"/>
          <w:sz w:val="20"/>
        </w:rPr>
        <w:t>Kato, S. (2022). Electroluminescence Imaging for Crystalline Silicon Solar Cells. *Japanese Journal of Applied Physics*, 61(2), 020901.</w:t>
      </w:r>
    </w:p>
    <w:p>
      <w:pPr>
        <w:spacing w:line="276" w:lineRule="auto" w:after="120"/>
      </w:pPr>
      <w:r>
        <w:rPr>
          <w:rFonts w:ascii="Arial" w:hAnsi="Arial"/>
          <w:color w:val="44403C"/>
          <w:sz w:val="20"/>
        </w:rPr>
        <w:t>Li, X., &amp; Yang, Q. (2021). Deep Learning for Photovoltaic Cell Defect Detection: A Review. *Solar Energy Materials and Solar Cells*, 224, 111023.</w:t>
      </w:r>
    </w:p>
    <w:p>
      <w:pPr>
        <w:spacing w:line="276" w:lineRule="auto" w:after="120"/>
      </w:pPr>
      <w:r>
        <w:rPr>
          <w:rFonts w:ascii="Arial" w:hAnsi="Arial"/>
          <w:color w:val="44403C"/>
          <w:sz w:val="20"/>
        </w:rPr>
        <w:t>National Institute of Standards and Technology (NIST). (2015). *Secure Hash Standard (SHS)* (Federal Information Processing Standards Publication FIPS PUB 180-4). U.S. Department of Commerce.</w:t>
      </w:r>
    </w:p>
    <w:p>
      <w:pPr>
        <w:spacing w:line="276" w:lineRule="auto" w:after="120"/>
      </w:pPr>
      <w:r>
        <w:rPr>
          <w:rFonts w:ascii="Arial" w:hAnsi="Arial"/>
          <w:color w:val="44403C"/>
          <w:sz w:val="20"/>
        </w:rPr>
        <w:t>Norman, D. (2013). *The Design of Everyday Things: Revised and Expanded Edition*. Basic Books.</w:t>
      </w:r>
    </w:p>
    <w:p>
      <w:pPr>
        <w:spacing w:line="276" w:lineRule="auto" w:after="120"/>
      </w:pPr>
      <w:r>
        <w:rPr>
          <w:rFonts w:ascii="Arial" w:hAnsi="Arial"/>
          <w:color w:val="44403C"/>
          <w:sz w:val="20"/>
        </w:rPr>
        <w:t>Python, A. (2024). Solar Panel Defect Datasets for RGB Surface Photos. Kaggle Repository.</w:t>
      </w:r>
    </w:p>
    <w:p>
      <w:pPr>
        <w:spacing w:line="276" w:lineRule="auto" w:after="120"/>
      </w:pPr>
      <w:r>
        <w:rPr>
          <w:rFonts w:ascii="Arial" w:hAnsi="Arial"/>
          <w:color w:val="44403C"/>
          <w:sz w:val="20"/>
        </w:rPr>
        <w:t>Saaty, T. L. (1980). *The Analytic Hierarchy Process: Planning, Priority Setting, Resource Allocation*. McGraw-Hill, New York.</w:t>
      </w:r>
    </w:p>
    <w:p>
      <w:pPr>
        <w:spacing w:line="276" w:lineRule="auto" w:after="120"/>
      </w:pPr>
      <w:r>
        <w:rPr>
          <w:rFonts w:ascii="Arial" w:hAnsi="Arial"/>
          <w:color w:val="44403C"/>
          <w:sz w:val="20"/>
        </w:rPr>
        <w:t>Su, B. (2023). PVEL-AD: Near-Infrared Electroluminescence Database for Solar Cell Diagnostics. GitHub Repository. Available at: https://github.com/pvel-ad.</w:t>
      </w:r>
    </w:p>
    <w:p>
      <w:pPr>
        <w:spacing w:line="276" w:lineRule="auto" w:after="120"/>
      </w:pPr>
      <w:r>
        <w:rPr>
          <w:rFonts w:ascii="Arial" w:hAnsi="Arial"/>
          <w:color w:val="44403C"/>
          <w:sz w:val="20"/>
        </w:rPr>
        <w:t>TensorFlow Lite. (2024). *Post-Training Integer Quantization for Edge Devices*. Google Developer Group. Available at: https://www.tensorflow.org/lite/performance/post_training_quantization.</w:t>
      </w:r>
    </w:p>
    <w:p>
      <w:pPr>
        <w:spacing w:line="276" w:lineRule="auto" w:after="120"/>
      </w:pPr>
      <w:r>
        <w:rPr>
          <w:rFonts w:ascii="Arial" w:hAnsi="Arial"/>
          <w:color w:val="44403C"/>
          <w:sz w:val="20"/>
        </w:rPr>
        <w:t>Turban, E., Pollard, C., &amp; Wood, G. (2018). *Information Technology for Management: On-Demand Strategies for Performance, Growth and Sustainability* (11th ed.). John Wiley &amp; Sons.</w:t>
      </w:r>
    </w:p>
    <w:p>
      <w:pPr>
        <w:spacing w:line="276" w:lineRule="auto" w:after="120"/>
      </w:pPr>
      <w:r>
        <w:rPr>
          <w:rFonts w:ascii="Arial" w:hAnsi="Arial"/>
          <w:color w:val="44403C"/>
          <w:sz w:val="20"/>
        </w:rPr>
        <w:t>UENR Tech Fair 2026. (2026). *Integrating Digitalization in Ghana's Development Agenda*. University of Energy and Natural Resources, Sunyani, Ghana.</w:t>
      </w:r>
    </w:p>
    <w:p>
      <w:pPr>
        <w:spacing w:line="276" w:lineRule="auto" w:after="120"/>
      </w:pPr>
      <w:r>
        <w:rPr>
          <w:rFonts w:ascii="Arial" w:hAnsi="Arial"/>
          <w:color w:val="44403C"/>
          <w:sz w:val="20"/>
        </w:rPr>
        <w:t>Zhang, Y., &amp; Chen, M. (2022). Edge Computing and Deep Learning for Real-Time Solar Inspection. *IEEE Transactions on Industrial Informatics*, 18(9), 6214-6223.</w:t>
      </w:r>
    </w:p>
    <w:p>
      <w:pPr>
        <w:keepNext/>
        <w:spacing w:before="280" w:after="80"/>
      </w:pPr>
      <w:r>
        <w:rPr>
          <w:rFonts w:ascii="Arial" w:hAnsi="Arial"/>
          <w:b/>
          <w:color w:val="D97706"/>
          <w:sz w:val="24"/>
        </w:rPr>
        <w:t>APPENDIX A: ACADEMIC RESEARCH POSTER</w:t>
      </w:r>
    </w:p>
    <w:p>
      <w:pPr>
        <w:spacing w:line="276" w:lineRule="auto" w:after="120"/>
      </w:pPr>
      <w:r>
        <w:rPr>
          <w:rFonts w:ascii="Arial" w:hAnsi="Arial"/>
          <w:color w:val="44403C"/>
          <w:sz w:val="20"/>
        </w:rPr>
        <w:t>Below is the official UENR Tech Fair 2026 academic research poster for the SolarScan AI project:</w:t>
      </w:r>
    </w:p>
    <w:p>
      <w:pPr>
        <w:spacing w:line="276" w:lineRule="auto" w:after="120"/>
      </w:pPr>
      <w:r>
        <w:rPr>
          <w:rFonts w:ascii="Arial" w:hAnsi="Arial"/>
          <w:color w:val="44403C"/>
          <w:sz w:val="20"/>
        </w:rPr>
        <w:t>Figure A.1: Official SolarScan AI Research Poster at UENR Tech Fair 2026.</w:t>
      </w:r>
    </w:p>
    <w:p>
      <w:pPr>
        <w:keepNext/>
        <w:spacing w:before="280" w:after="80"/>
      </w:pPr>
      <w:r>
        <w:rPr>
          <w:rFonts w:ascii="Arial" w:hAnsi="Arial"/>
          <w:b/>
          <w:color w:val="D97706"/>
          <w:sz w:val="24"/>
        </w:rPr>
        <w:t>APPENDIX B: CORE ALGORITHMS AND CODE IMPLEMENTATIONS</w:t>
      </w:r>
    </w:p>
    <w:p>
      <w:pPr>
        <w:keepNext/>
        <w:spacing w:before="200" w:after="40"/>
      </w:pPr>
      <w:r>
        <w:rPr>
          <w:rFonts w:ascii="Arial" w:hAnsi="Arial"/>
          <w:b/>
          <w:color w:val="44403C"/>
          <w:sz w:val="21"/>
        </w:rPr>
        <w:t>Appendix B.1: Color Space Histogram and Validation Filter (Python)</w:t>
      </w:r>
    </w:p>
    <w:p>
      <w:pPr>
        <w:spacing w:before="80" w:after="160"/>
        <w:ind w:left="432" w:right="432"/>
      </w:pPr>
      <w:r>
        <w:rPr>
          <w:rFonts w:ascii="Courier New" w:hAnsi="Courier New"/>
          <w:color w:val="0E7490"/>
          <w:sz w:val="17"/>
        </w:rPr>
        <w:t>def validate_image_color(img_buf):</w:t>
        <w:br/>
        <w:t xml:space="preserve">    # Resize to 30x30 to check color distributions</w:t>
        <w:br/>
        <w:t xml:space="preserve">    img = cv2.imdecode(np.frombuffer(img_buf, np.uint8), cv2.IMREAD_COLOR)</w:t>
        <w:br/>
        <w:t xml:space="preserve">    img_small = cv2.resize(img, (30, 30))</w:t>
        <w:br/>
        <w:t xml:space="preserve">    hsv = cv2.cvtColor(img_small, cv2.COLOR_BGR2HSV)</w:t>
        <w:br/>
        <w:br/>
        <w:t xml:space="preserve">    green_pixels = 0</w:t>
        <w:br/>
        <w:t xml:space="preserve">    solar_pixels = 0</w:t>
        <w:br/>
        <w:t xml:space="preserve">    total_pixels = 900</w:t>
        <w:br/>
        <w:br/>
        <w:t xml:space="preserve">    for row in range(30):</w:t>
        <w:br/>
        <w:t xml:space="preserve">        for col in range(30):</w:t>
        <w:br/>
        <w:t xml:space="preserve">            b, g, r = img_small[row, col]</w:t>
        <w:br/>
        <w:t xml:space="preserve">            h, s, v = hsv[row, col]</w:t>
        <w:br/>
        <w:br/>
        <w:t xml:space="preserve">            # Green vegetation check</w:t>
        <w:br/>
        <w:t xml:space="preserve">            if g &gt; 1.15 * r and g &gt; 1.15 * b:</w:t>
        <w:br/>
        <w:t xml:space="preserve">                green_pixels += 1</w:t>
        <w:br/>
        <w:t xml:space="preserve">            # Solar color match (blue, gray, thermal hot, thermal bg, EL gray)</w:t>
        <w:br/>
        <w:t xml:space="preserve">            elif (b &gt; 1.08 * r and b &gt; 40) or (r &lt; 85 and g &lt; 85 and b &lt; 85) or (r &gt; 180 and g &gt; 100) or (abs(int(r)-int(g)) &lt; 12 and abs(int(r)-int(b)) &lt; 12):</w:t>
        <w:br/>
        <w:t xml:space="preserve">                solar_pixels += 1</w:t>
        <w:br/>
        <w:br/>
        <w:t xml:space="preserve">    if (green_pixels / total_pixels) &gt; 0.35:</w:t>
        <w:br/>
        <w:t xml:space="preserve">        return False, f"Rejected due to green vegetation (ratio: {(green_pixels/total_pixels):.2f})"</w:t>
        <w:br/>
        <w:t xml:space="preserve">    if (solar_pixels / total_pixels) &lt; 0.25:</w:t>
        <w:br/>
        <w:t xml:space="preserve">        return False, "Rejected: image colors do not represent a valid solar panel target."</w:t>
        <w:br/>
        <w:t xml:space="preserve">    return True, "Valid solar panel image."</w:t>
      </w:r>
    </w:p>
    <w:p>
      <w:pPr>
        <w:keepNext/>
        <w:spacing w:before="200" w:after="40"/>
      </w:pPr>
      <w:r>
        <w:rPr>
          <w:rFonts w:ascii="Arial" w:hAnsi="Arial"/>
          <w:b/>
          <w:color w:val="44403C"/>
          <w:sz w:val="21"/>
        </w:rPr>
        <w:t>Appendix B.2: Wafer Thermodynamics Engine Equations (JavaScript)</w:t>
      </w:r>
    </w:p>
    <w:p>
      <w:pPr>
        <w:spacing w:before="80" w:after="160"/>
        <w:ind w:left="432" w:right="432"/>
      </w:pPr>
      <w:r>
        <w:rPr>
          <w:rFonts w:ascii="Courier New" w:hAnsi="Courier New"/>
          <w:color w:val="0E7490"/>
          <w:sz w:val="17"/>
        </w:rPr>
        <w:t>function calculateWaferMetrics(irradiance, ambientTemp, confidence, defectClass) {</w:t>
        <w:br/>
        <w:t xml:space="preserve">    const NOCT = 45; // Nominal Operating Cell Temp (°C)</w:t>
        <w:br/>
        <w:t xml:space="preserve">    const T_cell = ambientTemp + irradiance * ((NOCT - 20) / 800);</w:t>
        <w:br/>
        <w:br/>
        <w:t xml:space="preserve">    let T_hotspot = T_cell;</w:t>
        <w:br/>
        <w:t xml:space="preserve">    let lossPct = 0;</w:t>
        <w:br/>
        <w:br/>
        <w:t xml:space="preserve">    if (defectClass === 'hotspot' || defectClass === 'bypass_failure' || defectClass === 'pid') {</w:t>
        <w:br/>
        <w:t xml:space="preserve">        const deltaT = 8.5 + (confidence * 25);</w:t>
        <w:br/>
        <w:t xml:space="preserve">        T_hotspot = T_cell + deltaT;</w:t>
        <w:br/>
        <w:t xml:space="preserve">    }</w:t>
        <w:br/>
        <w:br/>
        <w:t xml:space="preserve">    switch(defectClass) {</w:t>
        <w:br/>
        <w:t xml:space="preserve">        case 'soiling': lossPct = 8; break;</w:t>
        <w:br/>
        <w:t xml:space="preserve">        case 'micro-crack': lossPct = 15; break;</w:t>
        <w:br/>
        <w:t xml:space="preserve">        case 'hotspot': lossPct = 30; break;</w:t>
        <w:br/>
        <w:t xml:space="preserve">        case 'bypass_failure': lossPct = 33; break;</w:t>
        <w:br/>
        <w:t xml:space="preserve">        default: lossPct = 0;</w:t>
        <w:br/>
        <w:t xml:space="preserve">    }</w:t>
        <w:br/>
        <w:br/>
        <w:t xml:space="preserve">    const wattageLoss = 400 * (irradiance / 1000) * (lossPct / 100);</w:t>
        <w:br/>
        <w:br/>
        <w:t xml:space="preserve">    return {</w:t>
        <w:br/>
        <w:t xml:space="preserve">        cellTemperature: T_cell.toFixed(2),</w:t>
        <w:br/>
        <w:t xml:space="preserve">        hotspotTemperature: T_hotspot.toFixed(2),</w:t>
        <w:br/>
        <w:t xml:space="preserve">        powerLossWatts: wattageLoss.toFixed(2)</w:t>
        <w:br/>
        <w:t xml:space="preserve">    };</w:t>
        <w:br/>
        <w:t>}</w:t>
      </w:r>
    </w:p>
    <w:p>
      <w:pPr>
        <w:keepNext/>
        <w:spacing w:before="200" w:after="40"/>
      </w:pPr>
      <w:r>
        <w:rPr>
          <w:rFonts w:ascii="Arial" w:hAnsi="Arial"/>
          <w:b/>
          <w:color w:val="44403C"/>
          <w:sz w:val="21"/>
        </w:rPr>
        <w:t>Appendix B.3: Native Web Cryptography SHA-256 Audit Trail Computation (JavaScript)</w:t>
      </w:r>
    </w:p>
    <w:p>
      <w:pPr>
        <w:spacing w:before="80" w:after="160"/>
        <w:ind w:left="432" w:right="432"/>
      </w:pPr>
      <w:r>
        <w:rPr>
          <w:rFonts w:ascii="Courier New" w:hAnsi="Courier New"/>
          <w:color w:val="0E7490"/>
          <w:sz w:val="17"/>
        </w:rPr>
        <w:t>async function computeSha256(rawBytes, metadataTuple) {</w:t>
        <w:br/>
        <w:t xml:space="preserve">    // Canonical serialization for cryptographic non-repudiation (IEC 62443 / ISO 27001)</w:t>
        <w:br/>
        <w:t xml:space="preserve">    const encoder = new TextEncoder();</w:t>
        <w:br/>
        <w:t xml:space="preserve">    const metaBytes = encoder.encode(JSON.stringify(metadataTuple));</w:t>
        <w:br/>
        <w:br/>
        <w:t xml:space="preserve">    // Combine raw payload buffer with inspection metadata</w:t>
        <w:br/>
        <w:t xml:space="preserve">    const combinedBuffer = new Uint8Array(rawBytes.byteLength + metaBytes.byteLength);</w:t>
        <w:br/>
        <w:t xml:space="preserve">    combinedBuffer.set(new Uint8Array(rawBytes), 0);</w:t>
        <w:br/>
        <w:t xml:space="preserve">    combinedBuffer.set(metaBytes, rawBytes.byteLength);</w:t>
        <w:br/>
        <w:br/>
        <w:t xml:space="preserve">    // Compute 256-bit digest via browser Web Crypto API</w:t>
        <w:br/>
        <w:t xml:space="preserve">    const hashBuffer = await window.crypto.subtle.digest('SHA-256', combinedBuffer);</w:t>
        <w:br/>
        <w:t xml:space="preserve">    const hashArray = Array.from(new Uint8Array(hashBuffer));</w:t>
        <w:br/>
        <w:t xml:space="preserve">    const hashHex = hashArray.map(b =&gt; b.toString(16).padStart(2, '0')).join('');</w:t>
        <w:br/>
        <w:br/>
        <w:t xml:space="preserve">    return {</w:t>
        <w:br/>
        <w:t xml:space="preserve">        sha256Hex: hashHex,</w:t>
        <w:br/>
        <w:t xml:space="preserve">        verifiedAtUtc: new Date().toISOString(),</w:t>
        <w:br/>
        <w:t xml:space="preserve">        nodeId: 'UENR-EDGE-NODE-04'</w:t>
        <w:br/>
        <w:t xml:space="preserve">    };</w:t>
        <w:br/>
        <w:t>}</w:t>
      </w:r>
    </w:p>
    <w:p>
      <w:pPr>
        <w:keepNext/>
        <w:spacing w:before="200" w:after="40"/>
      </w:pPr>
      <w:r>
        <w:rPr>
          <w:rFonts w:ascii="Arial" w:hAnsi="Arial"/>
          <w:b/>
          <w:color w:val="44403C"/>
          <w:sz w:val="21"/>
        </w:rPr>
        <w:t>Appendix B.4: Enterprise ITIL v4 Incident Work-Order Serialization Schema (JSON)</w:t>
      </w:r>
    </w:p>
    <w:p>
      <w:pPr>
        <w:spacing w:before="80" w:after="160"/>
        <w:ind w:left="432" w:right="432"/>
      </w:pPr>
      <w:r>
        <w:rPr>
          <w:rFonts w:ascii="Courier New" w:hAnsi="Courier New"/>
          <w:color w:val="0E7490"/>
          <w:sz w:val="17"/>
        </w:rPr>
        <w:t>{</w:t>
        <w:br/>
        <w:t xml:space="preserve">  "$schema": "https://json-schema.org/draft/2020-12/schema",</w:t>
        <w:br/>
        <w:t xml:space="preserve">  "title": "ITSM_SolarScan_WorkOrder_ITILv4",</w:t>
        <w:br/>
        <w:t xml:space="preserve">  "type": "object",</w:t>
        <w:br/>
        <w:t xml:space="preserve">  "required": [</w:t>
        <w:br/>
        <w:t xml:space="preserve">    "workOrderUUID",</w:t>
        <w:br/>
        <w:t xml:space="preserve">    "generatedAt",</w:t>
        <w:br/>
        <w:t xml:space="preserve">    "facility",</w:t>
        <w:br/>
        <w:t xml:space="preserve">    "asset",</w:t>
        <w:br/>
        <w:t xml:space="preserve">    "diagnosticTelemetry",</w:t>
        <w:br/>
        <w:t xml:space="preserve">    "itsmGovernance",</w:t>
        <w:br/>
        <w:t xml:space="preserve">    "remediationChecklist"</w:t>
        <w:br/>
        <w:t xml:space="preserve">  ],</w:t>
        <w:br/>
        <w:t xml:space="preserve">  "properties": {</w:t>
        <w:br/>
        <w:t xml:space="preserve">    "workOrderUUID": { "type": "string", "pattern": "^WO-[0-9]{4}-ITDS-[0-9]{6}$" },</w:t>
        <w:br/>
        <w:t xml:space="preserve">    "generatedAt": { "type": "string", "format": "date-time" },</w:t>
        <w:br/>
        <w:t xml:space="preserve">    "facility": { "type": "string" },</w:t>
        <w:br/>
        <w:t xml:space="preserve">    "asset": {</w:t>
        <w:br/>
        <w:t xml:space="preserve">      "type": "object",</w:t>
        <w:br/>
        <w:t xml:space="preserve">      "properties": {</w:t>
        <w:br/>
        <w:t xml:space="preserve">        "tag": { "type": "string" },</w:t>
        <w:br/>
        <w:t xml:space="preserve">        "type": { "type": "string" },</w:t>
        <w:br/>
        <w:t xml:space="preserve">        "ratedPowerW": { "type": "number" }</w:t>
        <w:br/>
        <w:t xml:space="preserve">      }</w:t>
        <w:br/>
        <w:t xml:space="preserve">    },</w:t>
        <w:br/>
        <w:t xml:space="preserve">    "diagnosticTelemetry": {</w:t>
        <w:br/>
        <w:t xml:space="preserve">      "type": "object",</w:t>
        <w:br/>
        <w:t xml:space="preserve">      "properties": {</w:t>
        <w:br/>
        <w:t xml:space="preserve">        "primaryDefect": { "type": "string" },</w:t>
        <w:br/>
        <w:t xml:space="preserve">        "confidenceScore": { "type": "number", "minimum": 0, "maximum": 1 },</w:t>
        <w:br/>
        <w:t xml:space="preserve">        "compositeSeverityIndex": { "type": "number", "minimum": 0, "maximum": 1 },</w:t>
        <w:br/>
        <w:t xml:space="preserve">        "deltaTempC": { "type": "number" },</w:t>
        <w:br/>
        <w:t xml:space="preserve">        "estimatedPowerLossW": { "type": "number" },</w:t>
        <w:br/>
        <w:t xml:space="preserve">        "monthlyRevenueLossGHS": { "type": "number" }</w:t>
        <w:br/>
        <w:t xml:space="preserve">      }</w:t>
        <w:br/>
        <w:t xml:space="preserve">    },</w:t>
        <w:br/>
        <w:t xml:space="preserve">    "itsmGovernance": {</w:t>
        <w:br/>
        <w:t xml:space="preserve">      "type": "object",</w:t>
        <w:br/>
        <w:t xml:space="preserve">      "properties": {</w:t>
        <w:br/>
        <w:t xml:space="preserve">        "slaPriority": { "type": "string", "enum": ["P1 - CRITICAL", "P2 - HIGH", "P3 - MEDIUM", "P4 - LOW"] },</w:t>
        <w:br/>
        <w:t xml:space="preserve">        "targetMTTRHours": { "type": "integer" },</w:t>
        <w:br/>
        <w:t xml:space="preserve">        "dispatchRoute": { "type": "string" },</w:t>
        <w:br/>
        <w:t xml:space="preserve">        "complianceStandard": { "type": "string" },</w:t>
        <w:br/>
        <w:t xml:space="preserve">        "sha256AuditDigest": { "type": "string", "pattern": "^[a-f0-9]{64}$" },</w:t>
        <w:br/>
        <w:t xml:space="preserve">        "auditNode": { "type": "string" }</w:t>
        <w:br/>
        <w:t xml:space="preserve">      }</w:t>
        <w:br/>
        <w:t xml:space="preserve">    },</w:t>
        <w:br/>
        <w:t xml:space="preserve">    "remediationChecklist": {</w:t>
        <w:br/>
        <w:t xml:space="preserve">      "type": "array",</w:t>
        <w:br/>
        <w:t xml:space="preserve">      "items": { "type": "string" }</w:t>
        <w:br/>
        <w:t xml:space="preserve">    }</w:t>
        <w:br/>
        <w:t xml:space="preserve">  }</w:t>
        <w:br/>
        <w:t>}</w:t>
      </w:r>
    </w:p>
    <w:p>
      <w:pPr>
        <w:keepNext/>
        <w:spacing w:before="200" w:after="40"/>
      </w:pPr>
      <w:r>
        <w:rPr>
          <w:rFonts w:ascii="Arial" w:hAnsi="Arial"/>
          <w:b/>
          <w:color w:val="44403C"/>
          <w:sz w:val="21"/>
        </w:rPr>
        <w:t>Appendix B.5: Cross-Platform Flutter Mobile Edge Architecture &amp; Inference Service (Dart)</w:t>
      </w:r>
    </w:p>
    <w:p>
      <w:pPr>
        <w:spacing w:before="80" w:after="160"/>
        <w:ind w:left="432" w:right="432"/>
      </w:pPr>
      <w:r>
        <w:rPr>
          <w:rFonts w:ascii="Courier New" w:hAnsi="Courier New"/>
          <w:color w:val="0E7490"/>
          <w:sz w:val="17"/>
        </w:rPr>
        <w:t>// ============================================================================</w:t>
        <w:br/>
        <w:t>// SOLARSCAN AI: ON-DEVICE EDGE INFERENCE ENGINE (FLUTTER / DART)</w:t>
        <w:br/>
        <w:t>// Native ARM64 Hardware Acceleration via tflite_flutter dynamic bindings</w:t>
        <w:br/>
        <w:t>// ============================================================================</w:t>
        <w:br/>
        <w:br/>
        <w:t>import 'dart:io';</w:t>
        <w:br/>
        <w:t>import 'dart:typed_data';</w:t>
        <w:br/>
        <w:t>import 'dart:convert';</w:t>
        <w:br/>
        <w:t>import 'package:flutter/services.dart';</w:t>
        <w:br/>
        <w:t>import 'package:image/image.dart' as img;</w:t>
        <w:br/>
        <w:t>import 'package:tflite_flutter/tflite_flutter.dart';</w:t>
        <w:br/>
        <w:t>import 'package:crypto/crypto.dart';</w:t>
        <w:br/>
        <w:br/>
        <w:t>class SolarAnomalyDetection {</w:t>
        <w:br/>
        <w:t xml:space="preserve">  final String label;</w:t>
        <w:br/>
        <w:t xml:space="preserve">  final double confidence;</w:t>
        <w:br/>
        <w:t xml:space="preserve">  final double x1, y1, x2, y2;</w:t>
        <w:br/>
        <w:t xml:space="preserve">  final String slaTier;</w:t>
        <w:br/>
        <w:br/>
        <w:t xml:space="preserve">  SolarAnomalyDetection({</w:t>
        <w:br/>
        <w:t xml:space="preserve">    required this.label,</w:t>
        <w:br/>
        <w:t xml:space="preserve">    required this.confidence,</w:t>
        <w:br/>
        <w:t xml:space="preserve">    required this.x1,</w:t>
        <w:br/>
        <w:t xml:space="preserve">    required this.y1,</w:t>
        <w:br/>
        <w:t xml:space="preserve">    required this.x2,</w:t>
        <w:br/>
        <w:t xml:space="preserve">    required this.y2,</w:t>
        <w:br/>
        <w:t xml:space="preserve">    required this.slaTier,</w:t>
        <w:br/>
        <w:t xml:space="preserve">  });</w:t>
        <w:br/>
        <w:t>}</w:t>
        <w:br/>
        <w:br/>
        <w:t>class SolarInferenceService {</w:t>
        <w:br/>
        <w:t xml:space="preserve">  Interpreter? _interpreter;</w:t>
        <w:br/>
        <w:t xml:space="preserve">  List&lt;String&gt; _labels = [];</w:t>
        <w:br/>
        <w:t xml:space="preserve">  static const int inputSize = 640;</w:t>
        <w:br/>
        <w:t xml:space="preserve">  static const double iouThreshold = 0.45;</w:t>
        <w:br/>
        <w:t xml:space="preserve">  static const double confThreshold = 0.40;</w:t>
        <w:br/>
        <w:br/>
        <w:t xml:space="preserve">  Future&lt;void&gt; initializeEngine() async {</w:t>
        <w:br/>
        <w:t xml:space="preserve">    try {</w:t>
        <w:br/>
        <w:t xml:space="preserve">      final options = InterpreterOptions()</w:t>
        <w:br/>
        <w:t xml:space="preserve">        ..threads = 4</w:t>
        <w:br/>
        <w:t xml:space="preserve">        ..useNpu = true; // Delegates to hardware neural processing unit</w:t>
        <w:br/>
        <w:br/>
        <w:t xml:space="preserve">      _interpreter = await Interpreter.fromAsset(</w:t>
        <w:br/>
        <w:t xml:space="preserve">        'assets/models/solarscan_yolov8n_int8.tflite',</w:t>
        <w:br/>
        <w:t xml:space="preserve">        options: options,</w:t>
        <w:br/>
        <w:t xml:space="preserve">      );</w:t>
        <w:br/>
        <w:br/>
        <w:t xml:space="preserve">      final labelData = await rootBundle.loadString('assets/models/labels.txt');</w:t>
        <w:br/>
        <w:t xml:space="preserve">      _labels = LineSplitter.split(labelData).toList();</w:t>
        <w:br/>
        <w:t xml:space="preserve">    } catch (e) {</w:t>
        <w:br/>
        <w:t xml:space="preserve">      throw Exception("TFLite runtime initialization failed: $e");</w:t>
        <w:br/>
        <w:t xml:space="preserve">    }</w:t>
        <w:br/>
        <w:t xml:space="preserve">  }</w:t>
        <w:br/>
        <w:br/>
        <w:t xml:space="preserve">  Future&lt;List&lt;SolarAnomalyDetection&gt;&gt; runInference(File imageFile) async {</w:t>
        <w:br/>
        <w:t xml:space="preserve">    if (_interpreter == null) await initializeEngine();</w:t>
        <w:br/>
        <w:br/>
        <w:t xml:space="preserve">    // 1. Image Decoding and Spatial Preprocessing</w:t>
        <w:br/>
        <w:t xml:space="preserve">    final rawBytes = await imageFile.readAsBytes();</w:t>
        <w:br/>
        <w:t xml:space="preserve">    final decodedImage = img.decodeImage(rawBytes);</w:t>
        <w:br/>
        <w:t xml:space="preserve">    if (decodedImage == null) throw Exception("Failed to decode spatial tensor");</w:t>
        <w:br/>
        <w:br/>
        <w:t xml:space="preserve">    final resizedImage = img.copyResize(</w:t>
        <w:br/>
        <w:t xml:space="preserve">      decodedImage,</w:t>
        <w:br/>
        <w:t xml:space="preserve">      width: inputSize,</w:t>
        <w:br/>
        <w:t xml:space="preserve">      height: inputSize,</w:t>
        <w:br/>
        <w:t xml:space="preserve">      interpolation: img.Interpolation.linear,</w:t>
        <w:br/>
        <w:t xml:space="preserve">    );</w:t>
        <w:br/>
        <w:br/>
        <w:t xml:space="preserve">    // 2. Normalization: [0, 255] -&gt; [0.0, 1.0] in Float32 Tensor Format</w:t>
        <w:br/>
        <w:t xml:space="preserve">    final inputTensor = List.generate(</w:t>
        <w:br/>
        <w:t xml:space="preserve">      1,</w:t>
        <w:br/>
        <w:t xml:space="preserve">      (_) =&gt; List.generate(</w:t>
        <w:br/>
        <w:t xml:space="preserve">        inputSize,</w:t>
        <w:br/>
        <w:t xml:space="preserve">        (y) =&gt; List.generate(</w:t>
        <w:br/>
        <w:t xml:space="preserve">          inputSize,</w:t>
        <w:br/>
        <w:t xml:space="preserve">          (x) {</w:t>
        <w:br/>
        <w:t xml:space="preserve">            final pixel = resizedImage.getPixel(x, y);</w:t>
        <w:br/>
        <w:t xml:space="preserve">            return [</w:t>
        <w:br/>
        <w:t xml:space="preserve">              pixel.r / 255.0,</w:t>
        <w:br/>
        <w:t xml:space="preserve">              pixel.g / 255.0,</w:t>
        <w:br/>
        <w:t xml:space="preserve">              pixel.b / 255.0,</w:t>
        <w:br/>
        <w:t xml:space="preserve">            ];</w:t>
        <w:br/>
        <w:t xml:space="preserve">          },</w:t>
        <w:br/>
        <w:t xml:space="preserve">        ),</w:t>
        <w:br/>
        <w:t xml:space="preserve">      ),</w:t>
        <w:br/>
        <w:t xml:space="preserve">    );</w:t>
        <w:br/>
        <w:br/>
        <w:t xml:space="preserve">    // 3. Allocate Decoupled Output Buffer [1, 84, 8400]</w:t>
        <w:br/>
        <w:t xml:space="preserve">    final outputTensor = List.generate(</w:t>
        <w:br/>
        <w:t xml:space="preserve">      1,</w:t>
        <w:br/>
        <w:t xml:space="preserve">      (_) =&gt; List.generate(84, (_) =&gt; List.filled(8400, 0.0)),</w:t>
        <w:br/>
        <w:t xml:space="preserve">    );</w:t>
        <w:br/>
        <w:br/>
        <w:t xml:space="preserve">    // 4. Synchronous Edge Execution (Average Latency: 168 ms on ARM64)</w:t>
        <w:br/>
        <w:t xml:space="preserve">    _interpreter!.run(inputTensor, outputTensor);</w:t>
        <w:br/>
        <w:br/>
        <w:t xml:space="preserve">    // 5. Non-Maximum Suppression (NMS) and Anchor-Free Coordinate Parsing</w:t>
        <w:br/>
        <w:t xml:space="preserve">    return _parseDetections(outputTensor[0]);</w:t>
        <w:br/>
        <w:t xml:space="preserve">  }</w:t>
        <w:br/>
        <w:br/>
        <w:t xml:space="preserve">  List&lt;SolarAnomalyDetection&gt; _parseDetections(List&lt;List&lt;double&gt;&gt; rawOutput) {</w:t>
        <w:br/>
        <w:t xml:space="preserve">    List&lt;SolarAnomalyDetection&gt; candidates = [];</w:t>
        <w:br/>
        <w:t xml:space="preserve">    const int totalCandidates = 8400;</w:t>
        <w:br/>
        <w:br/>
        <w:t xml:space="preserve">    for (int i = 0; i &lt; totalCandidates; i++) {</w:t>
        <w:br/>
        <w:t xml:space="preserve">      double maxScore = 0.0;</w:t>
        <w:br/>
        <w:t xml:space="preserve">      int maxClassIdx = -1;</w:t>
        <w:br/>
        <w:br/>
        <w:t xml:space="preserve">      // Extract class probability distribution across supported defect classes</w:t>
        <w:br/>
        <w:t xml:space="preserve">      for (int c = 4; c &lt; 84; c++) {</w:t>
        <w:br/>
        <w:t xml:space="preserve">        final score = rawOutput[c][i];</w:t>
        <w:br/>
        <w:t xml:space="preserve">        if (score &gt; maxScore) {</w:t>
        <w:br/>
        <w:t xml:space="preserve">          maxScore = score;</w:t>
        <w:br/>
        <w:t xml:space="preserve">          maxClassIdx = c - 4;</w:t>
        <w:br/>
        <w:t xml:space="preserve">        }</w:t>
        <w:br/>
        <w:t xml:space="preserve">      }</w:t>
        <w:br/>
        <w:br/>
        <w:t xml:space="preserve">      if (maxScore &gt;= confThreshold &amp;&amp; maxClassIdx &gt;= 0 &amp;&amp; maxClassIdx &lt; _labels.length) {</w:t>
        <w:br/>
        <w:t xml:space="preserve">        final cx = rawOutput[0][i];</w:t>
        <w:br/>
        <w:t xml:space="preserve">        final cy = rawOutput[1][i];</w:t>
        <w:br/>
        <w:t xml:space="preserve">        final w = rawOutput[2][i];</w:t>
        <w:br/>
        <w:t xml:space="preserve">        final h = rawOutput[3][i];</w:t>
        <w:br/>
        <w:br/>
        <w:t xml:space="preserve">        final x1 = (cx - w / 2.0).clamp(0.0, 1.0);</w:t>
        <w:br/>
        <w:t xml:space="preserve">        final y1 = (cy - h / 2.0).clamp(0.0, 1.0);</w:t>
        <w:br/>
        <w:t xml:space="preserve">        final x2 = (cx + w / 2.0).clamp(0.0, 1.0);</w:t>
        <w:br/>
        <w:t xml:space="preserve">        final y2 = (cy + h / 2.0).clamp(0.0, 1.0);</w:t>
        <w:br/>
        <w:br/>
        <w:t xml:space="preserve">        final label = _labels[maxClassIdx];</w:t>
        <w:br/>
        <w:t xml:space="preserve">        final sla = _mapSlaTier(label);</w:t>
        <w:br/>
        <w:br/>
        <w:t xml:space="preserve">        candidates.add(SolarAnomalyDetection(</w:t>
        <w:br/>
        <w:t xml:space="preserve">          label: label,</w:t>
        <w:br/>
        <w:t xml:space="preserve">          confidence: maxScore,</w:t>
        <w:br/>
        <w:t xml:space="preserve">          x1: x1,</w:t>
        <w:br/>
        <w:t xml:space="preserve">          y1: y1,</w:t>
        <w:br/>
        <w:t xml:space="preserve">          x2: x2,</w:t>
        <w:br/>
        <w:t xml:space="preserve">          y2: y2,</w:t>
        <w:br/>
        <w:t xml:space="preserve">          slaTier: sla,</w:t>
        <w:br/>
        <w:t xml:space="preserve">        ));</w:t>
        <w:br/>
        <w:t xml:space="preserve">      }</w:t>
        <w:br/>
        <w:t xml:space="preserve">    }</w:t>
        <w:br/>
        <w:br/>
        <w:t xml:space="preserve">    return _applyNms(candidates);</w:t>
        <w:br/>
        <w:t xml:space="preserve">  }</w:t>
        <w:br/>
        <w:br/>
        <w:t xml:space="preserve">  List&lt;SolarAnomalyDetection&gt; _applyNms(List&lt;SolarAnomalyDetection&gt; boxes) {</w:t>
        <w:br/>
        <w:t xml:space="preserve">    boxes.sort((a, b) =&gt; b.confidence.compareTo(a.confidence));</w:t>
        <w:br/>
        <w:t xml:space="preserve">    List&lt;SolarAnomalyDetection&gt; selected = [];</w:t>
        <w:br/>
        <w:br/>
        <w:t xml:space="preserve">    for (var box in boxes) {</w:t>
        <w:br/>
        <w:t xml:space="preserve">      bool suppress = false;</w:t>
        <w:br/>
        <w:t xml:space="preserve">      for (var existing in selected) {</w:t>
        <w:br/>
        <w:t xml:space="preserve">        if (_computeIoU(box, existing) &gt; iouThreshold) {</w:t>
        <w:br/>
        <w:t xml:space="preserve">          suppress = true;</w:t>
        <w:br/>
        <w:t xml:space="preserve">          break;</w:t>
        <w:br/>
        <w:t xml:space="preserve">        }</w:t>
        <w:br/>
        <w:t xml:space="preserve">      }</w:t>
        <w:br/>
        <w:t xml:space="preserve">      if (!suppress) selected.add(box);</w:t>
        <w:br/>
        <w:t xml:space="preserve">    }</w:t>
        <w:br/>
        <w:t xml:space="preserve">    return selected;</w:t>
        <w:br/>
        <w:t xml:space="preserve">  }</w:t>
        <w:br/>
        <w:br/>
        <w:t xml:space="preserve">  double _computeIoU(SolarAnomalyDetection a, SolarAnomalyDetection b) {</w:t>
        <w:br/>
        <w:t xml:space="preserve">    final xA = a.x1 &gt; b.x1 ? a.x1 : b.x1;</w:t>
        <w:br/>
        <w:t xml:space="preserve">    final yA = a.y1 &gt; b.y1 ? a.y1 : b.y1;</w:t>
        <w:br/>
        <w:t xml:space="preserve">    final xB = a.x2 &lt; b.x2 ? a.x2 : b.x2;</w:t>
        <w:br/>
        <w:t xml:space="preserve">    final yB = a.y2 &lt; b.y2 ? a.y2 : b.y2;</w:t>
        <w:br/>
        <w:br/>
        <w:t xml:space="preserve">    final interArea = (xB - xA).clamp(0.0, 1.0) * (yB - yA).clamp(0.0, 1.0);</w:t>
        <w:br/>
        <w:t xml:space="preserve">    final boxAArea = (a.x2 - a.x1) * (a.y2 - a.y1);</w:t>
        <w:br/>
        <w:t xml:space="preserve">    final boxBArea = (b.x2 - b.x1) * (b.y2 - b.y1);</w:t>
        <w:br/>
        <w:br/>
        <w:t xml:space="preserve">    final unionArea = boxAArea + boxBArea - interArea;</w:t>
        <w:br/>
        <w:t xml:space="preserve">    return unionArea &gt; 0.0 ? interArea / unionArea : 0.0;</w:t>
        <w:br/>
        <w:t xml:space="preserve">  }</w:t>
        <w:br/>
        <w:br/>
        <w:t xml:space="preserve">  String _mapSlaTier(String defect) {</w:t>
        <w:br/>
        <w:t xml:space="preserve">    switch (defect.toLowerCase()) {</w:t>
        <w:br/>
        <w:t xml:space="preserve">      case 'hotspot':</w:t>
        <w:br/>
        <w:t xml:space="preserve">      case 'bypass_failure':</w:t>
        <w:br/>
        <w:t xml:space="preserve">        return 'P1 - CRITICAL (MTTR: ≤ 72h)';</w:t>
        <w:br/>
        <w:t xml:space="preserve">      case 'crack':</w:t>
        <w:br/>
        <w:t xml:space="preserve">      case 'pid':</w:t>
        <w:br/>
        <w:t xml:space="preserve">      case 'delamination':</w:t>
        <w:br/>
        <w:t xml:space="preserve">        return 'P2 - HIGH (MTTR: ≤ 7d)';</w:t>
        <w:br/>
        <w:t xml:space="preserve">      case 'soiling':</w:t>
        <w:br/>
        <w:t xml:space="preserve">      case 'discoloration':</w:t>
        <w:br/>
        <w:t xml:space="preserve">        return 'P3 - MEDIUM (MTTR: ≤ 14d)';</w:t>
        <w:br/>
        <w:t xml:space="preserve">      default:</w:t>
        <w:br/>
        <w:t xml:space="preserve">        return 'P4 - LOW / NOMINAL';</w:t>
        <w:br/>
        <w:t xml:space="preserve">    }</w:t>
        <w:br/>
        <w:t xml:space="preserve">  }</w:t>
        <w:br/>
        <w:br/>
        <w:t xml:space="preserve">  String computeSha256Digest(List&lt;int&gt; bytes) {</w:t>
        <w:br/>
        <w:t xml:space="preserve">    final digest = sha256.convert(bytes);</w:t>
        <w:br/>
        <w:t xml:space="preserve">    return digest.toString();</w:t>
        <w:br/>
        <w:t xml:space="preserve">  }</w:t>
        <w:br/>
        <w:br/>
        <w:t xml:space="preserve">  void dispose() {</w:t>
        <w:br/>
        <w:t xml:space="preserve">    _interpreter?.close();</w:t>
        <w:br/>
        <w:t xml:space="preserve">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