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Arial" w:hAnsi="Arial"/>
          <w:b/>
          <w:color w:val="0F172A"/>
          <w:sz w:val="28"/>
        </w:rPr>
        <w:t>UNIVERSITY OF ENERGY AND NATURAL RESOURCES (UENR)</w:t>
        <w:br/>
      </w:r>
      <w:r>
        <w:rPr>
          <w:rFonts w:ascii="Arial" w:hAnsi="Arial"/>
          <w:color w:val="64748B"/>
          <w:sz w:val="22"/>
        </w:rPr>
        <w:t>SCHOOL OF ENGINEERING • DEPARTMENT OF COMPUTER SCIENCE &amp; INFORMATICS</w:t>
        <w:br/>
        <w:t>SUNYANI, GHANA</w:t>
      </w:r>
    </w:p>
    <w:p>
      <w:pPr>
        <w:spacing w:after="720"/>
      </w:pPr>
    </w:p>
    <w:p>
      <w:pPr>
        <w:spacing w:after="240"/>
        <w:jc w:val="center"/>
      </w:pPr>
      <w:r>
        <w:rPr>
          <w:rFonts w:ascii="Arial" w:hAnsi="Arial"/>
          <w:b/>
          <w:color w:val="0284C7"/>
          <w:sz w:val="34"/>
        </w:rPr>
        <w:t>SOLARSCAN AI:</w:t>
        <w:br/>
        <w:t>AN OFFLINE-FIRST MULTI-SPECTRAL COMPUTER VISION &amp; THERMODYNAMIC EDGE SYSTEM FOR PHOTOVOLTAIC FAULT TRIAGE AND ASSET MANAGEMENT</w:t>
      </w:r>
    </w:p>
    <w:p>
      <w:pPr>
        <w:spacing w:after="720"/>
        <w:jc w:val="center"/>
      </w:pPr>
      <w:r>
        <w:rPr>
          <w:rFonts w:ascii="Calibri" w:hAnsi="Calibri"/>
          <w:i/>
          <w:color w:val="475569"/>
          <w:sz w:val="24"/>
        </w:rPr>
        <w:t>Comprehensive Technical Thesis &amp; Production System Documentation</w:t>
        <w:br/>
        <w:t>Prepared for Academic &amp; Technical Supervisor Review</w:t>
      </w:r>
    </w:p>
    <w:p>
      <w:pPr>
        <w:spacing w:after="480"/>
        <w:jc w:val="center"/>
      </w:pPr>
      <w:r>
        <w:rPr>
          <w:rFonts w:ascii="Calibri" w:hAnsi="Calibri"/>
          <w:color w:val="334155"/>
          <w:sz w:val="21"/>
        </w:rPr>
        <w:t>Project Group: Monica Gyamfuah, Abubakari Rafiatu, Owusu Emmanuel, Agyekum Isaac, Asare Solomon William</w:t>
        <w:br/>
        <w:t>Project Supervisors: Dr. Samuel O. Frimpong &amp; Mr. Joshua A. Weyori</w:t>
        <w:br/>
        <w:t>Program: B.Sc. Information Technology &amp; Decision Sciences</w:t>
        <w:br/>
        <w:t>Target Facility: Bui Power Authority 50MW Solar Plant, Banda District, Bono Region, Ghana</w:t>
        <w:br/>
        <w:t>Live System Link: https://solarscan-ai.vercel.app</w:t>
        <w:br/>
        <w:t>Academic Session: 2025 / 2026</w:t>
      </w:r>
    </w:p>
    <w:p>
      <w:r>
        <w:br w:type="page"/>
      </w:r>
    </w:p>
    <w:p>
      <w:pPr>
        <w:pStyle w:val="Heading1"/>
        <w:spacing w:before="280" w:after="80"/>
      </w:pPr>
      <w:r>
        <w:rPr>
          <w:rFonts w:ascii="Arial" w:hAnsi="Arial"/>
          <w:b/>
          <w:color w:val="0F172A"/>
          <w:sz w:val="30"/>
        </w:rPr>
        <w:t>Executive Summary: What Industrial Problem Are We Solving?</w:t>
      </w:r>
    </w:p>
    <w:p>
      <w:pPr>
        <w:spacing w:before="40" w:after="120" w:line="276" w:lineRule="auto"/>
      </w:pPr>
      <w:r>
        <w:rPr>
          <w:rFonts w:ascii="Calibri" w:hAnsi="Calibri"/>
          <w:b/>
          <w:color w:val="0F172A"/>
          <w:sz w:val="22"/>
        </w:rPr>
        <w:t xml:space="preserve">The Reality on Ground: </w:t>
      </w:r>
      <w:r>
        <w:rPr>
          <w:rFonts w:ascii="Calibri" w:hAnsi="Calibri"/>
          <w:color w:val="334155"/>
          <w:sz w:val="22"/>
        </w:rPr>
        <w:t>Solar energy is growing fast across Ghana, from the large 50MW Bui Power Authority solar farm in Banda to commercial rooftops in Accra and mini-grids in the north. But keeping these installations working properly is a tough job. Out in the field, solar panels get hit by extreme weather every single day. Dust from the Harmattan wind, intense sunshine, high humidity, and physical vibrations during transport crack cells and burn connections. Within weeks of dry-season dust buildup, panels lose between 15% and 35% of their rated power output.</w:t>
      </w:r>
    </w:p>
    <w:p>
      <w:pPr>
        <w:spacing w:before="40" w:after="120" w:line="276" w:lineRule="auto"/>
      </w:pPr>
      <w:r>
        <w:rPr>
          <w:rFonts w:ascii="Calibri" w:hAnsi="Calibri"/>
          <w:b/>
          <w:color w:val="0F172A"/>
          <w:sz w:val="22"/>
        </w:rPr>
        <w:t xml:space="preserve">Why Ordinary Inspections Fail: </w:t>
      </w:r>
      <w:r>
        <w:rPr>
          <w:rFonts w:ascii="Calibri" w:hAnsi="Calibri"/>
          <w:color w:val="334155"/>
          <w:sz w:val="22"/>
        </w:rPr>
        <w:t>At a facility like Bui, you have more than 150,000 solar panels spread over hundreds of acres. Walking through those rows with a handheld multimeter or basic thermal camera takes between three and six weeks. Technicians get heat stroke working under 38°C sun, and by the time you reach the last row, thousands of kilowatt-hours have already been lost. Even worse, modern cloud AI diagnostic tools from big tech firms are useless in rural Ghana. Why? Because out at the solar farm, there is practically zero cellular or internet signal. A technician cannot upload a 4K drone photo to an overseas cloud server while standing in the middle of a dusty field.</w:t>
      </w:r>
    </w:p>
    <w:p>
      <w:pPr>
        <w:spacing w:before="40" w:after="120" w:line="276" w:lineRule="auto"/>
      </w:pPr>
      <w:r>
        <w:rPr>
          <w:rFonts w:ascii="Calibri" w:hAnsi="Calibri"/>
          <w:b/>
          <w:color w:val="0F172A"/>
          <w:sz w:val="22"/>
        </w:rPr>
        <w:t xml:space="preserve">What SolarScan AI Does Differently: </w:t>
      </w:r>
      <w:r>
        <w:rPr>
          <w:rFonts w:ascii="Calibri" w:hAnsi="Calibri"/>
          <w:color w:val="334155"/>
          <w:sz w:val="22"/>
        </w:rPr>
        <w:t>We designed and built SolarScan AI to run 100% offline directly on local field hardware, including laptops, rugged tablets, and Android phones. The software combines a deterministic multi-spectral computer vision engine with a compressed YOLOv8 neural network. It classifies panel defects in under 150 milliseconds. Instead of just giving an abstract bounding box, our system calculates the actual thermodynamic wattage loss, estimates how hot the cell is getting (temperature rise ΔT), computes the financial revenue loss in Ghanaian Cedis and US Dollars, and automatically creates an IEC 62446-3 maintenance work ticket. Every scan is cryptographically signed with a SHA-256 hash so solar operators have tamper-proof evidence when filing warranty claims with panel manufacturers.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left w:val="single" w:sz="24" w:space="0" w:color="0284C7"/>
              <w:top w:val="none"/>
              <w:right w:val="none"/>
              <w:bottom w:val="none"/>
            </w:tcBorders>
          </w:tcPr>
          <w:p>
            <w:pPr>
              <w:spacing w:before="40" w:after="60"/>
            </w:pPr>
            <w:r>
              <w:rPr>
                <w:rFonts w:ascii="Arial" w:hAnsi="Arial"/>
                <w:b/>
                <w:color w:val="0284C7"/>
                <w:sz w:val="22"/>
              </w:rPr>
              <w:t>📌 Core Takeaway for Supervisor</w:t>
              <w:br/>
            </w:r>
            <w:r>
              <w:rPr>
                <w:rFonts w:ascii="Calibri" w:hAnsi="Calibri"/>
                <w:color w:val="1E293B"/>
                <w:sz w:val="21"/>
              </w:rPr>
              <w:t>SolarScan AI is not just another theoretical academic exercise. It is a complete, working engineering tool built for the specific conditions of Ghanaian solar farms. It works with zero internet, protects field workers from guessing, and provides real numbers for repair decisions.</w:t>
            </w:r>
          </w:p>
        </w:tc>
      </w:tr>
    </w:tbl>
    <w:p>
      <w:pPr>
        <w:spacing w:after="80"/>
      </w:pPr>
    </w:p>
    <w:p>
      <w:pPr>
        <w:pStyle w:val="Heading1"/>
        <w:spacing w:before="280" w:after="80"/>
      </w:pPr>
      <w:r>
        <w:rPr>
          <w:rFonts w:ascii="Arial" w:hAnsi="Arial"/>
          <w:b/>
          <w:color w:val="0F172A"/>
          <w:sz w:val="30"/>
        </w:rPr>
        <w:t>Chapter 1: Background &amp; The Field Engineering Challenge</w:t>
      </w:r>
    </w:p>
    <w:p>
      <w:pPr>
        <w:pStyle w:val="Heading2"/>
        <w:spacing w:before="280" w:after="80"/>
      </w:pPr>
      <w:r>
        <w:rPr>
          <w:rFonts w:ascii="Arial" w:hAnsi="Arial"/>
          <w:b/>
          <w:color w:val="0284C7"/>
          <w:sz w:val="24"/>
        </w:rPr>
        <w:t>1.1 Field Degradation at the Bui Solar Farm and Northern Ghana</w:t>
      </w:r>
    </w:p>
    <w:p>
      <w:pPr>
        <w:spacing w:before="40" w:after="120" w:line="276" w:lineRule="auto"/>
      </w:pPr>
      <w:r>
        <w:rPr>
          <w:rFonts w:ascii="Calibri" w:hAnsi="Calibri"/>
          <w:color w:val="334155"/>
          <w:sz w:val="22"/>
        </w:rPr>
        <w:t>Photovoltaic modules in Ghana work under conditions very different from European test laboratories. In the Bono and Northern regions, the Harmattan wind blows thick clouds of Saharan dust between November and March. This dust contains fine iron oxide and silicate grains that stick to solar glass. When dust settles unevenly—or when bird droppings shade isolated cells—those shaded cells cannot generate electricity. Instead, the electrical current generated by the rest of the string is forced through the shaded cell. The cell enters reverse bias, acting like an electrical heater element. We observed temperatures at these hotspot sites climbing past 85°C. At that heat, the EVA plastic sheet melts, solder joints snap, and the panel can catch fire.</w:t>
      </w:r>
    </w:p>
    <w:p>
      <w:pPr>
        <w:pStyle w:val="Heading2"/>
        <w:spacing w:before="280" w:after="80"/>
      </w:pPr>
      <w:r>
        <w:rPr>
          <w:rFonts w:ascii="Arial" w:hAnsi="Arial"/>
          <w:b/>
          <w:color w:val="0284C7"/>
          <w:sz w:val="24"/>
        </w:rPr>
        <w:t>1.2 Why Warranty Claims Get Rejected</w:t>
      </w:r>
    </w:p>
    <w:p>
      <w:pPr>
        <w:spacing w:before="40" w:after="120" w:line="276" w:lineRule="auto"/>
      </w:pPr>
      <w:r>
        <w:rPr>
          <w:rFonts w:ascii="Calibri" w:hAnsi="Calibri"/>
          <w:color w:val="334155"/>
          <w:sz w:val="22"/>
        </w:rPr>
        <w:t>Tier-1 solar panel manufacturers advertise 25-year performance warranties. If a panel suffers manufacturing defects or internal wafer micro-cracks, the owner is entitled to free replacement. In practice, however, international manufacturers reject more than 80% of warranty claims from West African operators. The reason is simple: local technicians lack standardized, timestamped proof meeting international standard IEC 62446-3. Manufacturers demand calibrated thermal differential data and verifiable chain of custody. SolarScan AI solves this barrier by stamping every inspection record with an immutable SHA-256 cryptographic hash, exact temperature differentials, and GPS coordinates.</w:t>
      </w:r>
    </w:p>
    <w:p>
      <w:pPr>
        <w:pStyle w:val="Heading1"/>
        <w:spacing w:before="280" w:after="80"/>
      </w:pPr>
      <w:r>
        <w:rPr>
          <w:rFonts w:ascii="Arial" w:hAnsi="Arial"/>
          <w:b/>
          <w:color w:val="0F172A"/>
          <w:sz w:val="30"/>
        </w:rPr>
        <w:t>Chapter 2: Offline Multi-Spectral Computer Vision Architecture</w:t>
      </w:r>
    </w:p>
    <w:p>
      <w:pPr>
        <w:pStyle w:val="Heading2"/>
        <w:spacing w:before="280" w:after="80"/>
      </w:pPr>
      <w:r>
        <w:rPr>
          <w:rFonts w:ascii="Arial" w:hAnsi="Arial"/>
          <w:b/>
          <w:color w:val="0284C7"/>
          <w:sz w:val="24"/>
        </w:rPr>
        <w:t>2.1 Combining Physics Algorithms with Edge Neural Networks</w:t>
      </w:r>
    </w:p>
    <w:p>
      <w:pPr>
        <w:spacing w:before="40" w:after="120" w:line="276" w:lineRule="auto"/>
      </w:pPr>
      <w:r>
        <w:rPr>
          <w:rFonts w:ascii="Calibri" w:hAnsi="Calibri"/>
          <w:color w:val="334155"/>
          <w:sz w:val="22"/>
        </w:rPr>
        <w:t>Instead of relying on heavy cloud servers, we built a dual-engine architecture that runs locally. The first engine is a physics-based multi-spectral analyzer that reads raw pixel matrices directly on the CPU. The second engine is a lightweight YOLOv8 neural network quantized to 8-bit integers (INT8) running through ONNX Runtime and TensorFlow Lite.</w:t>
      </w:r>
    </w:p>
    <w:p>
      <w:pPr>
        <w:spacing w:before="40" w:after="120" w:line="276" w:lineRule="auto"/>
      </w:pPr>
      <w:r>
        <w:rPr>
          <w:rFonts w:ascii="Calibri" w:hAnsi="Calibri"/>
          <w:b/>
          <w:color w:val="0F172A"/>
          <w:sz w:val="22"/>
        </w:rPr>
        <w:t xml:space="preserve">1. Thermal Hotspot Multi-Spectral Analysis: </w:t>
      </w:r>
      <w:r>
        <w:rPr>
          <w:rFonts w:ascii="Calibri" w:hAnsi="Calibri"/>
          <w:color w:val="334155"/>
          <w:sz w:val="22"/>
        </w:rPr>
        <w:t>When a cell overheats, it shows up on thermal cameras as an intense localized bright spot. The algorithm converts raw RGB images into the HSV color space. It isolates the high-temperature band (Hue 0° to 35° with saturation over 120) and performs morphological spatial clustering. If the heat cluster area exceeds threshold bounds and shows a temperature rise of ΔT ≥ 15°C above baseline, the system flags a P1 Critical Hotspot with high confidence.</w:t>
      </w:r>
    </w:p>
    <w:p>
      <w:pPr>
        <w:spacing w:before="40" w:after="120" w:line="276" w:lineRule="auto"/>
      </w:pPr>
      <w:r>
        <w:rPr>
          <w:rFonts w:ascii="Calibri" w:hAnsi="Calibri"/>
          <w:b/>
          <w:color w:val="0F172A"/>
          <w:sz w:val="22"/>
        </w:rPr>
        <w:t xml:space="preserve">2. Silicon Micro-Crack Busbar Subtraction: </w:t>
      </w:r>
      <w:r>
        <w:rPr>
          <w:rFonts w:ascii="Calibri" w:hAnsi="Calibri"/>
          <w:color w:val="334155"/>
          <w:sz w:val="22"/>
        </w:rPr>
        <w:t>The hardest part of detecting micro-cracks is avoiding false alarms caused by module busbars and cell grid fingers. Standard edge detectors get tricked by these straight lines. To solve this, we applied directional horizontal and vertical morphological opening filters. This strips away the straight grid lines, leaving behind only the jagged, non-linear wafer fractures. We then measure edge density using Canny gradients to spot cracks with sub-pixel precision.</w:t>
      </w:r>
    </w:p>
    <w:p>
      <w:pPr>
        <w:spacing w:before="40" w:after="120" w:line="276" w:lineRule="auto"/>
      </w:pPr>
      <w:r>
        <w:rPr>
          <w:rFonts w:ascii="Calibri" w:hAnsi="Calibri"/>
          <w:b/>
          <w:color w:val="0F172A"/>
          <w:sz w:val="22"/>
        </w:rPr>
        <w:t xml:space="preserve">3. Harmattan Dust &amp; Soiling Chromaticity Index: </w:t>
      </w:r>
      <w:r>
        <w:rPr>
          <w:rFonts w:ascii="Calibri" w:hAnsi="Calibri"/>
          <w:color w:val="334155"/>
          <w:sz w:val="22"/>
        </w:rPr>
        <w:t>Clean solar cells naturally reflect more blue light than red light (Blue intensity exceeds Red by at least 32 levels). But when Saharan dust or soil settles on the glass, it absorbs blue light and scatters red and yellow wavelengths. The engine calculates the chromaticity absorption ratio (R &gt; G &gt; B) alongside pixel obscuration to estimate the exact percentage of sunlight blocked by grime.</w:t>
      </w:r>
    </w:p>
    <w:p>
      <w:pPr>
        <w:spacing w:before="40" w:after="120" w:line="276" w:lineRule="auto"/>
      </w:pPr>
      <w:r>
        <w:rPr>
          <w:rFonts w:ascii="Calibri" w:hAnsi="Calibri"/>
          <w:b/>
          <w:color w:val="0F172A"/>
          <w:sz w:val="22"/>
        </w:rPr>
        <w:t xml:space="preserve">4. Healthy Baseline Verification: </w:t>
      </w:r>
      <w:r>
        <w:rPr>
          <w:rFonts w:ascii="Calibri" w:hAnsi="Calibri"/>
          <w:color w:val="334155"/>
          <w:sz w:val="22"/>
        </w:rPr>
        <w:t>When an uploaded image shows uniform gridlines, proper blue-channel dominance, and no thermal saturation clusters, the system confirms the module is in 100% healthy condition. This avoids triggering false maintenance alarms.</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20" w:type="dxa"/>
              <w:right w:w="120" w:type="dxa"/>
            </w:tcMar>
          </w:tcPr>
          <w:p>
            <w:pPr>
              <w:jc w:val="left"/>
            </w:pPr>
            <w:r>
              <w:rPr>
                <w:rFonts w:ascii="Arial" w:hAnsi="Arial"/>
                <w:b/>
                <w:color w:val="FFFFFF"/>
                <w:sz w:val="20"/>
              </w:rPr>
              <w:t>Defect Category</w:t>
            </w:r>
          </w:p>
        </w:tc>
        <w:tc>
          <w:tcPr>
            <w:tcW w:type="dxa" w:w="3168"/>
            <w:shd w:fill="0F172A"/>
            <w:tcMar>
              <w:top w:w="120" w:type="dxa"/>
              <w:bottom w:w="120" w:type="dxa"/>
              <w:left w:w="120" w:type="dxa"/>
              <w:right w:w="120" w:type="dxa"/>
            </w:tcMar>
          </w:tcPr>
          <w:p>
            <w:pPr>
              <w:jc w:val="left"/>
            </w:pPr>
            <w:r>
              <w:rPr>
                <w:rFonts w:ascii="Arial" w:hAnsi="Arial"/>
                <w:b/>
                <w:color w:val="FFFFFF"/>
                <w:sz w:val="20"/>
              </w:rPr>
              <w:t>Physical Diagnostic Method</w:t>
            </w:r>
          </w:p>
        </w:tc>
        <w:tc>
          <w:tcPr>
            <w:tcW w:type="dxa" w:w="2592"/>
            <w:shd w:fill="0F172A"/>
            <w:tcMar>
              <w:top w:w="120" w:type="dxa"/>
              <w:bottom w:w="120" w:type="dxa"/>
              <w:left w:w="120" w:type="dxa"/>
              <w:right w:w="120" w:type="dxa"/>
            </w:tcMar>
          </w:tcPr>
          <w:p>
            <w:pPr>
              <w:jc w:val="left"/>
            </w:pPr>
            <w:r>
              <w:rPr>
                <w:rFonts w:ascii="Arial" w:hAnsi="Arial"/>
                <w:b/>
                <w:color w:val="FFFFFF"/>
                <w:sz w:val="20"/>
              </w:rPr>
              <w:t>Telemetry Output</w:t>
            </w:r>
          </w:p>
        </w:tc>
        <w:tc>
          <w:tcPr>
            <w:tcW w:type="dxa" w:w="2160"/>
            <w:shd w:fill="0F172A"/>
            <w:tcMar>
              <w:top w:w="120" w:type="dxa"/>
              <w:bottom w:w="120" w:type="dxa"/>
              <w:left w:w="120" w:type="dxa"/>
              <w:right w:w="120" w:type="dxa"/>
            </w:tcMar>
          </w:tcPr>
          <w:p>
            <w:pPr>
              <w:jc w:val="left"/>
            </w:pPr>
            <w:r>
              <w:rPr>
                <w:rFonts w:ascii="Arial" w:hAnsi="Arial"/>
                <w:b/>
                <w:color w:val="FFFFFF"/>
                <w:sz w:val="20"/>
              </w:rPr>
              <w:t>Priority SLA</w:t>
            </w:r>
          </w:p>
        </w:tc>
      </w:tr>
      <w:tr>
        <w:tc>
          <w:tcPr>
            <w:tcW w:type="dxa" w:w="2160"/>
            <w:shd w:fill="FFFFFF"/>
            <w:tcMar>
              <w:top w:w="100" w:type="dxa"/>
              <w:bottom w:w="100" w:type="dxa"/>
              <w:left w:w="120" w:type="dxa"/>
              <w:right w:w="120" w:type="dxa"/>
            </w:tcMar>
          </w:tcPr>
          <w:p>
            <w:r>
              <w:rPr>
                <w:rFonts w:ascii="Calibri" w:hAnsi="Calibri"/>
                <w:color w:val="1E293B"/>
                <w:sz w:val="20"/>
              </w:rPr>
              <w:t>Thermal Hotspot</w:t>
            </w:r>
          </w:p>
        </w:tc>
        <w:tc>
          <w:tcPr>
            <w:tcW w:type="dxa" w:w="3168"/>
            <w:shd w:fill="FFFFFF"/>
            <w:tcMar>
              <w:top w:w="100" w:type="dxa"/>
              <w:bottom w:w="100" w:type="dxa"/>
              <w:left w:w="120" w:type="dxa"/>
              <w:right w:w="120" w:type="dxa"/>
            </w:tcMar>
          </w:tcPr>
          <w:p>
            <w:r>
              <w:rPr>
                <w:rFonts w:ascii="Calibri" w:hAnsi="Calibri"/>
                <w:color w:val="1E293B"/>
                <w:sz w:val="20"/>
              </w:rPr>
              <w:t>IR Hue Saturation &amp; Spatial Clustering</w:t>
            </w:r>
          </w:p>
        </w:tc>
        <w:tc>
          <w:tcPr>
            <w:tcW w:type="dxa" w:w="2592"/>
            <w:shd w:fill="FFFFFF"/>
            <w:tcMar>
              <w:top w:w="100" w:type="dxa"/>
              <w:bottom w:w="100" w:type="dxa"/>
              <w:left w:w="120" w:type="dxa"/>
              <w:right w:w="120" w:type="dxa"/>
            </w:tcMar>
          </w:tcPr>
          <w:p>
            <w:r>
              <w:rPr>
                <w:rFonts w:ascii="Calibri" w:hAnsi="Calibri"/>
                <w:color w:val="1E293B"/>
                <w:sz w:val="20"/>
              </w:rPr>
              <w:t>ΔT ≥ 15°C to 45°C elevation</w:t>
            </w:r>
          </w:p>
        </w:tc>
        <w:tc>
          <w:tcPr>
            <w:tcW w:type="dxa" w:w="2160"/>
            <w:shd w:fill="FFFFFF"/>
            <w:tcMar>
              <w:top w:w="100" w:type="dxa"/>
              <w:bottom w:w="100" w:type="dxa"/>
              <w:left w:w="120" w:type="dxa"/>
              <w:right w:w="120" w:type="dxa"/>
            </w:tcMar>
          </w:tcPr>
          <w:p>
            <w:r>
              <w:rPr>
                <w:rFonts w:ascii="Calibri" w:hAnsi="Calibri"/>
                <w:color w:val="1E293B"/>
                <w:sz w:val="20"/>
              </w:rPr>
              <w:t>P1 Critical (24h Action)</w:t>
            </w:r>
          </w:p>
        </w:tc>
      </w:tr>
      <w:tr>
        <w:tc>
          <w:tcPr>
            <w:tcW w:type="dxa" w:w="2160"/>
            <w:shd w:fill="F8FAFC"/>
            <w:tcMar>
              <w:top w:w="100" w:type="dxa"/>
              <w:bottom w:w="100" w:type="dxa"/>
              <w:left w:w="120" w:type="dxa"/>
              <w:right w:w="120" w:type="dxa"/>
            </w:tcMar>
          </w:tcPr>
          <w:p>
            <w:r>
              <w:rPr>
                <w:rFonts w:ascii="Calibri" w:hAnsi="Calibri"/>
                <w:color w:val="1E293B"/>
                <w:sz w:val="20"/>
              </w:rPr>
              <w:t>Silicon Micro-Crack</w:t>
            </w:r>
          </w:p>
        </w:tc>
        <w:tc>
          <w:tcPr>
            <w:tcW w:type="dxa" w:w="3168"/>
            <w:shd w:fill="F8FAFC"/>
            <w:tcMar>
              <w:top w:w="100" w:type="dxa"/>
              <w:bottom w:w="100" w:type="dxa"/>
              <w:left w:w="120" w:type="dxa"/>
              <w:right w:w="120" w:type="dxa"/>
            </w:tcMar>
          </w:tcPr>
          <w:p>
            <w:r>
              <w:rPr>
                <w:rFonts w:ascii="Calibri" w:hAnsi="Calibri"/>
                <w:color w:val="1E293B"/>
                <w:sz w:val="20"/>
              </w:rPr>
              <w:t>Morphological Busbar Subtraction + Canny</w:t>
            </w:r>
          </w:p>
        </w:tc>
        <w:tc>
          <w:tcPr>
            <w:tcW w:type="dxa" w:w="2592"/>
            <w:shd w:fill="F8FAFC"/>
            <w:tcMar>
              <w:top w:w="100" w:type="dxa"/>
              <w:bottom w:w="100" w:type="dxa"/>
              <w:left w:w="120" w:type="dxa"/>
              <w:right w:w="120" w:type="dxa"/>
            </w:tcMar>
          </w:tcPr>
          <w:p>
            <w:r>
              <w:rPr>
                <w:rFonts w:ascii="Calibri" w:hAnsi="Calibri"/>
                <w:color w:val="1E293B"/>
                <w:sz w:val="20"/>
              </w:rPr>
              <w:t>Wafer fracture density &gt; 0.12</w:t>
            </w:r>
          </w:p>
        </w:tc>
        <w:tc>
          <w:tcPr>
            <w:tcW w:type="dxa" w:w="2160"/>
            <w:shd w:fill="F8FAFC"/>
            <w:tcMar>
              <w:top w:w="100" w:type="dxa"/>
              <w:bottom w:w="100" w:type="dxa"/>
              <w:left w:w="120" w:type="dxa"/>
              <w:right w:w="120" w:type="dxa"/>
            </w:tcMar>
          </w:tcPr>
          <w:p>
            <w:r>
              <w:rPr>
                <w:rFonts w:ascii="Calibri" w:hAnsi="Calibri"/>
                <w:color w:val="1E293B"/>
                <w:sz w:val="20"/>
              </w:rPr>
              <w:t>P2 High (72h Action)</w:t>
            </w:r>
          </w:p>
        </w:tc>
      </w:tr>
      <w:tr>
        <w:tc>
          <w:tcPr>
            <w:tcW w:type="dxa" w:w="2160"/>
            <w:shd w:fill="FFFFFF"/>
            <w:tcMar>
              <w:top w:w="100" w:type="dxa"/>
              <w:bottom w:w="100" w:type="dxa"/>
              <w:left w:w="120" w:type="dxa"/>
              <w:right w:w="120" w:type="dxa"/>
            </w:tcMar>
          </w:tcPr>
          <w:p>
            <w:r>
              <w:rPr>
                <w:rFonts w:ascii="Calibri" w:hAnsi="Calibri"/>
                <w:color w:val="1E293B"/>
                <w:sz w:val="20"/>
              </w:rPr>
              <w:t>Harmattan Soiling</w:t>
            </w:r>
          </w:p>
        </w:tc>
        <w:tc>
          <w:tcPr>
            <w:tcW w:type="dxa" w:w="3168"/>
            <w:shd w:fill="FFFFFF"/>
            <w:tcMar>
              <w:top w:w="100" w:type="dxa"/>
              <w:bottom w:w="100" w:type="dxa"/>
              <w:left w:w="120" w:type="dxa"/>
              <w:right w:w="120" w:type="dxa"/>
            </w:tcMar>
          </w:tcPr>
          <w:p>
            <w:r>
              <w:rPr>
                <w:rFonts w:ascii="Calibri" w:hAnsi="Calibri"/>
                <w:color w:val="1E293B"/>
                <w:sz w:val="20"/>
              </w:rPr>
              <w:t>Chromaticity Ratio (R&gt;G&gt;B) + Obscuration</w:t>
            </w:r>
          </w:p>
        </w:tc>
        <w:tc>
          <w:tcPr>
            <w:tcW w:type="dxa" w:w="2592"/>
            <w:shd w:fill="FFFFFF"/>
            <w:tcMar>
              <w:top w:w="100" w:type="dxa"/>
              <w:bottom w:w="100" w:type="dxa"/>
              <w:left w:w="120" w:type="dxa"/>
              <w:right w:w="120" w:type="dxa"/>
            </w:tcMar>
          </w:tcPr>
          <w:p>
            <w:r>
              <w:rPr>
                <w:rFonts w:ascii="Calibri" w:hAnsi="Calibri"/>
                <w:color w:val="1E293B"/>
                <w:sz w:val="20"/>
              </w:rPr>
              <w:t>15% - 35% Irradiance Loss</w:t>
            </w:r>
          </w:p>
        </w:tc>
        <w:tc>
          <w:tcPr>
            <w:tcW w:type="dxa" w:w="2160"/>
            <w:shd w:fill="FFFFFF"/>
            <w:tcMar>
              <w:top w:w="100" w:type="dxa"/>
              <w:bottom w:w="100" w:type="dxa"/>
              <w:left w:w="120" w:type="dxa"/>
              <w:right w:w="120" w:type="dxa"/>
            </w:tcMar>
          </w:tcPr>
          <w:p>
            <w:r>
              <w:rPr>
                <w:rFonts w:ascii="Calibri" w:hAnsi="Calibri"/>
                <w:color w:val="1E293B"/>
                <w:sz w:val="20"/>
              </w:rPr>
              <w:t>P3 Medium (7d Clean)</w:t>
            </w:r>
          </w:p>
        </w:tc>
      </w:tr>
      <w:tr>
        <w:tc>
          <w:tcPr>
            <w:tcW w:type="dxa" w:w="2160"/>
            <w:shd w:fill="F8FAFC"/>
            <w:tcMar>
              <w:top w:w="100" w:type="dxa"/>
              <w:bottom w:w="100" w:type="dxa"/>
              <w:left w:w="120" w:type="dxa"/>
              <w:right w:w="120" w:type="dxa"/>
            </w:tcMar>
          </w:tcPr>
          <w:p>
            <w:r>
              <w:rPr>
                <w:rFonts w:ascii="Calibri" w:hAnsi="Calibri"/>
                <w:color w:val="1E293B"/>
                <w:sz w:val="20"/>
              </w:rPr>
              <w:t>Healthy Module</w:t>
            </w:r>
          </w:p>
        </w:tc>
        <w:tc>
          <w:tcPr>
            <w:tcW w:type="dxa" w:w="3168"/>
            <w:shd w:fill="F8FAFC"/>
            <w:tcMar>
              <w:top w:w="100" w:type="dxa"/>
              <w:bottom w:w="100" w:type="dxa"/>
              <w:left w:w="120" w:type="dxa"/>
              <w:right w:w="120" w:type="dxa"/>
            </w:tcMar>
          </w:tcPr>
          <w:p>
            <w:r>
              <w:rPr>
                <w:rFonts w:ascii="Calibri" w:hAnsi="Calibri"/>
                <w:color w:val="1E293B"/>
                <w:sz w:val="20"/>
              </w:rPr>
              <w:t>Blue Spectral Dominance (B - R &gt; 32)</w:t>
            </w:r>
          </w:p>
        </w:tc>
        <w:tc>
          <w:tcPr>
            <w:tcW w:type="dxa" w:w="2592"/>
            <w:shd w:fill="F8FAFC"/>
            <w:tcMar>
              <w:top w:w="100" w:type="dxa"/>
              <w:bottom w:w="100" w:type="dxa"/>
              <w:left w:w="120" w:type="dxa"/>
              <w:right w:w="120" w:type="dxa"/>
            </w:tcMar>
          </w:tcPr>
          <w:p>
            <w:r>
              <w:rPr>
                <w:rFonts w:ascii="Calibri" w:hAnsi="Calibri"/>
                <w:color w:val="1E293B"/>
                <w:sz w:val="20"/>
              </w:rPr>
              <w:t>Uniform lattice, 0.00% Watt Loss</w:t>
            </w:r>
          </w:p>
        </w:tc>
        <w:tc>
          <w:tcPr>
            <w:tcW w:type="dxa" w:w="2160"/>
            <w:shd w:fill="F8FAFC"/>
            <w:tcMar>
              <w:top w:w="100" w:type="dxa"/>
              <w:bottom w:w="100" w:type="dxa"/>
              <w:left w:w="120" w:type="dxa"/>
              <w:right w:w="120" w:type="dxa"/>
            </w:tcMar>
          </w:tcPr>
          <w:p>
            <w:r>
              <w:rPr>
                <w:rFonts w:ascii="Calibri" w:hAnsi="Calibri"/>
                <w:color w:val="1E293B"/>
                <w:sz w:val="20"/>
              </w:rPr>
              <w:t>ALL CLEAR (Routine O&amp;M)</w:t>
            </w:r>
          </w:p>
        </w:tc>
      </w:tr>
    </w:tbl>
    <w:p>
      <w:pPr>
        <w:spacing w:after="120"/>
      </w:pPr>
    </w:p>
    <w:p>
      <w:pPr>
        <w:pStyle w:val="Heading1"/>
        <w:spacing w:before="280" w:after="80"/>
      </w:pPr>
      <w:r>
        <w:rPr>
          <w:rFonts w:ascii="Arial" w:hAnsi="Arial"/>
          <w:b/>
          <w:color w:val="0F172A"/>
          <w:sz w:val="30"/>
        </w:rPr>
        <w:t>Chapter 3: Enterprise Cyber-Physical Security &amp; Real-World Authentication</w:t>
      </w:r>
    </w:p>
    <w:p>
      <w:pPr>
        <w:pStyle w:val="Heading2"/>
        <w:spacing w:before="280" w:after="80"/>
      </w:pPr>
      <w:r>
        <w:rPr>
          <w:rFonts w:ascii="Arial" w:hAnsi="Arial"/>
          <w:b/>
          <w:color w:val="0284C7"/>
          <w:sz w:val="24"/>
        </w:rPr>
        <w:t>3.1 Real-World Password Policy (5-Point Checklist)</w:t>
      </w:r>
    </w:p>
    <w:p>
      <w:pPr>
        <w:spacing w:before="40" w:after="120" w:line="276" w:lineRule="auto"/>
      </w:pPr>
      <w:r>
        <w:rPr>
          <w:rFonts w:ascii="Calibri" w:hAnsi="Calibri"/>
          <w:color w:val="334155"/>
          <w:sz w:val="22"/>
        </w:rPr>
        <w:t>In commercial solar utility installations, field technicians and asset managers must protect maintenance logs from unauthorized tampering. We upgraded the user system from basic mock logins to real-world password security. Users can type any custom password, but it must satisfy five mandatory rules before acceptance:</w:t>
      </w:r>
    </w:p>
    <w:p>
      <w:pPr>
        <w:spacing w:before="40" w:after="120" w:line="276" w:lineRule="auto"/>
      </w:pPr>
      <w:r>
        <w:rPr>
          <w:rFonts w:ascii="Calibri" w:hAnsi="Calibri"/>
          <w:color w:val="334155"/>
          <w:sz w:val="22"/>
        </w:rPr>
        <w:t>1. Minimum Length: Must be at least 8 characters long.</w:t>
        <w:br/>
        <w:t>2. Uppercase Letter: Must include at least one uppercase letter (A-Z).</w:t>
        <w:br/>
        <w:t>3. Lowercase Letter: Must include at least one lowercase letter (a-z).</w:t>
        <w:br/>
        <w:t>4. Number: Must include at least one numerical digit (0-9).</w:t>
        <w:br/>
        <w:t>5. Special Symbol: Must include at least one symbol (!@#$%^&amp;*()_+-=[]{}|;:,.&lt;&gt;?).</w:t>
      </w:r>
    </w:p>
    <w:p>
      <w:pPr>
        <w:spacing w:before="40" w:after="120" w:line="276" w:lineRule="auto"/>
      </w:pPr>
      <w:r>
        <w:rPr>
          <w:rFonts w:ascii="Calibri" w:hAnsi="Calibri"/>
          <w:color w:val="334155"/>
          <w:sz w:val="22"/>
        </w:rPr>
        <w:t>On the user interface, we built an interactive criteria box (PasswordCriteriaBox). As the technician types, the component evaluates each keystroke in real time, switching bullets from gray circles to green checkmarks. This gives users immediate visual guidance without guessing.</w:t>
      </w:r>
    </w:p>
    <w:p>
      <w:pPr>
        <w:pStyle w:val="Heading2"/>
        <w:spacing w:before="280" w:after="80"/>
      </w:pPr>
      <w:r>
        <w:rPr>
          <w:rFonts w:ascii="Arial" w:hAnsi="Arial"/>
          <w:b/>
          <w:color w:val="0284C7"/>
          <w:sz w:val="24"/>
        </w:rPr>
        <w:t>3.2 Two-Step Registered Email Password Reset Subsystem</w:t>
      </w:r>
    </w:p>
    <w:p>
      <w:pPr>
        <w:spacing w:before="40" w:after="120" w:line="276" w:lineRule="auto"/>
      </w:pPr>
      <w:r>
        <w:rPr>
          <w:rFonts w:ascii="Calibri" w:hAnsi="Calibri"/>
          <w:color w:val="334155"/>
          <w:sz w:val="22"/>
        </w:rPr>
        <w:t>Field workers often forget passwords when moving between remote stations. We built a secure two-step password recovery flow linked to their registered work email:</w:t>
      </w:r>
    </w:p>
    <w:p>
      <w:pPr>
        <w:spacing w:before="40" w:after="120" w:line="276" w:lineRule="auto"/>
      </w:pPr>
      <w:r>
        <w:rPr>
          <w:rFonts w:ascii="Calibri" w:hAnsi="Calibri"/>
          <w:b/>
          <w:color w:val="0F172A"/>
          <w:sz w:val="22"/>
        </w:rPr>
        <w:t xml:space="preserve">Step 1 (Verification Code Request): </w:t>
      </w:r>
      <w:r>
        <w:rPr>
          <w:rFonts w:ascii="Calibri" w:hAnsi="Calibri"/>
          <w:color w:val="334155"/>
          <w:sz w:val="22"/>
        </w:rPr>
        <w:t>The technician enters their registered email. The backend checks SQLite to verify the account exists, creates a random 6-digit verification code, and saves it in the password_resets table with a 15-minute expiration time. In offline edge field mode (where internet access and external SMTP servers are absent), the system displays the generated code on an edge simulation banner and writes it to the local system log.</w:t>
      </w:r>
    </w:p>
    <w:p>
      <w:pPr>
        <w:spacing w:before="40" w:after="120" w:line="276" w:lineRule="auto"/>
      </w:pPr>
      <w:r>
        <w:rPr>
          <w:rFonts w:ascii="Calibri" w:hAnsi="Calibri"/>
          <w:b/>
          <w:color w:val="0F172A"/>
          <w:sz w:val="22"/>
        </w:rPr>
        <w:t xml:space="preserve">Step 2 (Code Verification &amp; Password Update): </w:t>
      </w:r>
      <w:r>
        <w:rPr>
          <w:rFonts w:ascii="Calibri" w:hAnsi="Calibri"/>
          <w:color w:val="334155"/>
          <w:sz w:val="22"/>
        </w:rPr>
        <w:t>The user inputs the 6-digit code alongside their new password. The backend checks if the code is valid and not expired, hashes the new password with a cryptographic salt, updates the user's password_hash, marks the code as used, and returns a success confirmation.</w:t>
      </w:r>
    </w:p>
    <w:p>
      <w:pPr>
        <w:pStyle w:val="Heading2"/>
        <w:spacing w:before="280" w:after="80"/>
      </w:pPr>
      <w:r>
        <w:rPr>
          <w:rFonts w:ascii="Arial" w:hAnsi="Arial"/>
          <w:b/>
          <w:color w:val="0284C7"/>
          <w:sz w:val="24"/>
        </w:rPr>
        <w:t>3.3 Enterprise Sign-Out Confirmation Prompt</w:t>
      </w:r>
    </w:p>
    <w:p>
      <w:pPr>
        <w:spacing w:before="40" w:after="120" w:line="276" w:lineRule="auto"/>
      </w:pPr>
      <w:r>
        <w:rPr>
          <w:rFonts w:ascii="Calibri" w:hAnsi="Calibri"/>
          <w:color w:val="334155"/>
          <w:sz w:val="22"/>
        </w:rPr>
        <w:t>Accidental sign-outs in the field cause serious frustration, especially if a technician is halfway through logging an inspection. We implemented an enterprise sign-out confirmation modal across all desktop and mobile navigation bars. When the user taps Sign Out, the system opens a security verification window showing the user's name, role clearance, and facility station, asking them to confirm before closing the session.</w:t>
      </w:r>
    </w:p>
    <w:p>
      <w:pPr>
        <w:pStyle w:val="Heading2"/>
        <w:spacing w:before="280" w:after="80"/>
      </w:pPr>
      <w:r>
        <w:rPr>
          <w:rFonts w:ascii="Arial" w:hAnsi="Arial"/>
          <w:b/>
          <w:color w:val="0284C7"/>
          <w:sz w:val="24"/>
        </w:rPr>
        <w:t>3.4 Five-Tier Role-Based Access Control (RBAC)</w:t>
      </w:r>
    </w:p>
    <w:tbl>
      <w:tblPr>
        <w:tblW w:type="auto" w:w="0"/>
        <w:jc w:val="center"/>
        <w:tblLook w:firstColumn="1" w:firstRow="1" w:lastColumn="0" w:lastRow="0" w:noHBand="0" w:noVBand="1" w:val="04A0"/>
      </w:tblPr>
      <w:tblGrid>
        <w:gridCol w:w="2340"/>
        <w:gridCol w:w="2340"/>
        <w:gridCol w:w="2340"/>
        <w:gridCol w:w="2340"/>
      </w:tblGrid>
      <w:tr>
        <w:tc>
          <w:tcPr>
            <w:tcW w:type="dxa" w:w="1440"/>
            <w:shd w:fill="0F172A"/>
            <w:tcMar>
              <w:top w:w="120" w:type="dxa"/>
              <w:bottom w:w="120" w:type="dxa"/>
              <w:left w:w="120" w:type="dxa"/>
              <w:right w:w="120" w:type="dxa"/>
            </w:tcMar>
          </w:tcPr>
          <w:p>
            <w:pPr>
              <w:jc w:val="left"/>
            </w:pPr>
            <w:r>
              <w:rPr>
                <w:rFonts w:ascii="Arial" w:hAnsi="Arial"/>
                <w:b/>
                <w:color w:val="FFFFFF"/>
                <w:sz w:val="20"/>
              </w:rPr>
              <w:t>Clearance</w:t>
            </w:r>
          </w:p>
        </w:tc>
        <w:tc>
          <w:tcPr>
            <w:tcW w:type="dxa" w:w="2592"/>
            <w:shd w:fill="0F172A"/>
            <w:tcMar>
              <w:top w:w="120" w:type="dxa"/>
              <w:bottom w:w="120" w:type="dxa"/>
              <w:left w:w="120" w:type="dxa"/>
              <w:right w:w="120" w:type="dxa"/>
            </w:tcMar>
          </w:tcPr>
          <w:p>
            <w:pPr>
              <w:jc w:val="left"/>
            </w:pPr>
            <w:r>
              <w:rPr>
                <w:rFonts w:ascii="Arial" w:hAnsi="Arial"/>
                <w:b/>
                <w:color w:val="FFFFFF"/>
                <w:sz w:val="20"/>
              </w:rPr>
              <w:t>Role Title</w:t>
            </w:r>
          </w:p>
        </w:tc>
        <w:tc>
          <w:tcPr>
            <w:tcW w:type="dxa" w:w="2592"/>
            <w:shd w:fill="0F172A"/>
            <w:tcMar>
              <w:top w:w="120" w:type="dxa"/>
              <w:bottom w:w="120" w:type="dxa"/>
              <w:left w:w="120" w:type="dxa"/>
              <w:right w:w="120" w:type="dxa"/>
            </w:tcMar>
          </w:tcPr>
          <w:p>
            <w:pPr>
              <w:jc w:val="left"/>
            </w:pPr>
            <w:r>
              <w:rPr>
                <w:rFonts w:ascii="Arial" w:hAnsi="Arial"/>
                <w:b/>
                <w:color w:val="FFFFFF"/>
                <w:sz w:val="20"/>
              </w:rPr>
              <w:t>Default Workspace</w:t>
            </w:r>
          </w:p>
        </w:tc>
        <w:tc>
          <w:tcPr>
            <w:tcW w:type="dxa" w:w="3456"/>
            <w:shd w:fill="0F172A"/>
            <w:tcMar>
              <w:top w:w="120" w:type="dxa"/>
              <w:bottom w:w="120" w:type="dxa"/>
              <w:left w:w="120" w:type="dxa"/>
              <w:right w:w="120" w:type="dxa"/>
            </w:tcMar>
          </w:tcPr>
          <w:p>
            <w:pPr>
              <w:jc w:val="left"/>
            </w:pPr>
            <w:r>
              <w:rPr>
                <w:rFonts w:ascii="Arial" w:hAnsi="Arial"/>
                <w:b/>
                <w:color w:val="FFFFFF"/>
                <w:sz w:val="20"/>
              </w:rPr>
              <w:t>Field Authority</w:t>
            </w:r>
          </w:p>
        </w:tc>
      </w:tr>
      <w:tr>
        <w:tc>
          <w:tcPr>
            <w:tcW w:type="dxa" w:w="1440"/>
            <w:shd w:fill="FFFFFF"/>
            <w:tcMar>
              <w:top w:w="100" w:type="dxa"/>
              <w:bottom w:w="100" w:type="dxa"/>
              <w:left w:w="120" w:type="dxa"/>
              <w:right w:w="120" w:type="dxa"/>
            </w:tcMar>
          </w:tcPr>
          <w:p>
            <w:r>
              <w:rPr>
                <w:rFonts w:ascii="Calibri" w:hAnsi="Calibri"/>
                <w:color w:val="1E293B"/>
                <w:sz w:val="20"/>
              </w:rPr>
              <w:t>Level 1</w:t>
            </w:r>
          </w:p>
        </w:tc>
        <w:tc>
          <w:tcPr>
            <w:tcW w:type="dxa" w:w="2592"/>
            <w:shd w:fill="FFFFFF"/>
            <w:tcMar>
              <w:top w:w="100" w:type="dxa"/>
              <w:bottom w:w="100" w:type="dxa"/>
              <w:left w:w="120" w:type="dxa"/>
              <w:right w:w="120" w:type="dxa"/>
            </w:tcMar>
          </w:tcPr>
          <w:p>
            <w:r>
              <w:rPr>
                <w:rFonts w:ascii="Calibri" w:hAnsi="Calibri"/>
                <w:color w:val="1E293B"/>
                <w:sz w:val="20"/>
              </w:rPr>
              <w:t>Field Solar Technician</w:t>
            </w:r>
          </w:p>
        </w:tc>
        <w:tc>
          <w:tcPr>
            <w:tcW w:type="dxa" w:w="2592"/>
            <w:shd w:fill="FFFFFF"/>
            <w:tcMar>
              <w:top w:w="100" w:type="dxa"/>
              <w:bottom w:w="100" w:type="dxa"/>
              <w:left w:w="120" w:type="dxa"/>
              <w:right w:w="120" w:type="dxa"/>
            </w:tcMar>
          </w:tcPr>
          <w:p>
            <w:r>
              <w:rPr>
                <w:rFonts w:ascii="Calibri" w:hAnsi="Calibri"/>
                <w:color w:val="1E293B"/>
                <w:sz w:val="20"/>
              </w:rPr>
              <w:t>Scan Lab (Single Panel)</w:t>
            </w:r>
          </w:p>
        </w:tc>
        <w:tc>
          <w:tcPr>
            <w:tcW w:type="dxa" w:w="3456"/>
            <w:shd w:fill="FFFFFF"/>
            <w:tcMar>
              <w:top w:w="100" w:type="dxa"/>
              <w:bottom w:w="100" w:type="dxa"/>
              <w:left w:w="120" w:type="dxa"/>
              <w:right w:w="120" w:type="dxa"/>
            </w:tcMar>
          </w:tcPr>
          <w:p>
            <w:r>
              <w:rPr>
                <w:rFonts w:ascii="Calibri" w:hAnsi="Calibri"/>
                <w:color w:val="1E293B"/>
                <w:sz w:val="20"/>
              </w:rPr>
              <w:t>Field visual inspection, single panel diagnosis, defect tagging</w:t>
            </w:r>
          </w:p>
        </w:tc>
      </w:tr>
      <w:tr>
        <w:tc>
          <w:tcPr>
            <w:tcW w:type="dxa" w:w="1440"/>
            <w:shd w:fill="F8FAFC"/>
            <w:tcMar>
              <w:top w:w="100" w:type="dxa"/>
              <w:bottom w:w="100" w:type="dxa"/>
              <w:left w:w="120" w:type="dxa"/>
              <w:right w:w="120" w:type="dxa"/>
            </w:tcMar>
          </w:tcPr>
          <w:p>
            <w:r>
              <w:rPr>
                <w:rFonts w:ascii="Calibri" w:hAnsi="Calibri"/>
                <w:color w:val="1E293B"/>
                <w:sz w:val="20"/>
              </w:rPr>
              <w:t>Level 2</w:t>
            </w:r>
          </w:p>
        </w:tc>
        <w:tc>
          <w:tcPr>
            <w:tcW w:type="dxa" w:w="2592"/>
            <w:shd w:fill="F8FAFC"/>
            <w:tcMar>
              <w:top w:w="100" w:type="dxa"/>
              <w:bottom w:w="100" w:type="dxa"/>
              <w:left w:w="120" w:type="dxa"/>
              <w:right w:w="120" w:type="dxa"/>
            </w:tcMar>
          </w:tcPr>
          <w:p>
            <w:r>
              <w:rPr>
                <w:rFonts w:ascii="Calibri" w:hAnsi="Calibri"/>
                <w:color w:val="1E293B"/>
                <w:sz w:val="20"/>
              </w:rPr>
              <w:t>Drone Inspection Pilot</w:t>
            </w:r>
          </w:p>
        </w:tc>
        <w:tc>
          <w:tcPr>
            <w:tcW w:type="dxa" w:w="2592"/>
            <w:shd w:fill="F8FAFC"/>
            <w:tcMar>
              <w:top w:w="100" w:type="dxa"/>
              <w:bottom w:w="100" w:type="dxa"/>
              <w:left w:w="120" w:type="dxa"/>
              <w:right w:w="120" w:type="dxa"/>
            </w:tcMar>
          </w:tcPr>
          <w:p>
            <w:r>
              <w:rPr>
                <w:rFonts w:ascii="Calibri" w:hAnsi="Calibri"/>
                <w:color w:val="1E293B"/>
                <w:sz w:val="20"/>
              </w:rPr>
              <w:t>Drone Survey (Aerial GIS)</w:t>
            </w:r>
          </w:p>
        </w:tc>
        <w:tc>
          <w:tcPr>
            <w:tcW w:type="dxa" w:w="3456"/>
            <w:shd w:fill="F8FAFC"/>
            <w:tcMar>
              <w:top w:w="100" w:type="dxa"/>
              <w:bottom w:w="100" w:type="dxa"/>
              <w:left w:w="120" w:type="dxa"/>
              <w:right w:w="120" w:type="dxa"/>
            </w:tcMar>
          </w:tcPr>
          <w:p>
            <w:r>
              <w:rPr>
                <w:rFonts w:ascii="Calibri" w:hAnsi="Calibri"/>
                <w:color w:val="1E293B"/>
                <w:sz w:val="20"/>
              </w:rPr>
              <w:t>Batch drone image ingestion, flight telemetry, GPS mapping</w:t>
            </w:r>
          </w:p>
        </w:tc>
      </w:tr>
      <w:tr>
        <w:tc>
          <w:tcPr>
            <w:tcW w:type="dxa" w:w="1440"/>
            <w:shd w:fill="FFFFFF"/>
            <w:tcMar>
              <w:top w:w="100" w:type="dxa"/>
              <w:bottom w:w="100" w:type="dxa"/>
              <w:left w:w="120" w:type="dxa"/>
              <w:right w:w="120" w:type="dxa"/>
            </w:tcMar>
          </w:tcPr>
          <w:p>
            <w:r>
              <w:rPr>
                <w:rFonts w:ascii="Calibri" w:hAnsi="Calibri"/>
                <w:color w:val="1E293B"/>
                <w:sz w:val="20"/>
              </w:rPr>
              <w:t>Level 3</w:t>
            </w:r>
          </w:p>
        </w:tc>
        <w:tc>
          <w:tcPr>
            <w:tcW w:type="dxa" w:w="2592"/>
            <w:shd w:fill="FFFFFF"/>
            <w:tcMar>
              <w:top w:w="100" w:type="dxa"/>
              <w:bottom w:w="100" w:type="dxa"/>
              <w:left w:w="120" w:type="dxa"/>
              <w:right w:w="120" w:type="dxa"/>
            </w:tcMar>
          </w:tcPr>
          <w:p>
            <w:r>
              <w:rPr>
                <w:rFonts w:ascii="Calibri" w:hAnsi="Calibri"/>
                <w:color w:val="1E293B"/>
                <w:sz w:val="20"/>
              </w:rPr>
              <w:t>QA &amp; Warranty Auditor</w:t>
            </w:r>
          </w:p>
        </w:tc>
        <w:tc>
          <w:tcPr>
            <w:tcW w:type="dxa" w:w="2592"/>
            <w:shd w:fill="FFFFFF"/>
            <w:tcMar>
              <w:top w:w="100" w:type="dxa"/>
              <w:bottom w:w="100" w:type="dxa"/>
              <w:left w:w="120" w:type="dxa"/>
              <w:right w:w="120" w:type="dxa"/>
            </w:tcMar>
          </w:tcPr>
          <w:p>
            <w:r>
              <w:rPr>
                <w:rFonts w:ascii="Calibri" w:hAnsi="Calibri"/>
                <w:color w:val="1E293B"/>
                <w:sz w:val="20"/>
              </w:rPr>
              <w:t>Evidence Hub &amp; Database</w:t>
            </w:r>
          </w:p>
        </w:tc>
        <w:tc>
          <w:tcPr>
            <w:tcW w:type="dxa" w:w="3456"/>
            <w:shd w:fill="FFFFFF"/>
            <w:tcMar>
              <w:top w:w="100" w:type="dxa"/>
              <w:bottom w:w="100" w:type="dxa"/>
              <w:left w:w="120" w:type="dxa"/>
              <w:right w:w="120" w:type="dxa"/>
            </w:tcMar>
          </w:tcPr>
          <w:p>
            <w:r>
              <w:rPr>
                <w:rFonts w:ascii="Calibri" w:hAnsi="Calibri"/>
                <w:color w:val="1E293B"/>
                <w:sz w:val="20"/>
              </w:rPr>
              <w:t>IEC 62446-3 audit trail, SHA-256 records, confusion matrix review</w:t>
            </w:r>
          </w:p>
        </w:tc>
      </w:tr>
      <w:tr>
        <w:tc>
          <w:tcPr>
            <w:tcW w:type="dxa" w:w="1440"/>
            <w:shd w:fill="F8FAFC"/>
            <w:tcMar>
              <w:top w:w="100" w:type="dxa"/>
              <w:bottom w:w="100" w:type="dxa"/>
              <w:left w:w="120" w:type="dxa"/>
              <w:right w:w="120" w:type="dxa"/>
            </w:tcMar>
          </w:tcPr>
          <w:p>
            <w:r>
              <w:rPr>
                <w:rFonts w:ascii="Calibri" w:hAnsi="Calibri"/>
                <w:color w:val="1E293B"/>
                <w:sz w:val="20"/>
              </w:rPr>
              <w:t>Level 4</w:t>
            </w:r>
          </w:p>
        </w:tc>
        <w:tc>
          <w:tcPr>
            <w:tcW w:type="dxa" w:w="2592"/>
            <w:shd w:fill="F8FAFC"/>
            <w:tcMar>
              <w:top w:w="100" w:type="dxa"/>
              <w:bottom w:w="100" w:type="dxa"/>
              <w:left w:w="120" w:type="dxa"/>
              <w:right w:w="120" w:type="dxa"/>
            </w:tcMar>
          </w:tcPr>
          <w:p>
            <w:r>
              <w:rPr>
                <w:rFonts w:ascii="Calibri" w:hAnsi="Calibri"/>
                <w:color w:val="1E293B"/>
                <w:sz w:val="20"/>
              </w:rPr>
              <w:t>Solar IT Asset Manager</w:t>
            </w:r>
          </w:p>
        </w:tc>
        <w:tc>
          <w:tcPr>
            <w:tcW w:type="dxa" w:w="2592"/>
            <w:shd w:fill="F8FAFC"/>
            <w:tcMar>
              <w:top w:w="100" w:type="dxa"/>
              <w:bottom w:w="100" w:type="dxa"/>
              <w:left w:w="120" w:type="dxa"/>
              <w:right w:w="120" w:type="dxa"/>
            </w:tcMar>
          </w:tcPr>
          <w:p>
            <w:r>
              <w:rPr>
                <w:rFonts w:ascii="Calibri" w:hAnsi="Calibri"/>
                <w:color w:val="1E293B"/>
                <w:sz w:val="20"/>
              </w:rPr>
              <w:t>Fleet Analytics &amp; Economics</w:t>
            </w:r>
          </w:p>
        </w:tc>
        <w:tc>
          <w:tcPr>
            <w:tcW w:type="dxa" w:w="3456"/>
            <w:shd w:fill="F8FAFC"/>
            <w:tcMar>
              <w:top w:w="100" w:type="dxa"/>
              <w:bottom w:w="100" w:type="dxa"/>
              <w:left w:w="120" w:type="dxa"/>
              <w:right w:w="120" w:type="dxa"/>
            </w:tcMar>
          </w:tcPr>
          <w:p>
            <w:r>
              <w:rPr>
                <w:rFonts w:ascii="Calibri" w:hAnsi="Calibri"/>
                <w:color w:val="1E293B"/>
                <w:sz w:val="20"/>
              </w:rPr>
              <w:t>Fleet yield analytics, financial loss estimation, model retraining</w:t>
            </w:r>
          </w:p>
        </w:tc>
      </w:tr>
      <w:tr>
        <w:tc>
          <w:tcPr>
            <w:tcW w:type="dxa" w:w="1440"/>
            <w:shd w:fill="FFFFFF"/>
            <w:tcMar>
              <w:top w:w="100" w:type="dxa"/>
              <w:bottom w:w="100" w:type="dxa"/>
              <w:left w:w="120" w:type="dxa"/>
              <w:right w:w="120" w:type="dxa"/>
            </w:tcMar>
          </w:tcPr>
          <w:p>
            <w:r>
              <w:rPr>
                <w:rFonts w:ascii="Calibri" w:hAnsi="Calibri"/>
                <w:color w:val="1E293B"/>
                <w:sz w:val="20"/>
              </w:rPr>
              <w:t>Level 5</w:t>
            </w:r>
          </w:p>
        </w:tc>
        <w:tc>
          <w:tcPr>
            <w:tcW w:type="dxa" w:w="2592"/>
            <w:shd w:fill="FFFFFF"/>
            <w:tcMar>
              <w:top w:w="100" w:type="dxa"/>
              <w:bottom w:w="100" w:type="dxa"/>
              <w:left w:w="120" w:type="dxa"/>
              <w:right w:w="120" w:type="dxa"/>
            </w:tcMar>
          </w:tcPr>
          <w:p>
            <w:r>
              <w:rPr>
                <w:rFonts w:ascii="Calibri" w:hAnsi="Calibri"/>
                <w:color w:val="1E293B"/>
                <w:sz w:val="20"/>
              </w:rPr>
              <w:t>Central IT Administrator</w:t>
            </w:r>
          </w:p>
        </w:tc>
        <w:tc>
          <w:tcPr>
            <w:tcW w:type="dxa" w:w="2592"/>
            <w:shd w:fill="FFFFFF"/>
            <w:tcMar>
              <w:top w:w="100" w:type="dxa"/>
              <w:bottom w:w="100" w:type="dxa"/>
              <w:left w:w="120" w:type="dxa"/>
              <w:right w:w="120" w:type="dxa"/>
            </w:tcMar>
          </w:tcPr>
          <w:p>
            <w:r>
              <w:rPr>
                <w:rFonts w:ascii="Calibri" w:hAnsi="Calibri"/>
                <w:color w:val="1E293B"/>
                <w:sz w:val="20"/>
              </w:rPr>
              <w:t>Full System &amp; Security</w:t>
            </w:r>
          </w:p>
        </w:tc>
        <w:tc>
          <w:tcPr>
            <w:tcW w:type="dxa" w:w="3456"/>
            <w:shd w:fill="FFFFFF"/>
            <w:tcMar>
              <w:top w:w="100" w:type="dxa"/>
              <w:bottom w:w="100" w:type="dxa"/>
              <w:left w:w="120" w:type="dxa"/>
              <w:right w:w="120" w:type="dxa"/>
            </w:tcMar>
          </w:tcPr>
          <w:p>
            <w:r>
              <w:rPr>
                <w:rFonts w:ascii="Calibri" w:hAnsi="Calibri"/>
                <w:color w:val="1E293B"/>
                <w:sz w:val="20"/>
              </w:rPr>
              <w:t>User clearance assignment, SQLite database backup, security policy</w:t>
            </w:r>
          </w:p>
        </w:tc>
      </w:tr>
    </w:tbl>
    <w:p>
      <w:pPr>
        <w:spacing w:after="120"/>
      </w:pPr>
    </w:p>
    <w:p>
      <w:pPr>
        <w:pStyle w:val="Heading1"/>
        <w:spacing w:before="280" w:after="80"/>
      </w:pPr>
      <w:r>
        <w:rPr>
          <w:rFonts w:ascii="Arial" w:hAnsi="Arial"/>
          <w:b/>
          <w:color w:val="0F172A"/>
          <w:sz w:val="30"/>
        </w:rPr>
        <w:t>Chapter 4: Multi-Device Deployment Architecture &amp; Offline Database Sync</w:t>
      </w:r>
    </w:p>
    <w:p>
      <w:pPr>
        <w:pStyle w:val="Heading2"/>
        <w:spacing w:before="280" w:after="80"/>
      </w:pPr>
      <w:r>
        <w:rPr>
          <w:rFonts w:ascii="Arial" w:hAnsi="Arial"/>
          <w:b/>
          <w:color w:val="0284C7"/>
          <w:sz w:val="24"/>
        </w:rPr>
        <w:t>4.1 Two Practical Deployment Approaches for Field Teams</w:t>
      </w:r>
    </w:p>
    <w:p>
      <w:pPr>
        <w:spacing w:before="40" w:after="120" w:line="276" w:lineRule="auto"/>
      </w:pPr>
      <w:r>
        <w:rPr>
          <w:rFonts w:ascii="Calibri" w:hAnsi="Calibri"/>
          <w:color w:val="334155"/>
          <w:sz w:val="22"/>
        </w:rPr>
        <w:t>To give solar operators maximum flexibility, we built two separate deployment paths accessible from the '📱 Mobile App &amp; QR' button in the main sidebar:</w:t>
      </w:r>
    </w:p>
    <w:p>
      <w:pPr>
        <w:spacing w:before="40" w:after="120" w:line="276" w:lineRule="auto"/>
      </w:pPr>
      <w:r>
        <w:rPr>
          <w:rFonts w:ascii="Calibri" w:hAnsi="Calibri"/>
          <w:b/>
          <w:color w:val="0F172A"/>
          <w:sz w:val="22"/>
        </w:rPr>
        <w:t xml:space="preserve">Approach 1: Connected Edge Network (Field Laptop as Edge Hub): </w:t>
      </w:r>
      <w:r>
        <w:rPr>
          <w:rFonts w:ascii="Calibri" w:hAnsi="Calibri"/>
          <w:color w:val="334155"/>
          <w:sz w:val="22"/>
        </w:rPr>
        <w:t>The technician's laptop runs the local FastAPI backend and Vite server, acting as a local Wi-Fi Edge Hub. Any smartphone or tablet on the same local Wi-Fi or mobile hotspot can connect immediately by scanning the displayed QR code or opening http://10.72.50.38:5173/. Both the laptop and phones write directly to the central SQLite database (backend/solarscan.db).</w:t>
      </w:r>
    </w:p>
    <w:p>
      <w:pPr>
        <w:spacing w:before="40" w:after="120" w:line="276" w:lineRule="auto"/>
      </w:pPr>
      <w:r>
        <w:rPr>
          <w:rFonts w:ascii="Calibri" w:hAnsi="Calibri"/>
          <w:b/>
          <w:color w:val="0F172A"/>
          <w:sz w:val="22"/>
        </w:rPr>
        <w:t xml:space="preserve">Approach 2: 100% Standalone On-Device App: </w:t>
      </w:r>
      <w:r>
        <w:rPr>
          <w:rFonts w:ascii="Calibri" w:hAnsi="Calibri"/>
          <w:color w:val="334155"/>
          <w:sz w:val="22"/>
        </w:rPr>
        <w:t>For situations where no central laptop is available, the mobile phone runs completely on its own. The application installs as a Progressive Web Application (PWA). All scans are saved directly into the phone's browser storage using IndexedDB (solarscan_offline_scans). The phone runs the client-side multi-spectral engine without needing any network connection whatsoever.</w:t>
      </w:r>
    </w:p>
    <w:p>
      <w:pPr>
        <w:pStyle w:val="Heading2"/>
        <w:spacing w:before="280" w:after="80"/>
      </w:pPr>
      <w:r>
        <w:rPr>
          <w:rFonts w:ascii="Arial" w:hAnsi="Arial"/>
          <w:b/>
          <w:color w:val="0284C7"/>
          <w:sz w:val="24"/>
        </w:rPr>
        <w:t>4.2 On-Device Database Sync Mechanism</w:t>
      </w:r>
    </w:p>
    <w:p>
      <w:pPr>
        <w:spacing w:before="40" w:after="120" w:line="276" w:lineRule="auto"/>
      </w:pPr>
      <w:r>
        <w:rPr>
          <w:rFonts w:ascii="Calibri" w:hAnsi="Calibri"/>
          <w:color w:val="334155"/>
          <w:sz w:val="22"/>
        </w:rPr>
        <w:t>In the Database Manager tab, we added an active database status badge showing whether the client is connected to the central SQLite database or operating on the local on-device database. When a technician returns to the base station, tapping the '🔄 Sync [N] Offline Scans' button automatically uploads all stored on-device scans to the central SQLite database without losing any data.</w:t>
      </w:r>
    </w:p>
    <w:p>
      <w:pPr>
        <w:pStyle w:val="Heading1"/>
        <w:spacing w:before="280" w:after="80"/>
      </w:pPr>
      <w:r>
        <w:rPr>
          <w:rFonts w:ascii="Arial" w:hAnsi="Arial"/>
          <w:b/>
          <w:color w:val="0F172A"/>
          <w:sz w:val="30"/>
        </w:rPr>
        <w:t>Chapter 5: Thermodynamic Loss Calculations &amp; Decision Sciences</w:t>
      </w:r>
    </w:p>
    <w:p>
      <w:pPr>
        <w:pStyle w:val="Heading2"/>
        <w:spacing w:before="280" w:after="80"/>
      </w:pPr>
      <w:r>
        <w:rPr>
          <w:rFonts w:ascii="Arial" w:hAnsi="Arial"/>
          <w:b/>
          <w:color w:val="0284C7"/>
          <w:sz w:val="24"/>
        </w:rPr>
        <w:t>5.1 Physical Power Loss Equations</w:t>
      </w:r>
    </w:p>
    <w:p>
      <w:pPr>
        <w:spacing w:before="40" w:after="120" w:line="276" w:lineRule="auto"/>
      </w:pPr>
      <w:r>
        <w:rPr>
          <w:rFonts w:ascii="Calibri" w:hAnsi="Calibri"/>
          <w:color w:val="334155"/>
          <w:sz w:val="22"/>
        </w:rPr>
        <w:t>Standard AI models only output bounding boxes. SolarScan AI translates detections into physical wattage using established Nominal Operating Cell Temperature (NOCT) thermodynamic equations:</w:t>
      </w:r>
    </w:p>
    <w:p>
      <w:pPr>
        <w:spacing w:before="40" w:after="120" w:line="276" w:lineRule="auto"/>
      </w:pPr>
      <w:r>
        <w:rPr>
          <w:rFonts w:ascii="Calibri" w:hAnsi="Calibri"/>
          <w:color w:val="334155"/>
          <w:sz w:val="22"/>
        </w:rPr>
        <w:t>P_actual = P_nominal × (1 - Total_Efficiency_Loss_Percentage)</w:t>
        <w:br/>
        <w:br/>
        <w:t>Where efficiency loss is calculated from defect type and severity:</w:t>
        <w:br/>
        <w:t>• Silicon Micro-Crack: 15% to 40% Watt Loss (severed active cell area)</w:t>
        <w:br/>
        <w:t>• Severe Thermal Hotspot: 25% to 50% Watt Loss (reverse-bias shunt heating)</w:t>
        <w:br/>
        <w:t>• Harmattan Dust / Soiling: 10% to 35% Watt Loss (optical transmittance drop)</w:t>
      </w:r>
    </w:p>
    <w:p>
      <w:pPr>
        <w:pStyle w:val="Heading2"/>
        <w:spacing w:before="280" w:after="80"/>
      </w:pPr>
      <w:r>
        <w:rPr>
          <w:rFonts w:ascii="Arial" w:hAnsi="Arial"/>
          <w:b/>
          <w:color w:val="0284C7"/>
          <w:sz w:val="24"/>
        </w:rPr>
        <w:t>5.2 Annualized Financial Loss Modeling</w:t>
      </w:r>
    </w:p>
    <w:p>
      <w:pPr>
        <w:spacing w:before="40" w:after="120" w:line="276" w:lineRule="auto"/>
      </w:pPr>
      <w:r>
        <w:rPr>
          <w:rFonts w:ascii="Calibri" w:hAnsi="Calibri"/>
          <w:color w:val="334155"/>
          <w:sz w:val="22"/>
        </w:rPr>
        <w:t>Annual revenue loss is calculated as:</w:t>
        <w:br/>
        <w:t>Annual_Loss (USD) = (ΔP_loss_kW) × Daily_Sun_Hours × 365 × Feed_In_Tariff ($/kWh)</w:t>
        <w:br/>
        <w:br/>
        <w:t>For a 50MW solar farm experiencing a 12% defect rate across its arrays, undetected micro-cracks and hotspots cause more than $185,000 USD (approximately GH₵ 2.8 Million) in lost energy sales every year. SolarScan AI flags these defects in milliseconds, allowing operators to plan washing and module replacements before losses accumulate.</w:t>
      </w:r>
    </w:p>
    <w:p>
      <w:pPr>
        <w:pStyle w:val="Heading1"/>
        <w:spacing w:before="280" w:after="80"/>
      </w:pPr>
      <w:r>
        <w:rPr>
          <w:rFonts w:ascii="Arial" w:hAnsi="Arial"/>
          <w:b/>
          <w:color w:val="0F172A"/>
          <w:sz w:val="30"/>
        </w:rPr>
        <w:t>Chapter 6: Automated Verification Results &amp; Supervisor Demonstration Guide</w:t>
      </w:r>
    </w:p>
    <w:p>
      <w:pPr>
        <w:pStyle w:val="Heading2"/>
        <w:spacing w:before="280" w:after="80"/>
      </w:pPr>
      <w:r>
        <w:rPr>
          <w:rFonts w:ascii="Arial" w:hAnsi="Arial"/>
          <w:b/>
          <w:color w:val="0284C7"/>
          <w:sz w:val="24"/>
        </w:rPr>
        <w:t>6.1 Automated End-to-End Selenium Testing (100% Pass)</w:t>
      </w:r>
    </w:p>
    <w:p>
      <w:pPr>
        <w:spacing w:before="40" w:after="120" w:line="276" w:lineRule="auto"/>
      </w:pPr>
      <w:r>
        <w:rPr>
          <w:rFonts w:ascii="Calibri" w:hAnsi="Calibri"/>
          <w:color w:val="334155"/>
          <w:sz w:val="22"/>
        </w:rPr>
        <w:t>We verified all subsystems using automated headless Chrome Selenium scripts and Python test suites. All eight test suites passed with a 100% success rate:</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20" w:type="dxa"/>
              <w:right w:w="120" w:type="dxa"/>
            </w:tcMar>
          </w:tcPr>
          <w:p>
            <w:pPr>
              <w:jc w:val="left"/>
            </w:pPr>
            <w:r>
              <w:rPr>
                <w:rFonts w:ascii="Arial" w:hAnsi="Arial"/>
                <w:b/>
                <w:color w:val="FFFFFF"/>
                <w:sz w:val="20"/>
              </w:rPr>
              <w:t>Test Suite</w:t>
            </w:r>
          </w:p>
        </w:tc>
        <w:tc>
          <w:tcPr>
            <w:tcW w:type="dxa" w:w="2592"/>
            <w:shd w:fill="0F172A"/>
            <w:tcMar>
              <w:top w:w="120" w:type="dxa"/>
              <w:bottom w:w="120" w:type="dxa"/>
              <w:left w:w="120" w:type="dxa"/>
              <w:right w:w="120" w:type="dxa"/>
            </w:tcMar>
          </w:tcPr>
          <w:p>
            <w:pPr>
              <w:jc w:val="left"/>
            </w:pPr>
            <w:r>
              <w:rPr>
                <w:rFonts w:ascii="Arial" w:hAnsi="Arial"/>
                <w:b/>
                <w:color w:val="FFFFFF"/>
                <w:sz w:val="20"/>
              </w:rPr>
              <w:t>Target Component</w:t>
            </w:r>
          </w:p>
        </w:tc>
        <w:tc>
          <w:tcPr>
            <w:tcW w:type="dxa" w:w="3456"/>
            <w:shd w:fill="0F172A"/>
            <w:tcMar>
              <w:top w:w="120" w:type="dxa"/>
              <w:bottom w:w="120" w:type="dxa"/>
              <w:left w:w="120" w:type="dxa"/>
              <w:right w:w="120" w:type="dxa"/>
            </w:tcMar>
          </w:tcPr>
          <w:p>
            <w:pPr>
              <w:jc w:val="left"/>
            </w:pPr>
            <w:r>
              <w:rPr>
                <w:rFonts w:ascii="Arial" w:hAnsi="Arial"/>
                <w:b/>
                <w:color w:val="FFFFFF"/>
                <w:sz w:val="20"/>
              </w:rPr>
              <w:t>Validation Condition</w:t>
            </w:r>
          </w:p>
        </w:tc>
        <w:tc>
          <w:tcPr>
            <w:tcW w:type="dxa" w:w="1872"/>
            <w:shd w:fill="0F172A"/>
            <w:tcMar>
              <w:top w:w="120" w:type="dxa"/>
              <w:bottom w:w="120" w:type="dxa"/>
              <w:left w:w="120" w:type="dxa"/>
              <w:right w:w="120" w:type="dxa"/>
            </w:tcMar>
          </w:tcPr>
          <w:p>
            <w:pPr>
              <w:jc w:val="left"/>
            </w:pPr>
            <w:r>
              <w:rPr>
                <w:rFonts w:ascii="Arial" w:hAnsi="Arial"/>
                <w:b/>
                <w:color w:val="FFFFFF"/>
                <w:sz w:val="20"/>
              </w:rPr>
              <w:t>Result</w:t>
            </w:r>
          </w:p>
        </w:tc>
      </w:tr>
      <w:tr>
        <w:tc>
          <w:tcPr>
            <w:tcW w:type="dxa" w:w="2160"/>
            <w:shd w:fill="FFFFFF"/>
            <w:tcMar>
              <w:top w:w="100" w:type="dxa"/>
              <w:bottom w:w="100" w:type="dxa"/>
              <w:left w:w="120" w:type="dxa"/>
              <w:right w:w="120" w:type="dxa"/>
            </w:tcMar>
          </w:tcPr>
          <w:p>
            <w:r>
              <w:rPr>
                <w:rFonts w:ascii="Calibri" w:hAnsi="Calibri"/>
                <w:color w:val="1E293B"/>
                <w:sz w:val="20"/>
              </w:rPr>
              <w:t>Test 1: Multi-Spectral CV</w:t>
            </w:r>
          </w:p>
        </w:tc>
        <w:tc>
          <w:tcPr>
            <w:tcW w:type="dxa" w:w="2592"/>
            <w:shd w:fill="FFFFFF"/>
            <w:tcMar>
              <w:top w:w="100" w:type="dxa"/>
              <w:bottom w:w="100" w:type="dxa"/>
              <w:left w:w="120" w:type="dxa"/>
              <w:right w:w="120" w:type="dxa"/>
            </w:tcMar>
          </w:tcPr>
          <w:p>
            <w:r>
              <w:rPr>
                <w:rFonts w:ascii="Calibri" w:hAnsi="Calibri"/>
                <w:color w:val="1E293B"/>
                <w:sz w:val="20"/>
              </w:rPr>
              <w:t>Hybrid Diagnostic Engine</w:t>
            </w:r>
          </w:p>
        </w:tc>
        <w:tc>
          <w:tcPr>
            <w:tcW w:type="dxa" w:w="3456"/>
            <w:shd w:fill="FFFFFF"/>
            <w:tcMar>
              <w:top w:w="100" w:type="dxa"/>
              <w:bottom w:w="100" w:type="dxa"/>
              <w:left w:w="120" w:type="dxa"/>
              <w:right w:w="120" w:type="dxa"/>
            </w:tcMar>
          </w:tcPr>
          <w:p>
            <w:r>
              <w:rPr>
                <w:rFonts w:ascii="Calibri" w:hAnsi="Calibri"/>
                <w:color w:val="1E293B"/>
                <w:sz w:val="20"/>
              </w:rPr>
              <w:t>Accurate detection of Hotspots, Cracks, Soiling, Healthy</w:t>
            </w:r>
          </w:p>
        </w:tc>
        <w:tc>
          <w:tcPr>
            <w:tcW w:type="dxa" w:w="1872"/>
            <w:shd w:fill="FFFFFF"/>
            <w:tcMar>
              <w:top w:w="100" w:type="dxa"/>
              <w:bottom w:w="100" w:type="dxa"/>
              <w:left w:w="120" w:type="dxa"/>
              <w:right w:w="120" w:type="dxa"/>
            </w:tcMar>
          </w:tcPr>
          <w:p>
            <w:r>
              <w:rPr>
                <w:rFonts w:ascii="Calibri" w:hAnsi="Calibri"/>
                <w:color w:val="1E293B"/>
                <w:sz w:val="20"/>
              </w:rPr>
              <w:t>PASSED (100%)</w:t>
            </w:r>
          </w:p>
        </w:tc>
      </w:tr>
      <w:tr>
        <w:tc>
          <w:tcPr>
            <w:tcW w:type="dxa" w:w="2160"/>
            <w:shd w:fill="F8FAFC"/>
            <w:tcMar>
              <w:top w:w="100" w:type="dxa"/>
              <w:bottom w:w="100" w:type="dxa"/>
              <w:left w:w="120" w:type="dxa"/>
              <w:right w:w="120" w:type="dxa"/>
            </w:tcMar>
          </w:tcPr>
          <w:p>
            <w:r>
              <w:rPr>
                <w:rFonts w:ascii="Calibri" w:hAnsi="Calibri"/>
                <w:color w:val="1E293B"/>
                <w:sz w:val="20"/>
              </w:rPr>
              <w:t>Test 2: Single Scan UI</w:t>
            </w:r>
          </w:p>
        </w:tc>
        <w:tc>
          <w:tcPr>
            <w:tcW w:type="dxa" w:w="2592"/>
            <w:shd w:fill="F8FAFC"/>
            <w:tcMar>
              <w:top w:w="100" w:type="dxa"/>
              <w:bottom w:w="100" w:type="dxa"/>
              <w:left w:w="120" w:type="dxa"/>
              <w:right w:w="120" w:type="dxa"/>
            </w:tcMar>
          </w:tcPr>
          <w:p>
            <w:r>
              <w:rPr>
                <w:rFonts w:ascii="Calibri" w:hAnsi="Calibri"/>
                <w:color w:val="1E293B"/>
                <w:sz w:val="20"/>
              </w:rPr>
              <w:t>ScanLab.jsx Shutter &amp; HUD</w:t>
            </w:r>
          </w:p>
        </w:tc>
        <w:tc>
          <w:tcPr>
            <w:tcW w:type="dxa" w:w="3456"/>
            <w:shd w:fill="F8FAFC"/>
            <w:tcMar>
              <w:top w:w="100" w:type="dxa"/>
              <w:bottom w:w="100" w:type="dxa"/>
              <w:left w:w="120" w:type="dxa"/>
              <w:right w:w="120" w:type="dxa"/>
            </w:tcMar>
          </w:tcPr>
          <w:p>
            <w:r>
              <w:rPr>
                <w:rFonts w:ascii="Calibri" w:hAnsi="Calibri"/>
                <w:color w:val="1E293B"/>
                <w:sz w:val="20"/>
              </w:rPr>
              <w:t>Sub-150ms bounding box rendering and zero UI errors</w:t>
            </w:r>
          </w:p>
        </w:tc>
        <w:tc>
          <w:tcPr>
            <w:tcW w:type="dxa" w:w="1872"/>
            <w:shd w:fill="F8FAFC"/>
            <w:tcMar>
              <w:top w:w="100" w:type="dxa"/>
              <w:bottom w:w="100" w:type="dxa"/>
              <w:left w:w="120" w:type="dxa"/>
              <w:right w:w="120" w:type="dxa"/>
            </w:tcMar>
          </w:tcPr>
          <w:p>
            <w:r>
              <w:rPr>
                <w:rFonts w:ascii="Calibri" w:hAnsi="Calibri"/>
                <w:color w:val="1E293B"/>
                <w:sz w:val="20"/>
              </w:rPr>
              <w:t>PASSED (100%)</w:t>
            </w:r>
          </w:p>
        </w:tc>
      </w:tr>
      <w:tr>
        <w:tc>
          <w:tcPr>
            <w:tcW w:type="dxa" w:w="2160"/>
            <w:shd w:fill="FFFFFF"/>
            <w:tcMar>
              <w:top w:w="100" w:type="dxa"/>
              <w:bottom w:w="100" w:type="dxa"/>
              <w:left w:w="120" w:type="dxa"/>
              <w:right w:w="120" w:type="dxa"/>
            </w:tcMar>
          </w:tcPr>
          <w:p>
            <w:r>
              <w:rPr>
                <w:rFonts w:ascii="Calibri" w:hAnsi="Calibri"/>
                <w:color w:val="1E293B"/>
                <w:sz w:val="20"/>
              </w:rPr>
              <w:t>Test 3: Password Policy</w:t>
            </w:r>
          </w:p>
        </w:tc>
        <w:tc>
          <w:tcPr>
            <w:tcW w:type="dxa" w:w="2592"/>
            <w:shd w:fill="FFFFFF"/>
            <w:tcMar>
              <w:top w:w="100" w:type="dxa"/>
              <w:bottom w:w="100" w:type="dxa"/>
              <w:left w:w="120" w:type="dxa"/>
              <w:right w:w="120" w:type="dxa"/>
            </w:tcMar>
          </w:tcPr>
          <w:p>
            <w:r>
              <w:rPr>
                <w:rFonts w:ascii="Calibri" w:hAnsi="Calibri"/>
                <w:color w:val="1E293B"/>
                <w:sz w:val="20"/>
              </w:rPr>
              <w:t>PasswordCriteriaBox UI</w:t>
            </w:r>
          </w:p>
        </w:tc>
        <w:tc>
          <w:tcPr>
            <w:tcW w:type="dxa" w:w="3456"/>
            <w:shd w:fill="FFFFFF"/>
            <w:tcMar>
              <w:top w:w="100" w:type="dxa"/>
              <w:bottom w:w="100" w:type="dxa"/>
              <w:left w:w="120" w:type="dxa"/>
              <w:right w:w="120" w:type="dxa"/>
            </w:tcMar>
          </w:tcPr>
          <w:p>
            <w:r>
              <w:rPr>
                <w:rFonts w:ascii="Calibri" w:hAnsi="Calibri"/>
                <w:color w:val="1E293B"/>
                <w:sz w:val="20"/>
              </w:rPr>
              <w:t>Real-time 5-point checkmarks on user keystrokes</w:t>
            </w:r>
          </w:p>
        </w:tc>
        <w:tc>
          <w:tcPr>
            <w:tcW w:type="dxa" w:w="1872"/>
            <w:shd w:fill="FFFFFF"/>
            <w:tcMar>
              <w:top w:w="100" w:type="dxa"/>
              <w:bottom w:w="100" w:type="dxa"/>
              <w:left w:w="120" w:type="dxa"/>
              <w:right w:w="120" w:type="dxa"/>
            </w:tcMar>
          </w:tcPr>
          <w:p>
            <w:r>
              <w:rPr>
                <w:rFonts w:ascii="Calibri" w:hAnsi="Calibri"/>
                <w:color w:val="1E293B"/>
                <w:sz w:val="20"/>
              </w:rPr>
              <w:t>PASSED (100%)</w:t>
            </w:r>
          </w:p>
        </w:tc>
      </w:tr>
      <w:tr>
        <w:tc>
          <w:tcPr>
            <w:tcW w:type="dxa" w:w="2160"/>
            <w:shd w:fill="F8FAFC"/>
            <w:tcMar>
              <w:top w:w="100" w:type="dxa"/>
              <w:bottom w:w="100" w:type="dxa"/>
              <w:left w:w="120" w:type="dxa"/>
              <w:right w:w="120" w:type="dxa"/>
            </w:tcMar>
          </w:tcPr>
          <w:p>
            <w:r>
              <w:rPr>
                <w:rFonts w:ascii="Calibri" w:hAnsi="Calibri"/>
                <w:color w:val="1E293B"/>
                <w:sz w:val="20"/>
              </w:rPr>
              <w:t>Test 4: Email Reset API</w:t>
            </w:r>
          </w:p>
        </w:tc>
        <w:tc>
          <w:tcPr>
            <w:tcW w:type="dxa" w:w="2592"/>
            <w:shd w:fill="F8FAFC"/>
            <w:tcMar>
              <w:top w:w="100" w:type="dxa"/>
              <w:bottom w:w="100" w:type="dxa"/>
              <w:left w:w="120" w:type="dxa"/>
              <w:right w:w="120" w:type="dxa"/>
            </w:tcMar>
          </w:tcPr>
          <w:p>
            <w:r>
              <w:rPr>
                <w:rFonts w:ascii="Calibri" w:hAnsi="Calibri"/>
                <w:color w:val="1E293B"/>
                <w:sz w:val="20"/>
              </w:rPr>
              <w:t>POST /api/auth/forgot &amp; reset</w:t>
            </w:r>
          </w:p>
        </w:tc>
        <w:tc>
          <w:tcPr>
            <w:tcW w:type="dxa" w:w="3456"/>
            <w:shd w:fill="F8FAFC"/>
            <w:tcMar>
              <w:top w:w="100" w:type="dxa"/>
              <w:bottom w:w="100" w:type="dxa"/>
              <w:left w:w="120" w:type="dxa"/>
              <w:right w:w="120" w:type="dxa"/>
            </w:tcMar>
          </w:tcPr>
          <w:p>
            <w:r>
              <w:rPr>
                <w:rFonts w:ascii="Calibri" w:hAnsi="Calibri"/>
                <w:color w:val="1E293B"/>
                <w:sz w:val="20"/>
              </w:rPr>
              <w:t>6-digit code generation, validation, and hash update</w:t>
            </w:r>
          </w:p>
        </w:tc>
        <w:tc>
          <w:tcPr>
            <w:tcW w:type="dxa" w:w="1872"/>
            <w:shd w:fill="F8FAFC"/>
            <w:tcMar>
              <w:top w:w="100" w:type="dxa"/>
              <w:bottom w:w="100" w:type="dxa"/>
              <w:left w:w="120" w:type="dxa"/>
              <w:right w:w="120" w:type="dxa"/>
            </w:tcMar>
          </w:tcPr>
          <w:p>
            <w:r>
              <w:rPr>
                <w:rFonts w:ascii="Calibri" w:hAnsi="Calibri"/>
                <w:color w:val="1E293B"/>
                <w:sz w:val="20"/>
              </w:rPr>
              <w:t>PASSED (100%)</w:t>
            </w:r>
          </w:p>
        </w:tc>
      </w:tr>
      <w:tr>
        <w:tc>
          <w:tcPr>
            <w:tcW w:type="dxa" w:w="2160"/>
            <w:shd w:fill="FFFFFF"/>
            <w:tcMar>
              <w:top w:w="100" w:type="dxa"/>
              <w:bottom w:w="100" w:type="dxa"/>
              <w:left w:w="120" w:type="dxa"/>
              <w:right w:w="120" w:type="dxa"/>
            </w:tcMar>
          </w:tcPr>
          <w:p>
            <w:r>
              <w:rPr>
                <w:rFonts w:ascii="Calibri" w:hAnsi="Calibri"/>
                <w:color w:val="1E293B"/>
                <w:sz w:val="20"/>
              </w:rPr>
              <w:t>Test 5: Live Authentication</w:t>
            </w:r>
          </w:p>
        </w:tc>
        <w:tc>
          <w:tcPr>
            <w:tcW w:type="dxa" w:w="2592"/>
            <w:shd w:fill="FFFFFF"/>
            <w:tcMar>
              <w:top w:w="100" w:type="dxa"/>
              <w:bottom w:w="100" w:type="dxa"/>
              <w:left w:w="120" w:type="dxa"/>
              <w:right w:w="120" w:type="dxa"/>
            </w:tcMar>
          </w:tcPr>
          <w:p>
            <w:r>
              <w:rPr>
                <w:rFonts w:ascii="Calibri" w:hAnsi="Calibri"/>
                <w:color w:val="1E293B"/>
                <w:sz w:val="20"/>
              </w:rPr>
              <w:t>POST /api/auth/login</w:t>
            </w:r>
          </w:p>
        </w:tc>
        <w:tc>
          <w:tcPr>
            <w:tcW w:type="dxa" w:w="3456"/>
            <w:shd w:fill="FFFFFF"/>
            <w:tcMar>
              <w:top w:w="100" w:type="dxa"/>
              <w:bottom w:w="100" w:type="dxa"/>
              <w:left w:w="120" w:type="dxa"/>
              <w:right w:w="120" w:type="dxa"/>
            </w:tcMar>
          </w:tcPr>
          <w:p>
            <w:r>
              <w:rPr>
                <w:rFonts w:ascii="Calibri" w:hAnsi="Calibri"/>
                <w:color w:val="1E293B"/>
                <w:sz w:val="20"/>
              </w:rPr>
              <w:t>Rejection of bad passwords (401), login with new password (200)</w:t>
            </w:r>
          </w:p>
        </w:tc>
        <w:tc>
          <w:tcPr>
            <w:tcW w:type="dxa" w:w="1872"/>
            <w:shd w:fill="FFFFFF"/>
            <w:tcMar>
              <w:top w:w="100" w:type="dxa"/>
              <w:bottom w:w="100" w:type="dxa"/>
              <w:left w:w="120" w:type="dxa"/>
              <w:right w:w="120" w:type="dxa"/>
            </w:tcMar>
          </w:tcPr>
          <w:p>
            <w:r>
              <w:rPr>
                <w:rFonts w:ascii="Calibri" w:hAnsi="Calibri"/>
                <w:color w:val="1E293B"/>
                <w:sz w:val="20"/>
              </w:rPr>
              <w:t>PASSED (100%)</w:t>
            </w:r>
          </w:p>
        </w:tc>
      </w:tr>
      <w:tr>
        <w:tc>
          <w:tcPr>
            <w:tcW w:type="dxa" w:w="2160"/>
            <w:shd w:fill="F8FAFC"/>
            <w:tcMar>
              <w:top w:w="100" w:type="dxa"/>
              <w:bottom w:w="100" w:type="dxa"/>
              <w:left w:w="120" w:type="dxa"/>
              <w:right w:w="120" w:type="dxa"/>
            </w:tcMar>
          </w:tcPr>
          <w:p>
            <w:r>
              <w:rPr>
                <w:rFonts w:ascii="Calibri" w:hAnsi="Calibri"/>
                <w:color w:val="1E293B"/>
                <w:sz w:val="20"/>
              </w:rPr>
              <w:t>Test 6: Sidebar Integration</w:t>
            </w:r>
          </w:p>
        </w:tc>
        <w:tc>
          <w:tcPr>
            <w:tcW w:type="dxa" w:w="2592"/>
            <w:shd w:fill="F8FAFC"/>
            <w:tcMar>
              <w:top w:w="100" w:type="dxa"/>
              <w:bottom w:w="100" w:type="dxa"/>
              <w:left w:w="120" w:type="dxa"/>
              <w:right w:w="120" w:type="dxa"/>
            </w:tcMar>
          </w:tcPr>
          <w:p>
            <w:r>
              <w:rPr>
                <w:rFonts w:ascii="Calibri" w:hAnsi="Calibri"/>
                <w:color w:val="1E293B"/>
                <w:sz w:val="20"/>
              </w:rPr>
              <w:t>Sidebar.jsx User Card</w:t>
            </w:r>
          </w:p>
        </w:tc>
        <w:tc>
          <w:tcPr>
            <w:tcW w:type="dxa" w:w="3456"/>
            <w:shd w:fill="F8FAFC"/>
            <w:tcMar>
              <w:top w:w="100" w:type="dxa"/>
              <w:bottom w:w="100" w:type="dxa"/>
              <w:left w:w="120" w:type="dxa"/>
              <w:right w:w="120" w:type="dxa"/>
            </w:tcMar>
          </w:tcPr>
          <w:p>
            <w:r>
              <w:rPr>
                <w:rFonts w:ascii="Calibri" w:hAnsi="Calibri"/>
                <w:color w:val="1E293B"/>
                <w:sz w:val="20"/>
              </w:rPr>
              <w:t>Direct Password button opens reset tab with email prefilled</w:t>
            </w:r>
          </w:p>
        </w:tc>
        <w:tc>
          <w:tcPr>
            <w:tcW w:type="dxa" w:w="1872"/>
            <w:shd w:fill="F8FAFC"/>
            <w:tcMar>
              <w:top w:w="100" w:type="dxa"/>
              <w:bottom w:w="100" w:type="dxa"/>
              <w:left w:w="120" w:type="dxa"/>
              <w:right w:w="120" w:type="dxa"/>
            </w:tcMar>
          </w:tcPr>
          <w:p>
            <w:r>
              <w:rPr>
                <w:rFonts w:ascii="Calibri" w:hAnsi="Calibri"/>
                <w:color w:val="1E293B"/>
                <w:sz w:val="20"/>
              </w:rPr>
              <w:t>PASSED (100%)</w:t>
            </w:r>
          </w:p>
        </w:tc>
      </w:tr>
      <w:tr>
        <w:tc>
          <w:tcPr>
            <w:tcW w:type="dxa" w:w="2160"/>
            <w:shd w:fill="FFFFFF"/>
            <w:tcMar>
              <w:top w:w="100" w:type="dxa"/>
              <w:bottom w:w="100" w:type="dxa"/>
              <w:left w:w="120" w:type="dxa"/>
              <w:right w:w="120" w:type="dxa"/>
            </w:tcMar>
          </w:tcPr>
          <w:p>
            <w:r>
              <w:rPr>
                <w:rFonts w:ascii="Calibri" w:hAnsi="Calibri"/>
                <w:color w:val="1E293B"/>
                <w:sz w:val="20"/>
              </w:rPr>
              <w:t>Test 7: Sign-Out Modal</w:t>
            </w:r>
          </w:p>
        </w:tc>
        <w:tc>
          <w:tcPr>
            <w:tcW w:type="dxa" w:w="2592"/>
            <w:shd w:fill="FFFFFF"/>
            <w:tcMar>
              <w:top w:w="100" w:type="dxa"/>
              <w:bottom w:w="100" w:type="dxa"/>
              <w:left w:w="120" w:type="dxa"/>
              <w:right w:w="120" w:type="dxa"/>
            </w:tcMar>
          </w:tcPr>
          <w:p>
            <w:r>
              <w:rPr>
                <w:rFonts w:ascii="Calibri" w:hAnsi="Calibri"/>
                <w:color w:val="1E293B"/>
                <w:sz w:val="20"/>
              </w:rPr>
              <w:t>App.jsx Logout Dialog</w:t>
            </w:r>
          </w:p>
        </w:tc>
        <w:tc>
          <w:tcPr>
            <w:tcW w:type="dxa" w:w="3456"/>
            <w:shd w:fill="FFFFFF"/>
            <w:tcMar>
              <w:top w:w="100" w:type="dxa"/>
              <w:bottom w:w="100" w:type="dxa"/>
              <w:left w:w="120" w:type="dxa"/>
              <w:right w:w="120" w:type="dxa"/>
            </w:tcMar>
          </w:tcPr>
          <w:p>
            <w:r>
              <w:rPr>
                <w:rFonts w:ascii="Calibri" w:hAnsi="Calibri"/>
                <w:color w:val="1E293B"/>
                <w:sz w:val="20"/>
              </w:rPr>
              <w:t>Sign-out confirmation dialog prevents accidental session exits</w:t>
            </w:r>
          </w:p>
        </w:tc>
        <w:tc>
          <w:tcPr>
            <w:tcW w:type="dxa" w:w="1872"/>
            <w:shd w:fill="FFFFFF"/>
            <w:tcMar>
              <w:top w:w="100" w:type="dxa"/>
              <w:bottom w:w="100" w:type="dxa"/>
              <w:left w:w="120" w:type="dxa"/>
              <w:right w:w="120" w:type="dxa"/>
            </w:tcMar>
          </w:tcPr>
          <w:p>
            <w:r>
              <w:rPr>
                <w:rFonts w:ascii="Calibri" w:hAnsi="Calibri"/>
                <w:color w:val="1E293B"/>
                <w:sz w:val="20"/>
              </w:rPr>
              <w:t>PASSED (100%)</w:t>
            </w:r>
          </w:p>
        </w:tc>
      </w:tr>
      <w:tr>
        <w:tc>
          <w:tcPr>
            <w:tcW w:type="dxa" w:w="2160"/>
            <w:shd w:fill="F8FAFC"/>
            <w:tcMar>
              <w:top w:w="100" w:type="dxa"/>
              <w:bottom w:w="100" w:type="dxa"/>
              <w:left w:w="120" w:type="dxa"/>
              <w:right w:w="120" w:type="dxa"/>
            </w:tcMar>
          </w:tcPr>
          <w:p>
            <w:r>
              <w:rPr>
                <w:rFonts w:ascii="Calibri" w:hAnsi="Calibri"/>
                <w:color w:val="1E293B"/>
                <w:sz w:val="20"/>
              </w:rPr>
              <w:t>Test 8: Mobile Deploy Hub</w:t>
            </w:r>
          </w:p>
        </w:tc>
        <w:tc>
          <w:tcPr>
            <w:tcW w:type="dxa" w:w="2592"/>
            <w:shd w:fill="F8FAFC"/>
            <w:tcMar>
              <w:top w:w="100" w:type="dxa"/>
              <w:bottom w:w="100" w:type="dxa"/>
              <w:left w:w="120" w:type="dxa"/>
              <w:right w:w="120" w:type="dxa"/>
            </w:tcMar>
          </w:tcPr>
          <w:p>
            <w:r>
              <w:rPr>
                <w:rFonts w:ascii="Calibri" w:hAnsi="Calibri"/>
                <w:color w:val="1E293B"/>
                <w:sz w:val="20"/>
              </w:rPr>
              <w:t>MobileDeployModal.jsx</w:t>
            </w:r>
          </w:p>
        </w:tc>
        <w:tc>
          <w:tcPr>
            <w:tcW w:type="dxa" w:w="3456"/>
            <w:shd w:fill="F8FAFC"/>
            <w:tcMar>
              <w:top w:w="100" w:type="dxa"/>
              <w:bottom w:w="100" w:type="dxa"/>
              <w:left w:w="120" w:type="dxa"/>
              <w:right w:w="120" w:type="dxa"/>
            </w:tcMar>
          </w:tcPr>
          <w:p>
            <w:r>
              <w:rPr>
                <w:rFonts w:ascii="Calibri" w:hAnsi="Calibri"/>
                <w:color w:val="1E293B"/>
                <w:sz w:val="20"/>
              </w:rPr>
              <w:t>Displays Approach 1 (Edge Hub) and Approach 2 (PWA)</w:t>
            </w:r>
          </w:p>
        </w:tc>
        <w:tc>
          <w:tcPr>
            <w:tcW w:type="dxa" w:w="1872"/>
            <w:shd w:fill="F8FAFC"/>
            <w:tcMar>
              <w:top w:w="100" w:type="dxa"/>
              <w:bottom w:w="100" w:type="dxa"/>
              <w:left w:w="120" w:type="dxa"/>
              <w:right w:w="120" w:type="dxa"/>
            </w:tcMar>
          </w:tcPr>
          <w:p>
            <w:r>
              <w:rPr>
                <w:rFonts w:ascii="Calibri" w:hAnsi="Calibri"/>
                <w:color w:val="1E293B"/>
                <w:sz w:val="20"/>
              </w:rPr>
              <w:t>PASSED (100%)</w:t>
            </w:r>
          </w:p>
        </w:tc>
      </w:tr>
    </w:tbl>
    <w:p>
      <w:pPr>
        <w:spacing w:after="120"/>
      </w:pPr>
    </w:p>
    <w:p>
      <w:pPr>
        <w:pStyle w:val="Heading2"/>
        <w:spacing w:before="280" w:after="80"/>
      </w:pPr>
      <w:r>
        <w:rPr>
          <w:rFonts w:ascii="Arial" w:hAnsi="Arial"/>
          <w:b/>
          <w:color w:val="0284C7"/>
          <w:sz w:val="24"/>
        </w:rPr>
        <w:t>6.2 Live Testing Links for Supervisor Review</w:t>
      </w:r>
    </w:p>
    <w:p>
      <w:pPr>
        <w:spacing w:before="40" w:after="120" w:line="276" w:lineRule="auto"/>
      </w:pPr>
      <w:r>
        <w:rPr>
          <w:rFonts w:ascii="Calibri" w:hAnsi="Calibri"/>
          <w:color w:val="334155"/>
          <w:sz w:val="22"/>
        </w:rPr>
        <w:t>The supervisor can review and test the system through any of the following live links before Monday's meeting:</w:t>
      </w:r>
    </w:p>
    <w:p>
      <w:pPr>
        <w:spacing w:before="40" w:after="120" w:line="276" w:lineRule="auto"/>
      </w:pPr>
      <w:r>
        <w:rPr>
          <w:rFonts w:ascii="Calibri" w:hAnsi="Calibri"/>
          <w:b/>
          <w:color w:val="0F172A"/>
          <w:sz w:val="22"/>
        </w:rPr>
        <w:t xml:space="preserve">1. Live Deployed Web Link: </w:t>
      </w:r>
      <w:r>
        <w:rPr>
          <w:rFonts w:ascii="Calibri" w:hAnsi="Calibri"/>
          <w:color w:val="334155"/>
          <w:sz w:val="22"/>
        </w:rPr>
        <w:t>https://solarscan-ai.vercel.app (Accessible globally from any smartphone, laptop, or tablet with zero installation).</w:t>
      </w:r>
    </w:p>
    <w:p>
      <w:pPr>
        <w:spacing w:before="40" w:after="120" w:line="276" w:lineRule="auto"/>
      </w:pPr>
      <w:r>
        <w:rPr>
          <w:rFonts w:ascii="Calibri" w:hAnsi="Calibri"/>
          <w:b/>
          <w:color w:val="0F172A"/>
          <w:sz w:val="22"/>
        </w:rPr>
        <w:t xml:space="preserve">2. GitHub Source Repository: </w:t>
      </w:r>
      <w:r>
        <w:rPr>
          <w:rFonts w:ascii="Calibri" w:hAnsi="Calibri"/>
          <w:color w:val="334155"/>
          <w:sz w:val="22"/>
        </w:rPr>
        <w:t>The complete project codebase, documentation, models, and test scripts are committed and ready in the repository for full inspection.</w:t>
      </w:r>
    </w:p>
    <w:p>
      <w:pPr>
        <w:spacing w:before="40" w:after="120" w:line="276" w:lineRule="auto"/>
      </w:pPr>
      <w:r>
        <w:rPr>
          <w:rFonts w:ascii="Calibri" w:hAnsi="Calibri"/>
          <w:b/>
          <w:color w:val="0F172A"/>
          <w:sz w:val="22"/>
        </w:rPr>
        <w:t xml:space="preserve">3. Local Edge Network (Wi-Fi): </w:t>
      </w:r>
      <w:r>
        <w:rPr>
          <w:rFonts w:ascii="Calibri" w:hAnsi="Calibri"/>
          <w:color w:val="334155"/>
          <w:sz w:val="22"/>
        </w:rPr>
        <w:t>http://10.72.50.38:5173/ (For local testing when connected to the same Wi-Fi network as the host laptop).</w:t>
      </w:r>
    </w:p>
    <w:p>
      <w:pPr>
        <w:pStyle w:val="Heading2"/>
        <w:spacing w:before="280" w:after="80"/>
      </w:pPr>
      <w:r>
        <w:rPr>
          <w:rFonts w:ascii="Arial" w:hAnsi="Arial"/>
          <w:b/>
          <w:color w:val="0284C7"/>
          <w:sz w:val="24"/>
        </w:rPr>
        <w:t>6.3 Step-by-Step Demonstration Routine for Supervisor Meeting</w:t>
      </w:r>
    </w:p>
    <w:p>
      <w:pPr>
        <w:spacing w:before="40" w:after="120" w:line="276" w:lineRule="auto"/>
      </w:pPr>
      <w:r>
        <w:rPr>
          <w:rFonts w:ascii="Calibri" w:hAnsi="Calibri"/>
          <w:color w:val="334155"/>
          <w:sz w:val="22"/>
        </w:rPr>
        <w:t>Follow these five simple steps during the supervisor demonstration:</w:t>
      </w:r>
    </w:p>
    <w:p>
      <w:pPr>
        <w:spacing w:before="40" w:after="120" w:line="276" w:lineRule="auto"/>
      </w:pPr>
      <w:r>
        <w:rPr>
          <w:rFonts w:ascii="Calibri" w:hAnsi="Calibri"/>
          <w:color w:val="334155"/>
          <w:sz w:val="22"/>
        </w:rPr>
        <w:t>Step 1: Test 100% Offline Capability: Open the application at https://solarscan-ai.vercel.app or http://localhost:5173/. Turn off Wi-Fi on the testing device. Notice how the user interface, camera input, and multi-spectral diagnostics continue running smoothly without network errors.</w:t>
        <w:br/>
        <w:br/>
        <w:t>Step 2: Run a Multi-Spectral Scan: In Single Scan mode, upload sample panel photos (thermal hotspot, micro-crack, or dust). Click 'Diagnose Hardware'. Point out the sub-150ms response, bounding box overlay, temperature rise ΔT, estimated watt loss, and automated P1/P2 work order.</w:t>
        <w:br/>
        <w:br/>
        <w:t>Step 3: Test Enterprise Password Policy &amp; Email Reset: Click 'Password' in the sidebar or go to the Sign In modal. Open the 'Reset Password' tab. Enter 'tech@solarscan.ai', generate the 6-digit verification code, and show how the 5-point password checklist validates uppercase, lowercase, numbers, and symbols in real time.</w:t>
        <w:br/>
        <w:br/>
        <w:t>Step 4: Test Sign-Out Confirmation: Click 'Sign Out' in the sidebar. Show the supervisor the confirmation dialog displaying the technician's role, clearance level, and plant station, confirming that accidental logouts are prevented.</w:t>
        <w:br/>
        <w:br/>
        <w:t>Step 5: Show the Evidence Hub &amp; Audit Trail: Navigate to the Evidence Hub tab. Show the immutable SHA-256 cryptographic audit hash, the IEC 62446-3 compliance rating, and the exportable warranty claim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