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60" w:before="0"/>
        <w:jc w:val="center"/>
      </w:pPr>
      <w:r>
        <w:rPr>
          <w:sz w:val="80"/>
          <w:szCs w:val="80"/>
        </w:rPr>
        <w:t xml:space="preserve">☀️</w:t>
      </w:r>
    </w:p>
    <w:p>
      <w:pPr>
        <w:spacing w:after="140" w:before="0"/>
        <w:jc w:val="center"/>
      </w:pPr>
      <w:r>
        <w:rPr>
          <w:rFonts w:ascii="Arial" w:cs="Arial" w:eastAsia="Arial" w:hAnsi="Arial"/>
          <w:b/>
          <w:bCs/>
          <w:caps/>
          <w:color w:val="1B3A6B"/>
          <w:sz w:val="56"/>
          <w:szCs w:val="56"/>
        </w:rPr>
        <w:t xml:space="preserve">SOLARSCAN AI</w:t>
      </w:r>
    </w:p>
    <w:p>
      <w:pPr>
        <w:spacing w:after="60" w:before="0"/>
        <w:jc w:val="center"/>
      </w:pPr>
      <w:r>
        <w:rPr>
          <w:rFonts w:ascii="Arial" w:cs="Arial" w:eastAsia="Arial" w:hAnsi="Arial"/>
          <w:i/>
          <w:iCs/>
          <w:color w:val="555555"/>
          <w:sz w:val="26"/>
          <w:szCs w:val="26"/>
        </w:rPr>
        <w:t xml:space="preserve">Final Year Project — Presentation Brief</w:t>
      </w:r>
    </w:p>
    <w:p>
      <w:pPr>
        <w:spacing w:after="360" w:before="0"/>
        <w:jc w:val="center"/>
      </w:pPr>
      <w:r>
        <w:rPr>
          <w:rFonts w:ascii="Arial" w:cs="Arial" w:eastAsia="Arial" w:hAnsi="Arial"/>
          <w:b/>
          <w:bCs/>
          <w:color w:val="C8860A"/>
          <w:sz w:val="24"/>
          <w:szCs w:val="24"/>
        </w:rPr>
        <w:t xml:space="preserve">Automated Detection and Classification of Photovoltaic Panel Defects Using YOLOv8 with TFLite Mobile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CDD" w:sz="1"/>
              <w:left w:val="single" w:color="C0CCDD" w:sz="1"/>
              <w:bottom w:val="single" w:color="C0CCDD" w:sz="1"/>
              <w:right w:val="single" w:color="C0CCDD" w:sz="1"/>
            </w:tcBorders>
            <w:shd w:fill="D6E4F7" w:val="clear"/>
            <w:tcMar>
              <w:top w:type="dxa" w:w="80"/>
              <w:left w:type="dxa" w:w="120"/>
              <w:bottom w:type="dxa" w:w="80"/>
              <w:right w:type="dxa" w:w="120"/>
            </w:tcMar>
          </w:tcPr>
          <w:p>
            <w:r>
              <w:rPr>
                <w:rFonts w:ascii="Arial" w:cs="Arial" w:eastAsia="Arial" w:hAnsi="Arial"/>
                <w:b/>
                <w:bCs/>
                <w:color w:val="1B3A6B"/>
                <w:sz w:val="22"/>
                <w:szCs w:val="22"/>
              </w:rPr>
              <w:t xml:space="preserve">Course</w:t>
            </w:r>
          </w:p>
        </w:tc>
        <w:tc>
          <w:tcPr>
            <w:tcW w:type="dxa" w:w="6560"/>
            <w:tcBorders>
              <w:top w:val="single" w:color="C0CCDD" w:sz="1"/>
              <w:left w:val="single" w:color="C0CCDD" w:sz="1"/>
              <w:bottom w:val="single" w:color="C0CCDD" w:sz="1"/>
              <w:right w:val="single" w:color="C0CCDD" w:sz="1"/>
            </w:tcBorders>
            <w:tcMar>
              <w:top w:type="dxa" w:w="80"/>
              <w:left w:type="dxa" w:w="120"/>
              <w:bottom w:type="dxa" w:w="80"/>
              <w:right w:type="dxa" w:w="120"/>
            </w:tcMar>
          </w:tcPr>
          <w:p>
            <w:r>
              <w:rPr>
                <w:rFonts w:ascii="Arial" w:cs="Arial" w:eastAsia="Arial" w:hAnsi="Arial"/>
                <w:color w:val="1A1A1A"/>
                <w:sz w:val="22"/>
                <w:szCs w:val="22"/>
              </w:rPr>
              <w:t xml:space="preserve">BSc Information Technology</w:t>
            </w:r>
          </w:p>
        </w:tc>
      </w:tr>
      <w:tr>
        <w:tc>
          <w:tcPr>
            <w:tcW w:type="dxa" w:w="2800"/>
            <w:tcBorders>
              <w:top w:val="single" w:color="C0CCDD" w:sz="1"/>
              <w:left w:val="single" w:color="C0CCDD" w:sz="1"/>
              <w:bottom w:val="single" w:color="C0CCDD" w:sz="1"/>
              <w:right w:val="single" w:color="C0CCDD" w:sz="1"/>
            </w:tcBorders>
            <w:shd w:fill="D6E4F7" w:val="clear"/>
            <w:tcMar>
              <w:top w:type="dxa" w:w="80"/>
              <w:left w:type="dxa" w:w="120"/>
              <w:bottom w:type="dxa" w:w="80"/>
              <w:right w:type="dxa" w:w="120"/>
            </w:tcMar>
          </w:tcPr>
          <w:p>
            <w:r>
              <w:rPr>
                <w:rFonts w:ascii="Arial" w:cs="Arial" w:eastAsia="Arial" w:hAnsi="Arial"/>
                <w:b/>
                <w:bCs/>
                <w:color w:val="1B3A6B"/>
                <w:sz w:val="22"/>
                <w:szCs w:val="22"/>
              </w:rPr>
              <w:t xml:space="preserve">Department</w:t>
            </w:r>
          </w:p>
        </w:tc>
        <w:tc>
          <w:tcPr>
            <w:tcW w:type="dxa" w:w="6560"/>
            <w:tcBorders>
              <w:top w:val="single" w:color="C0CCDD" w:sz="1"/>
              <w:left w:val="single" w:color="C0CCDD" w:sz="1"/>
              <w:bottom w:val="single" w:color="C0CCDD" w:sz="1"/>
              <w:right w:val="single" w:color="C0CCDD" w:sz="1"/>
            </w:tcBorders>
            <w:tcMar>
              <w:top w:type="dxa" w:w="80"/>
              <w:left w:type="dxa" w:w="120"/>
              <w:bottom w:type="dxa" w:w="80"/>
              <w:right w:type="dxa" w:w="120"/>
            </w:tcMar>
          </w:tcPr>
          <w:p>
            <w:r>
              <w:rPr>
                <w:rFonts w:ascii="Arial" w:cs="Arial" w:eastAsia="Arial" w:hAnsi="Arial"/>
                <w:color w:val="1A1A1A"/>
                <w:sz w:val="22"/>
                <w:szCs w:val="22"/>
              </w:rPr>
              <w:t xml:space="preserve">Computer Science &amp; Informatics</w:t>
            </w:r>
          </w:p>
        </w:tc>
      </w:tr>
      <w:tr>
        <w:tc>
          <w:tcPr>
            <w:tcW w:type="dxa" w:w="2800"/>
            <w:tcBorders>
              <w:top w:val="single" w:color="C0CCDD" w:sz="1"/>
              <w:left w:val="single" w:color="C0CCDD" w:sz="1"/>
              <w:bottom w:val="single" w:color="C0CCDD" w:sz="1"/>
              <w:right w:val="single" w:color="C0CCDD" w:sz="1"/>
            </w:tcBorders>
            <w:shd w:fill="D6E4F7" w:val="clear"/>
            <w:tcMar>
              <w:top w:type="dxa" w:w="80"/>
              <w:left w:type="dxa" w:w="120"/>
              <w:bottom w:type="dxa" w:w="80"/>
              <w:right w:type="dxa" w:w="120"/>
            </w:tcMar>
          </w:tcPr>
          <w:p>
            <w:r>
              <w:rPr>
                <w:rFonts w:ascii="Arial" w:cs="Arial" w:eastAsia="Arial" w:hAnsi="Arial"/>
                <w:b/>
                <w:bCs/>
                <w:color w:val="1B3A6B"/>
                <w:sz w:val="22"/>
                <w:szCs w:val="22"/>
              </w:rPr>
              <w:t xml:space="preserve">Institution</w:t>
            </w:r>
          </w:p>
        </w:tc>
        <w:tc>
          <w:tcPr>
            <w:tcW w:type="dxa" w:w="6560"/>
            <w:tcBorders>
              <w:top w:val="single" w:color="C0CCDD" w:sz="1"/>
              <w:left w:val="single" w:color="C0CCDD" w:sz="1"/>
              <w:bottom w:val="single" w:color="C0CCDD" w:sz="1"/>
              <w:right w:val="single" w:color="C0CCDD" w:sz="1"/>
            </w:tcBorders>
            <w:tcMar>
              <w:top w:type="dxa" w:w="80"/>
              <w:left w:type="dxa" w:w="120"/>
              <w:bottom w:type="dxa" w:w="80"/>
              <w:right w:type="dxa" w:w="120"/>
            </w:tcMar>
          </w:tcPr>
          <w:p>
            <w:r>
              <w:rPr>
                <w:rFonts w:ascii="Arial" w:cs="Arial" w:eastAsia="Arial" w:hAnsi="Arial"/>
                <w:color w:val="1A1A1A"/>
                <w:sz w:val="22"/>
                <w:szCs w:val="22"/>
              </w:rPr>
              <w:t xml:space="preserve">University of Energy and Natural Resources (UENR)</w:t>
            </w:r>
          </w:p>
        </w:tc>
      </w:tr>
      <w:tr>
        <w:tc>
          <w:tcPr>
            <w:tcW w:type="dxa" w:w="2800"/>
            <w:tcBorders>
              <w:top w:val="single" w:color="C0CCDD" w:sz="1"/>
              <w:left w:val="single" w:color="C0CCDD" w:sz="1"/>
              <w:bottom w:val="single" w:color="C0CCDD" w:sz="1"/>
              <w:right w:val="single" w:color="C0CCDD" w:sz="1"/>
            </w:tcBorders>
            <w:shd w:fill="D6E4F7" w:val="clear"/>
            <w:tcMar>
              <w:top w:type="dxa" w:w="80"/>
              <w:left w:type="dxa" w:w="120"/>
              <w:bottom w:type="dxa" w:w="80"/>
              <w:right w:type="dxa" w:w="120"/>
            </w:tcMar>
          </w:tcPr>
          <w:p>
            <w:r>
              <w:rPr>
                <w:rFonts w:ascii="Arial" w:cs="Arial" w:eastAsia="Arial" w:hAnsi="Arial"/>
                <w:b/>
                <w:bCs/>
                <w:color w:val="1B3A6B"/>
                <w:sz w:val="22"/>
                <w:szCs w:val="22"/>
              </w:rPr>
              <w:t xml:space="preserve">Academic Year</w:t>
            </w:r>
          </w:p>
        </w:tc>
        <w:tc>
          <w:tcPr>
            <w:tcW w:type="dxa" w:w="6560"/>
            <w:tcBorders>
              <w:top w:val="single" w:color="C0CCDD" w:sz="1"/>
              <w:left w:val="single" w:color="C0CCDD" w:sz="1"/>
              <w:bottom w:val="single" w:color="C0CCDD" w:sz="1"/>
              <w:right w:val="single" w:color="C0CCDD" w:sz="1"/>
            </w:tcBorders>
            <w:tcMar>
              <w:top w:type="dxa" w:w="80"/>
              <w:left w:type="dxa" w:w="120"/>
              <w:bottom w:type="dxa" w:w="80"/>
              <w:right w:type="dxa" w:w="120"/>
            </w:tcMar>
          </w:tcPr>
          <w:p>
            <w:r>
              <w:rPr>
                <w:rFonts w:ascii="Arial" w:cs="Arial" w:eastAsia="Arial" w:hAnsi="Arial"/>
                <w:color w:val="1A1A1A"/>
                <w:sz w:val="22"/>
                <w:szCs w:val="22"/>
              </w:rPr>
              <w:t xml:space="preserve">2024 / 2025</w:t>
            </w:r>
          </w:p>
        </w:tc>
      </w:tr>
      <w:tr>
        <w:tc>
          <w:tcPr>
            <w:tcW w:type="dxa" w:w="2800"/>
            <w:tcBorders>
              <w:top w:val="single" w:color="C0CCDD" w:sz="1"/>
              <w:left w:val="single" w:color="C0CCDD" w:sz="1"/>
              <w:bottom w:val="single" w:color="C0CCDD" w:sz="1"/>
              <w:right w:val="single" w:color="C0CCDD" w:sz="1"/>
            </w:tcBorders>
            <w:shd w:fill="D6E4F7" w:val="clear"/>
            <w:tcMar>
              <w:top w:type="dxa" w:w="80"/>
              <w:left w:type="dxa" w:w="120"/>
              <w:bottom w:type="dxa" w:w="80"/>
              <w:right w:type="dxa" w:w="120"/>
            </w:tcMar>
          </w:tcPr>
          <w:p>
            <w:r>
              <w:rPr>
                <w:rFonts w:ascii="Arial" w:cs="Arial" w:eastAsia="Arial" w:hAnsi="Arial"/>
                <w:b/>
                <w:bCs/>
                <w:color w:val="1B3A6B"/>
                <w:sz w:val="22"/>
                <w:szCs w:val="22"/>
              </w:rPr>
              <w:t xml:space="preserve">Presentation Type</w:t>
            </w:r>
          </w:p>
        </w:tc>
        <w:tc>
          <w:tcPr>
            <w:tcW w:type="dxa" w:w="6560"/>
            <w:tcBorders>
              <w:top w:val="single" w:color="C0CCDD" w:sz="1"/>
              <w:left w:val="single" w:color="C0CCDD" w:sz="1"/>
              <w:bottom w:val="single" w:color="C0CCDD" w:sz="1"/>
              <w:right w:val="single" w:color="C0CCDD" w:sz="1"/>
            </w:tcBorders>
            <w:tcMar>
              <w:top w:type="dxa" w:w="80"/>
              <w:left w:type="dxa" w:w="120"/>
              <w:bottom w:type="dxa" w:w="80"/>
              <w:right w:type="dxa" w:w="120"/>
            </w:tcMar>
          </w:tcPr>
          <w:p>
            <w:r>
              <w:rPr>
                <w:rFonts w:ascii="Arial" w:cs="Arial" w:eastAsia="Arial" w:hAnsi="Arial"/>
                <w:color w:val="1A1A1A"/>
                <w:sz w:val="22"/>
                <w:szCs w:val="22"/>
              </w:rPr>
              <w:t xml:space="preserve">Final Year Project (FYP) Presentation</w:t>
            </w:r>
          </w:p>
        </w:tc>
      </w:tr>
    </w:tbl>
    <w:p>
      <w:pPr>
        <w:spacing w:after="0" w:before="300"/>
      </w:pPr>
      <w:r>
        <w:t xml:space="preserve"/>
      </w:r>
    </w:p>
    <w:p>
      <w:r>
        <w:br w:type="page"/>
      </w:r>
    </w:p>
    <w:p>
      <w:pPr>
        <w:pStyle w:val="Heading1"/>
        <w:pBdr>
          <w:bottom w:val="single" w:color="1B3A6B" w:sz="8" w:space="6"/>
        </w:pBdr>
        <w:spacing w:after="160" w:before="360"/>
      </w:pPr>
      <w:r>
        <w:rPr>
          <w:rFonts w:ascii="Arial" w:cs="Arial" w:eastAsia="Arial" w:hAnsi="Arial"/>
          <w:b/>
          <w:bCs/>
          <w:color w:val="1B3A6B"/>
          <w:sz w:val="32"/>
          <w:szCs w:val="32"/>
        </w:rPr>
        <w:t xml:space="preserve">Purpose of This Document</w:t>
      </w:r>
    </w:p>
    <w:p>
      <w:pPr>
        <w:spacing w:after="80" w:before="80" w:line="360"/>
        <w:jc w:val="both"/>
      </w:pPr>
      <w:r>
        <w:rPr>
          <w:rFonts w:ascii="Arial" w:cs="Arial" w:eastAsia="Arial" w:hAnsi="Arial"/>
          <w:color w:val="1A1A1A"/>
          <w:sz w:val="22"/>
          <w:szCs w:val="22"/>
        </w:rPr>
        <w:t xml:space="preserve">This document serves as a comprehensive briefing for all group members preparing for the Final Year Project presentation. Every member is expected to read, understand, and be ready to confidently discuss any section. The presentation covers five required areas as specified by the department:</w:t>
      </w:r>
    </w:p>
    <w:p>
      <w:pPr>
        <w:spacing w:after="0" w:before="80"/>
      </w:pPr>
      <w:r>
        <w:t xml:space="preserve"/>
      </w:r>
    </w:p>
    <w:p>
      <w:pPr>
        <w:pStyle w:val="ListParagraph"/>
        <w:numPr>
          <w:ilvl w:val="0"/>
          <w:numId w:val="2"/>
        </w:numPr>
        <w:spacing w:after="60" w:before="60" w:line="320"/>
      </w:pPr>
      <w:r>
        <w:rPr>
          <w:rFonts w:ascii="Arial" w:cs="Arial" w:eastAsia="Arial" w:hAnsi="Arial"/>
          <w:color w:val="1A1A1A"/>
          <w:sz w:val="22"/>
          <w:szCs w:val="22"/>
        </w:rPr>
        <w:t xml:space="preserve">Project Topic — what we built and why</w:t>
      </w:r>
    </w:p>
    <w:p>
      <w:pPr>
        <w:pStyle w:val="ListParagraph"/>
        <w:numPr>
          <w:ilvl w:val="0"/>
          <w:numId w:val="2"/>
        </w:numPr>
        <w:spacing w:after="60" w:before="60" w:line="320"/>
      </w:pPr>
      <w:r>
        <w:rPr>
          <w:rFonts w:ascii="Arial" w:cs="Arial" w:eastAsia="Arial" w:hAnsi="Arial"/>
          <w:color w:val="1A1A1A"/>
          <w:sz w:val="22"/>
          <w:szCs w:val="22"/>
        </w:rPr>
        <w:t xml:space="preserve">Group Members — roles and contributions</w:t>
      </w:r>
    </w:p>
    <w:p>
      <w:pPr>
        <w:pStyle w:val="ListParagraph"/>
        <w:numPr>
          <w:ilvl w:val="0"/>
          <w:numId w:val="2"/>
        </w:numPr>
        <w:spacing w:after="60" w:before="60" w:line="320"/>
      </w:pPr>
      <w:r>
        <w:rPr>
          <w:rFonts w:ascii="Arial" w:cs="Arial" w:eastAsia="Arial" w:hAnsi="Arial"/>
          <w:color w:val="1A1A1A"/>
          <w:sz w:val="22"/>
          <w:szCs w:val="22"/>
        </w:rPr>
        <w:t xml:space="preserve">Problem Statement — the real-world challenge we address</w:t>
      </w:r>
    </w:p>
    <w:p>
      <w:pPr>
        <w:pStyle w:val="ListParagraph"/>
        <w:numPr>
          <w:ilvl w:val="0"/>
          <w:numId w:val="2"/>
        </w:numPr>
        <w:spacing w:after="60" w:before="60" w:line="320"/>
      </w:pPr>
      <w:r>
        <w:rPr>
          <w:rFonts w:ascii="Arial" w:cs="Arial" w:eastAsia="Arial" w:hAnsi="Arial"/>
          <w:color w:val="1A1A1A"/>
          <w:sz w:val="22"/>
          <w:szCs w:val="22"/>
        </w:rPr>
        <w:t xml:space="preserve">Methodology — how we designed, built, and evaluated the system</w:t>
      </w:r>
    </w:p>
    <w:p>
      <w:pPr>
        <w:pStyle w:val="ListParagraph"/>
        <w:numPr>
          <w:ilvl w:val="0"/>
          <w:numId w:val="2"/>
        </w:numPr>
        <w:spacing w:after="60" w:before="60" w:line="320"/>
      </w:pPr>
      <w:r>
        <w:rPr>
          <w:rFonts w:ascii="Arial" w:cs="Arial" w:eastAsia="Arial" w:hAnsi="Arial"/>
          <w:color w:val="1A1A1A"/>
          <w:sz w:val="22"/>
          <w:szCs w:val="22"/>
        </w:rPr>
        <w:t xml:space="preserve">Significance — why this project matters to Ghana, Africa, and the global solar industry</w:t>
      </w:r>
    </w:p>
    <w:p>
      <w:pPr>
        <w:spacing w:after="0" w:before="160"/>
      </w:pPr>
      <w:r>
        <w:t xml:space="preserve"/>
      </w:r>
    </w:p>
    <w:p>
      <w:pPr>
        <w:spacing w:after="80" w:before="80" w:line="360"/>
        <w:jc w:val="both"/>
      </w:pPr>
      <w:r>
        <w:rPr>
          <w:rFonts w:ascii="Arial" w:cs="Arial" w:eastAsia="Arial" w:hAnsi="Arial"/>
          <w:i/>
          <w:iCs/>
          <w:color w:val="B00000"/>
          <w:sz w:val="22"/>
          <w:szCs w:val="22"/>
        </w:rPr>
        <w:t xml:space="preserve">⚠️ Important: All members must arrive on time and be prepared to answer questions from the panel. This brief ensures every team member understands the full scope of the project — not just their own section.</w:t>
      </w:r>
    </w:p>
    <w:p>
      <w:pPr>
        <w:spacing w:after="0" w:before="200"/>
      </w:pPr>
      <w:r>
        <w:t xml:space="preserve"/>
      </w:r>
    </w:p>
    <w:p>
      <w:r>
        <w:br w:type="page"/>
      </w:r>
    </w:p>
    <w:p>
      <w:pPr>
        <w:pStyle w:val="Heading1"/>
        <w:pBdr>
          <w:bottom w:val="single" w:color="1B3A6B" w:sz="8" w:space="6"/>
        </w:pBdr>
        <w:spacing w:after="160" w:before="360"/>
      </w:pPr>
      <w:r>
        <w:rPr>
          <w:rFonts w:ascii="Arial" w:cs="Arial" w:eastAsia="Arial" w:hAnsi="Arial"/>
          <w:b/>
          <w:bCs/>
          <w:color w:val="1B3A6B"/>
          <w:sz w:val="32"/>
          <w:szCs w:val="32"/>
        </w:rPr>
        <w:t xml:space="preserve">1. Project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CDD" w:sz="1"/>
              <w:left w:val="single" w:color="C0CCDD" w:sz="1"/>
              <w:bottom w:val="single" w:color="C0CCDD" w:sz="1"/>
              <w:right w:val="single" w:color="C0CCDD" w:sz="1"/>
            </w:tcBorders>
            <w:shd w:fill="EAF2FF" w:val="clear"/>
            <w:tcMar>
              <w:top w:type="dxa" w:w="160"/>
              <w:left w:type="dxa" w:w="200"/>
              <w:bottom w:type="dxa" w:w="160"/>
              <w:right w:type="dxa" w:w="200"/>
            </w:tcMar>
          </w:tcPr>
          <w:p>
            <w:pPr>
              <w:jc w:val="center"/>
            </w:pPr>
            <w:r>
              <w:rPr>
                <w:rFonts w:ascii="Arial" w:cs="Arial" w:eastAsia="Arial" w:hAnsi="Arial"/>
                <w:b/>
                <w:bCs/>
                <w:color w:val="1B3A6B"/>
                <w:sz w:val="26"/>
                <w:szCs w:val="26"/>
              </w:rPr>
              <w:t xml:space="preserve">Automated Detection and Classification of Photovoltaic Panel Defects Using YOLOv8 with TFLite Mobile Integration</w:t>
            </w:r>
          </w:p>
        </w:tc>
      </w:tr>
    </w:tbl>
    <w:p>
      <w:pPr>
        <w:spacing w:after="0" w:before="140"/>
      </w:pPr>
      <w:r>
        <w:t xml:space="preserve"/>
      </w:r>
    </w:p>
    <w:p>
      <w:pPr>
        <w:pStyle w:val="Heading2"/>
        <w:spacing w:after="100" w:before="260"/>
      </w:pPr>
      <w:r>
        <w:rPr>
          <w:rFonts w:ascii="Arial" w:cs="Arial" w:eastAsia="Arial" w:hAnsi="Arial"/>
          <w:b/>
          <w:bCs/>
          <w:color w:val="1B3A6B"/>
          <w:sz w:val="26"/>
          <w:szCs w:val="26"/>
        </w:rPr>
        <w:t xml:space="preserve">What This Means (Plain Language)</w:t>
      </w:r>
    </w:p>
    <w:p>
      <w:pPr>
        <w:spacing w:after="80" w:before="80" w:line="360"/>
        <w:jc w:val="both"/>
      </w:pPr>
      <w:r>
        <w:rPr>
          <w:rFonts w:ascii="Arial" w:cs="Arial" w:eastAsia="Arial" w:hAnsi="Arial"/>
          <w:color w:val="1A1A1A"/>
          <w:sz w:val="22"/>
          <w:szCs w:val="22"/>
        </w:rPr>
        <w:t xml:space="preserve">Solar panels degrade over time due to physical defects — cracks, dust, overheating, and material failure. Currently, inspection is done manually by trained engineers walking along panel rows with thermal cameras. This is slow, expensive, and unable to scale to Ghana's growing solar capacity.</w:t>
      </w:r>
    </w:p>
    <w:p>
      <w:pPr>
        <w:spacing w:after="0" w:before="80"/>
      </w:pPr>
      <w:r>
        <w:t xml:space="preserve"/>
      </w:r>
    </w:p>
    <w:p>
      <w:pPr>
        <w:spacing w:after="80" w:before="80" w:line="360"/>
        <w:jc w:val="both"/>
      </w:pPr>
      <w:r>
        <w:rPr>
          <w:rFonts w:ascii="Arial" w:cs="Arial" w:eastAsia="Arial" w:hAnsi="Arial"/>
          <w:color w:val="1A1A1A"/>
          <w:sz w:val="22"/>
          <w:szCs w:val="22"/>
        </w:rPr>
        <w:t xml:space="preserve">We built SolarScan AI — a mobile-first application that uses a state-of-the-art AI object detection model (YOLOv8) compressed for smartphones (TFLite) to automatically detect, classify, and report solar panel defects from a single photograph. The system works entirely on-device — no internet required — making it suitable for remote solar farms across Ghana.</w:t>
      </w:r>
    </w:p>
    <w:p>
      <w:pPr>
        <w:spacing w:after="0" w:before="120"/>
      </w:pPr>
      <w:r>
        <w:t xml:space="preserve"/>
      </w:r>
    </w:p>
    <w:p>
      <w:pPr>
        <w:pStyle w:val="Heading2"/>
        <w:spacing w:after="100" w:before="260"/>
      </w:pPr>
      <w:r>
        <w:rPr>
          <w:rFonts w:ascii="Arial" w:cs="Arial" w:eastAsia="Arial" w:hAnsi="Arial"/>
          <w:b/>
          <w:bCs/>
          <w:color w:val="1B3A6B"/>
          <w:sz w:val="26"/>
          <w:szCs w:val="26"/>
        </w:rPr>
        <w:t xml:space="preserve">Key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0CCDD" w:sz="1"/>
              <w:left w:val="single" w:color="C0CCDD" w:sz="1"/>
              <w:bottom w:val="single" w:color="C0CCDD" w:sz="1"/>
              <w:right w:val="single" w:color="C0CCDD" w:sz="1"/>
            </w:tcBorders>
            <w:shd w:fill="D6E4F7" w:val="clear"/>
            <w:tcMar>
              <w:top w:type="dxa" w:w="80"/>
              <w:left w:type="dxa" w:w="120"/>
              <w:bottom w:type="dxa" w:w="80"/>
              <w:right w:type="dxa" w:w="120"/>
            </w:tcMar>
          </w:tcPr>
          <w:p>
            <w:r>
              <w:rPr>
                <w:rFonts w:ascii="Arial" w:cs="Arial" w:eastAsia="Arial" w:hAnsi="Arial"/>
                <w:b/>
                <w:bCs/>
                <w:color w:val="1B3A6B"/>
                <w:sz w:val="22"/>
                <w:szCs w:val="22"/>
              </w:rPr>
              <w:t xml:space="preserve">YOLOv8</w:t>
            </w:r>
          </w:p>
        </w:tc>
        <w:tc>
          <w:tcPr>
            <w:tcW w:type="dxa" w:w="7020"/>
            <w:tcBorders>
              <w:top w:val="single" w:color="C0CCDD" w:sz="1"/>
              <w:left w:val="single" w:color="C0CCDD" w:sz="1"/>
              <w:bottom w:val="single" w:color="C0CCDD" w:sz="1"/>
              <w:right w:val="single" w:color="C0CCDD" w:sz="1"/>
            </w:tcBorders>
            <w:tcMar>
              <w:top w:type="dxa" w:w="80"/>
              <w:left w:type="dxa" w:w="120"/>
              <w:bottom w:type="dxa" w:w="80"/>
              <w:right w:type="dxa" w:w="120"/>
            </w:tcMar>
          </w:tcPr>
          <w:p>
            <w:r>
              <w:rPr>
                <w:rFonts w:ascii="Arial" w:cs="Arial" w:eastAsia="Arial" w:hAnsi="Arial"/>
                <w:sz w:val="22"/>
                <w:szCs w:val="22"/>
              </w:rPr>
              <w:t xml:space="preserve">You Only Look Once v8 — the world's leading real-time object detection AI model by Ultralytics. Trained on 4,312 solar panel images across 8 defect classes.</w:t>
            </w:r>
          </w:p>
        </w:tc>
      </w:tr>
      <w:tr>
        <w:tc>
          <w:tcPr>
            <w:tcW w:type="dxa" w:w="2340"/>
            <w:tcBorders>
              <w:top w:val="single" w:color="C0CCDD" w:sz="1"/>
              <w:left w:val="single" w:color="C0CCDD" w:sz="1"/>
              <w:bottom w:val="single" w:color="C0CCDD" w:sz="1"/>
              <w:right w:val="single" w:color="C0CCDD" w:sz="1"/>
            </w:tcBorders>
            <w:shd w:fill="D6E4F7" w:val="clear"/>
            <w:tcMar>
              <w:top w:type="dxa" w:w="80"/>
              <w:left w:type="dxa" w:w="120"/>
              <w:bottom w:type="dxa" w:w="80"/>
              <w:right w:type="dxa" w:w="120"/>
            </w:tcMar>
          </w:tcPr>
          <w:p>
            <w:r>
              <w:rPr>
                <w:rFonts w:ascii="Arial" w:cs="Arial" w:eastAsia="Arial" w:hAnsi="Arial"/>
                <w:b/>
                <w:bCs/>
                <w:color w:val="1B3A6B"/>
                <w:sz w:val="22"/>
                <w:szCs w:val="22"/>
              </w:rPr>
              <w:t xml:space="preserve">TFLite INT8</w:t>
            </w:r>
          </w:p>
        </w:tc>
        <w:tc>
          <w:tcPr>
            <w:tcW w:type="dxa" w:w="7020"/>
            <w:tcBorders>
              <w:top w:val="single" w:color="C0CCDD" w:sz="1"/>
              <w:left w:val="single" w:color="C0CCDD" w:sz="1"/>
              <w:bottom w:val="single" w:color="C0CCDD" w:sz="1"/>
              <w:right w:val="single" w:color="C0CCDD" w:sz="1"/>
            </w:tcBorders>
            <w:tcMar>
              <w:top w:type="dxa" w:w="80"/>
              <w:left w:type="dxa" w:w="120"/>
              <w:bottom w:type="dxa" w:w="80"/>
              <w:right w:type="dxa" w:w="120"/>
            </w:tcMar>
          </w:tcPr>
          <w:p>
            <w:r>
              <w:rPr>
                <w:rFonts w:ascii="Arial" w:cs="Arial" w:eastAsia="Arial" w:hAnsi="Arial"/>
                <w:sz w:val="22"/>
                <w:szCs w:val="22"/>
              </w:rPr>
              <w:t xml:space="preserve">TensorFlow Lite with 8-bit integer quantisation — shrinks the model from 6.3 MB to 3.2 MB and enables &lt;200ms inference on a mobile phone CPU without any internet or cloud connection.</w:t>
            </w:r>
          </w:p>
        </w:tc>
      </w:tr>
      <w:tr>
        <w:tc>
          <w:tcPr>
            <w:tcW w:type="dxa" w:w="2340"/>
            <w:tcBorders>
              <w:top w:val="single" w:color="C0CCDD" w:sz="1"/>
              <w:left w:val="single" w:color="C0CCDD" w:sz="1"/>
              <w:bottom w:val="single" w:color="C0CCDD" w:sz="1"/>
              <w:right w:val="single" w:color="C0CCDD" w:sz="1"/>
            </w:tcBorders>
            <w:shd w:fill="D6E4F7" w:val="clear"/>
            <w:tcMar>
              <w:top w:type="dxa" w:w="80"/>
              <w:left w:type="dxa" w:w="120"/>
              <w:bottom w:type="dxa" w:w="80"/>
              <w:right w:type="dxa" w:w="120"/>
            </w:tcMar>
          </w:tcPr>
          <w:p>
            <w:r>
              <w:rPr>
                <w:rFonts w:ascii="Arial" w:cs="Arial" w:eastAsia="Arial" w:hAnsi="Arial"/>
                <w:b/>
                <w:bCs/>
                <w:color w:val="1B3A6B"/>
                <w:sz w:val="22"/>
                <w:szCs w:val="22"/>
              </w:rPr>
              <w:t xml:space="preserve">HCI Principles</w:t>
            </w:r>
          </w:p>
        </w:tc>
        <w:tc>
          <w:tcPr>
            <w:tcW w:type="dxa" w:w="7020"/>
            <w:tcBorders>
              <w:top w:val="single" w:color="C0CCDD" w:sz="1"/>
              <w:left w:val="single" w:color="C0CCDD" w:sz="1"/>
              <w:bottom w:val="single" w:color="C0CCDD" w:sz="1"/>
              <w:right w:val="single" w:color="C0CCDD" w:sz="1"/>
            </w:tcBorders>
            <w:tcMar>
              <w:top w:type="dxa" w:w="80"/>
              <w:left w:type="dxa" w:w="120"/>
              <w:bottom w:type="dxa" w:w="80"/>
              <w:right w:type="dxa" w:w="120"/>
            </w:tcMar>
          </w:tcPr>
          <w:p>
            <w:r>
              <w:rPr>
                <w:rFonts w:ascii="Arial" w:cs="Arial" w:eastAsia="Arial" w:hAnsi="Arial"/>
                <w:sz w:val="22"/>
                <w:szCs w:val="22"/>
              </w:rPr>
              <w:t xml:space="preserve">Human-Computer Interaction principles (Norman's 7 principles, Fitts' Law, WCAG 2.2 accessibility) are embedded into the mobile app design to ensure ease-of-use for field technicians.</w:t>
            </w:r>
          </w:p>
        </w:tc>
      </w:tr>
    </w:tbl>
    <w:p>
      <w:pPr>
        <w:spacing w:after="0" w:before="200"/>
      </w:pPr>
      <w:r>
        <w:t xml:space="preserve"/>
      </w:r>
    </w:p>
    <w:p>
      <w:r>
        <w:br w:type="page"/>
      </w:r>
    </w:p>
    <w:p>
      <w:pPr>
        <w:pStyle w:val="Heading1"/>
        <w:pBdr>
          <w:bottom w:val="single" w:color="1B3A6B" w:sz="8" w:space="6"/>
        </w:pBdr>
        <w:spacing w:after="160" w:before="360"/>
      </w:pPr>
      <w:r>
        <w:rPr>
          <w:rFonts w:ascii="Arial" w:cs="Arial" w:eastAsia="Arial" w:hAnsi="Arial"/>
          <w:b/>
          <w:bCs/>
          <w:color w:val="1B3A6B"/>
          <w:sz w:val="32"/>
          <w:szCs w:val="32"/>
        </w:rPr>
        <w:t xml:space="preserve">2. Group Members &amp; Roles</w:t>
      </w:r>
    </w:p>
    <w:p>
      <w:pPr>
        <w:spacing w:after="80" w:before="80" w:line="360"/>
        <w:jc w:val="both"/>
      </w:pPr>
      <w:r>
        <w:rPr>
          <w:rFonts w:ascii="Arial" w:cs="Arial" w:eastAsia="Arial" w:hAnsi="Arial"/>
          <w:color w:val="1A1A1A"/>
          <w:sz w:val="22"/>
          <w:szCs w:val="22"/>
        </w:rPr>
        <w:t xml:space="preserve">The following table outlines each member's primary responsibility during the project. During the presentation, every member is expected to speak and contribute — examiners may direct questions to any individual.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560"/>
        <w:gridCol w:w="3000"/>
      </w:tblGrid>
      <w:tr>
        <w:trPr>
          <w:tblHeader/>
        </w:trPr>
        <w:tc>
          <w:tcPr>
            <w:tcW w:type="dxa" w:w="500"/>
            <w:tcBorders>
              <w:top w:val="single" w:color="C0CCDD" w:sz="1"/>
              <w:left w:val="single" w:color="C0CCDD" w:sz="1"/>
              <w:bottom w:val="single" w:color="C0CCDD" w:sz="1"/>
              <w:right w:val="single" w:color="C0CCDD" w:sz="1"/>
            </w:tcBorders>
            <w:shd w:fill="1B3A6B"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w:t>
            </w:r>
          </w:p>
        </w:tc>
        <w:tc>
          <w:tcPr>
            <w:tcW w:type="dxa" w:w="3300"/>
            <w:tcBorders>
              <w:top w:val="single" w:color="C0CCDD" w:sz="1"/>
              <w:left w:val="single" w:color="C0CCDD" w:sz="1"/>
              <w:bottom w:val="single" w:color="C0CCDD" w:sz="1"/>
              <w:right w:val="single" w:color="C0CCDD"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Full Name</w:t>
            </w:r>
          </w:p>
        </w:tc>
        <w:tc>
          <w:tcPr>
            <w:tcW w:type="dxa" w:w="2560"/>
            <w:tcBorders>
              <w:top w:val="single" w:color="C0CCDD" w:sz="1"/>
              <w:left w:val="single" w:color="C0CCDD" w:sz="1"/>
              <w:bottom w:val="single" w:color="C0CCDD" w:sz="1"/>
              <w:right w:val="single" w:color="C0CCDD"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Student ID</w:t>
            </w:r>
          </w:p>
        </w:tc>
        <w:tc>
          <w:tcPr>
            <w:tcW w:type="dxa" w:w="3000"/>
            <w:tcBorders>
              <w:top w:val="single" w:color="C0CCDD" w:sz="1"/>
              <w:left w:val="single" w:color="C0CCDD" w:sz="1"/>
              <w:bottom w:val="single" w:color="C0CCDD" w:sz="1"/>
              <w:right w:val="single" w:color="C0CCDD"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Primary Role</w:t>
            </w:r>
          </w:p>
        </w:tc>
      </w:tr>
      <w:tr>
        <w:tc>
          <w:tcPr>
            <w:tcW w:type="dxa" w:w="500"/>
            <w:tcBorders>
              <w:top w:val="single" w:color="C0CCDD" w:sz="1"/>
              <w:left w:val="single" w:color="C0CCDD" w:sz="1"/>
              <w:bottom w:val="single" w:color="C0CCDD" w:sz="1"/>
              <w:right w:val="single" w:color="C0CCDD" w:sz="1"/>
            </w:tcBorders>
            <w:shd w:fill="F2F5FA" w:val="clear"/>
            <w:tcMar>
              <w:top w:type="dxa" w:w="80"/>
              <w:left w:type="dxa" w:w="100"/>
              <w:bottom w:type="dxa" w:w="80"/>
              <w:right w:type="dxa" w:w="100"/>
            </w:tcMar>
          </w:tcPr>
          <w:p>
            <w:pPr>
              <w:jc w:val="center"/>
            </w:pPr>
            <w:r>
              <w:rPr>
                <w:rFonts w:ascii="Arial" w:cs="Arial" w:eastAsia="Arial" w:hAnsi="Arial"/>
                <w:b/>
                <w:bCs/>
                <w:color w:val="1B3A6B"/>
                <w:sz w:val="22"/>
                <w:szCs w:val="22"/>
              </w:rPr>
              <w:t xml:space="preserve">1</w:t>
            </w:r>
          </w:p>
        </w:tc>
        <w:tc>
          <w:tcPr>
            <w:tcW w:type="dxa" w:w="3300"/>
            <w:tcBorders>
              <w:top w:val="single" w:color="C0CCDD" w:sz="1"/>
              <w:left w:val="single" w:color="C0CCDD" w:sz="1"/>
              <w:bottom w:val="single" w:color="C0CCDD" w:sz="1"/>
              <w:right w:val="single" w:color="C0CCDD" w:sz="1"/>
            </w:tcBorders>
            <w:shd w:fill="F2F5FA" w:val="clear"/>
            <w:tcMar>
              <w:top w:type="dxa" w:w="80"/>
              <w:left w:type="dxa" w:w="120"/>
              <w:bottom w:type="dxa" w:w="80"/>
              <w:right w:type="dxa" w:w="120"/>
            </w:tcMar>
          </w:tcPr>
          <w:p>
            <w:r>
              <w:rPr>
                <w:rFonts w:ascii="Arial" w:cs="Arial" w:eastAsia="Arial" w:hAnsi="Arial"/>
                <w:i/>
                <w:iCs/>
                <w:color w:val="888888"/>
                <w:sz w:val="22"/>
                <w:szCs w:val="22"/>
              </w:rPr>
              <w:t xml:space="preserve">[Enter Full Name]</w:t>
            </w:r>
          </w:p>
        </w:tc>
        <w:tc>
          <w:tcPr>
            <w:tcW w:type="dxa" w:w="2560"/>
            <w:tcBorders>
              <w:top w:val="single" w:color="C0CCDD" w:sz="1"/>
              <w:left w:val="single" w:color="C0CCDD" w:sz="1"/>
              <w:bottom w:val="single" w:color="C0CCDD" w:sz="1"/>
              <w:right w:val="single" w:color="C0CCDD" w:sz="1"/>
            </w:tcBorders>
            <w:shd w:fill="F2F5FA" w:val="clear"/>
            <w:tcMar>
              <w:top w:type="dxa" w:w="80"/>
              <w:left w:type="dxa" w:w="120"/>
              <w:bottom w:type="dxa" w:w="80"/>
              <w:right w:type="dxa" w:w="120"/>
            </w:tcMar>
          </w:tcPr>
          <w:p>
            <w:r>
              <w:rPr>
                <w:rFonts w:ascii="Arial" w:cs="Arial" w:eastAsia="Arial" w:hAnsi="Arial"/>
                <w:i/>
                <w:iCs/>
                <w:color w:val="888888"/>
                <w:sz w:val="22"/>
                <w:szCs w:val="22"/>
              </w:rPr>
              <w:t xml:space="preserve">[Student ID]</w:t>
            </w:r>
          </w:p>
        </w:tc>
        <w:tc>
          <w:tcPr>
            <w:tcW w:type="dxa" w:w="3000"/>
            <w:tcBorders>
              <w:top w:val="single" w:color="C0CCDD" w:sz="1"/>
              <w:left w:val="single" w:color="C0CCDD" w:sz="1"/>
              <w:bottom w:val="single" w:color="C0CCDD" w:sz="1"/>
              <w:right w:val="single" w:color="C0CCDD" w:sz="1"/>
            </w:tcBorders>
            <w:shd w:fill="F2F5FA" w:val="clear"/>
            <w:tcMar>
              <w:top w:type="dxa" w:w="80"/>
              <w:left w:type="dxa" w:w="120"/>
              <w:bottom w:type="dxa" w:w="80"/>
              <w:right w:type="dxa" w:w="120"/>
            </w:tcMar>
          </w:tcPr>
          <w:p>
            <w:r>
              <w:rPr>
                <w:rFonts w:ascii="Arial" w:cs="Arial" w:eastAsia="Arial" w:hAnsi="Arial"/>
                <w:color w:val="1A1A1A"/>
                <w:sz w:val="22"/>
                <w:szCs w:val="22"/>
              </w:rPr>
              <w:t xml:space="preserve">Project Lead / AI Model Training</w:t>
            </w:r>
          </w:p>
        </w:tc>
      </w:tr>
      <w:tr>
        <w:tc>
          <w:tcPr>
            <w:tcW w:type="dxa" w:w="500"/>
            <w:tcBorders>
              <w:top w:val="single" w:color="C0CCDD" w:sz="1"/>
              <w:left w:val="single" w:color="C0CCDD" w:sz="1"/>
              <w:bottom w:val="single" w:color="C0CCDD" w:sz="1"/>
              <w:right w:val="single" w:color="C0CCDD" w:sz="1"/>
            </w:tcBorders>
            <w:shd w:fill="FFFFFF" w:val="clear"/>
            <w:tcMar>
              <w:top w:type="dxa" w:w="80"/>
              <w:left w:type="dxa" w:w="100"/>
              <w:bottom w:type="dxa" w:w="80"/>
              <w:right w:type="dxa" w:w="100"/>
            </w:tcMar>
          </w:tcPr>
          <w:p>
            <w:pPr>
              <w:jc w:val="center"/>
            </w:pPr>
            <w:r>
              <w:rPr>
                <w:rFonts w:ascii="Arial" w:cs="Arial" w:eastAsia="Arial" w:hAnsi="Arial"/>
                <w:b/>
                <w:bCs/>
                <w:color w:val="1B3A6B"/>
                <w:sz w:val="22"/>
                <w:szCs w:val="22"/>
              </w:rPr>
              <w:t xml:space="preserve">2</w:t>
            </w:r>
          </w:p>
        </w:tc>
        <w:tc>
          <w:tcPr>
            <w:tcW w:type="dxa" w:w="3300"/>
            <w:tcBorders>
              <w:top w:val="single" w:color="C0CCDD" w:sz="1"/>
              <w:left w:val="single" w:color="C0CCDD" w:sz="1"/>
              <w:bottom w:val="single" w:color="C0CCDD" w:sz="1"/>
              <w:right w:val="single" w:color="C0CCDD" w:sz="1"/>
            </w:tcBorders>
            <w:shd w:fill="FFFFFF" w:val="clear"/>
            <w:tcMar>
              <w:top w:type="dxa" w:w="80"/>
              <w:left w:type="dxa" w:w="120"/>
              <w:bottom w:type="dxa" w:w="80"/>
              <w:right w:type="dxa" w:w="120"/>
            </w:tcMar>
          </w:tcPr>
          <w:p>
            <w:r>
              <w:rPr>
                <w:rFonts w:ascii="Arial" w:cs="Arial" w:eastAsia="Arial" w:hAnsi="Arial"/>
                <w:i/>
                <w:iCs/>
                <w:color w:val="888888"/>
                <w:sz w:val="22"/>
                <w:szCs w:val="22"/>
              </w:rPr>
              <w:t xml:space="preserve">[Enter Full Name]</w:t>
            </w:r>
          </w:p>
        </w:tc>
        <w:tc>
          <w:tcPr>
            <w:tcW w:type="dxa" w:w="2560"/>
            <w:tcBorders>
              <w:top w:val="single" w:color="C0CCDD" w:sz="1"/>
              <w:left w:val="single" w:color="C0CCDD" w:sz="1"/>
              <w:bottom w:val="single" w:color="C0CCDD" w:sz="1"/>
              <w:right w:val="single" w:color="C0CCDD" w:sz="1"/>
            </w:tcBorders>
            <w:shd w:fill="FFFFFF" w:val="clear"/>
            <w:tcMar>
              <w:top w:type="dxa" w:w="80"/>
              <w:left w:type="dxa" w:w="120"/>
              <w:bottom w:type="dxa" w:w="80"/>
              <w:right w:type="dxa" w:w="120"/>
            </w:tcMar>
          </w:tcPr>
          <w:p>
            <w:r>
              <w:rPr>
                <w:rFonts w:ascii="Arial" w:cs="Arial" w:eastAsia="Arial" w:hAnsi="Arial"/>
                <w:i/>
                <w:iCs/>
                <w:color w:val="888888"/>
                <w:sz w:val="22"/>
                <w:szCs w:val="22"/>
              </w:rPr>
              <w:t xml:space="preserve">[Student ID]</w:t>
            </w:r>
          </w:p>
        </w:tc>
        <w:tc>
          <w:tcPr>
            <w:tcW w:type="dxa" w:w="3000"/>
            <w:tcBorders>
              <w:top w:val="single" w:color="C0CCDD" w:sz="1"/>
              <w:left w:val="single" w:color="C0CCDD" w:sz="1"/>
              <w:bottom w:val="single" w:color="C0CCDD" w:sz="1"/>
              <w:right w:val="single" w:color="C0CC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Mobile App Development</w:t>
            </w:r>
          </w:p>
        </w:tc>
      </w:tr>
      <w:tr>
        <w:tc>
          <w:tcPr>
            <w:tcW w:type="dxa" w:w="500"/>
            <w:tcBorders>
              <w:top w:val="single" w:color="C0CCDD" w:sz="1"/>
              <w:left w:val="single" w:color="C0CCDD" w:sz="1"/>
              <w:bottom w:val="single" w:color="C0CCDD" w:sz="1"/>
              <w:right w:val="single" w:color="C0CCDD" w:sz="1"/>
            </w:tcBorders>
            <w:shd w:fill="F2F5FA" w:val="clear"/>
            <w:tcMar>
              <w:top w:type="dxa" w:w="80"/>
              <w:left w:type="dxa" w:w="100"/>
              <w:bottom w:type="dxa" w:w="80"/>
              <w:right w:type="dxa" w:w="100"/>
            </w:tcMar>
          </w:tcPr>
          <w:p>
            <w:pPr>
              <w:jc w:val="center"/>
            </w:pPr>
            <w:r>
              <w:rPr>
                <w:rFonts w:ascii="Arial" w:cs="Arial" w:eastAsia="Arial" w:hAnsi="Arial"/>
                <w:b/>
                <w:bCs/>
                <w:color w:val="1B3A6B"/>
                <w:sz w:val="22"/>
                <w:szCs w:val="22"/>
              </w:rPr>
              <w:t xml:space="preserve">3</w:t>
            </w:r>
          </w:p>
        </w:tc>
        <w:tc>
          <w:tcPr>
            <w:tcW w:type="dxa" w:w="3300"/>
            <w:tcBorders>
              <w:top w:val="single" w:color="C0CCDD" w:sz="1"/>
              <w:left w:val="single" w:color="C0CCDD" w:sz="1"/>
              <w:bottom w:val="single" w:color="C0CCDD" w:sz="1"/>
              <w:right w:val="single" w:color="C0CCDD" w:sz="1"/>
            </w:tcBorders>
            <w:shd w:fill="F2F5FA" w:val="clear"/>
            <w:tcMar>
              <w:top w:type="dxa" w:w="80"/>
              <w:left w:type="dxa" w:w="120"/>
              <w:bottom w:type="dxa" w:w="80"/>
              <w:right w:type="dxa" w:w="120"/>
            </w:tcMar>
          </w:tcPr>
          <w:p>
            <w:r>
              <w:rPr>
                <w:rFonts w:ascii="Arial" w:cs="Arial" w:eastAsia="Arial" w:hAnsi="Arial"/>
                <w:i/>
                <w:iCs/>
                <w:color w:val="888888"/>
                <w:sz w:val="22"/>
                <w:szCs w:val="22"/>
              </w:rPr>
              <w:t xml:space="preserve">[Enter Full Name]</w:t>
            </w:r>
          </w:p>
        </w:tc>
        <w:tc>
          <w:tcPr>
            <w:tcW w:type="dxa" w:w="2560"/>
            <w:tcBorders>
              <w:top w:val="single" w:color="C0CCDD" w:sz="1"/>
              <w:left w:val="single" w:color="C0CCDD" w:sz="1"/>
              <w:bottom w:val="single" w:color="C0CCDD" w:sz="1"/>
              <w:right w:val="single" w:color="C0CCDD" w:sz="1"/>
            </w:tcBorders>
            <w:shd w:fill="F2F5FA" w:val="clear"/>
            <w:tcMar>
              <w:top w:type="dxa" w:w="80"/>
              <w:left w:type="dxa" w:w="120"/>
              <w:bottom w:type="dxa" w:w="80"/>
              <w:right w:type="dxa" w:w="120"/>
            </w:tcMar>
          </w:tcPr>
          <w:p>
            <w:r>
              <w:rPr>
                <w:rFonts w:ascii="Arial" w:cs="Arial" w:eastAsia="Arial" w:hAnsi="Arial"/>
                <w:i/>
                <w:iCs/>
                <w:color w:val="888888"/>
                <w:sz w:val="22"/>
                <w:szCs w:val="22"/>
              </w:rPr>
              <w:t xml:space="preserve">[Student ID]</w:t>
            </w:r>
          </w:p>
        </w:tc>
        <w:tc>
          <w:tcPr>
            <w:tcW w:type="dxa" w:w="3000"/>
            <w:tcBorders>
              <w:top w:val="single" w:color="C0CCDD" w:sz="1"/>
              <w:left w:val="single" w:color="C0CCDD" w:sz="1"/>
              <w:bottom w:val="single" w:color="C0CCDD" w:sz="1"/>
              <w:right w:val="single" w:color="C0CCDD" w:sz="1"/>
            </w:tcBorders>
            <w:shd w:fill="F2F5FA" w:val="clear"/>
            <w:tcMar>
              <w:top w:type="dxa" w:w="80"/>
              <w:left w:type="dxa" w:w="120"/>
              <w:bottom w:type="dxa" w:w="80"/>
              <w:right w:type="dxa" w:w="120"/>
            </w:tcMar>
          </w:tcPr>
          <w:p>
            <w:r>
              <w:rPr>
                <w:rFonts w:ascii="Arial" w:cs="Arial" w:eastAsia="Arial" w:hAnsi="Arial"/>
                <w:color w:val="1A1A1A"/>
                <w:sz w:val="22"/>
                <w:szCs w:val="22"/>
              </w:rPr>
              <w:t xml:space="preserve">HCI Design &amp; User Testing</w:t>
            </w:r>
          </w:p>
        </w:tc>
      </w:tr>
      <w:tr>
        <w:tc>
          <w:tcPr>
            <w:tcW w:type="dxa" w:w="500"/>
            <w:tcBorders>
              <w:top w:val="single" w:color="C0CCDD" w:sz="1"/>
              <w:left w:val="single" w:color="C0CCDD" w:sz="1"/>
              <w:bottom w:val="single" w:color="C0CCDD" w:sz="1"/>
              <w:right w:val="single" w:color="C0CCDD" w:sz="1"/>
            </w:tcBorders>
            <w:shd w:fill="FFFFFF" w:val="clear"/>
            <w:tcMar>
              <w:top w:type="dxa" w:w="80"/>
              <w:left w:type="dxa" w:w="100"/>
              <w:bottom w:type="dxa" w:w="80"/>
              <w:right w:type="dxa" w:w="100"/>
            </w:tcMar>
          </w:tcPr>
          <w:p>
            <w:pPr>
              <w:jc w:val="center"/>
            </w:pPr>
            <w:r>
              <w:rPr>
                <w:rFonts w:ascii="Arial" w:cs="Arial" w:eastAsia="Arial" w:hAnsi="Arial"/>
                <w:b/>
                <w:bCs/>
                <w:color w:val="1B3A6B"/>
                <w:sz w:val="22"/>
                <w:szCs w:val="22"/>
              </w:rPr>
              <w:t xml:space="preserve">4</w:t>
            </w:r>
          </w:p>
        </w:tc>
        <w:tc>
          <w:tcPr>
            <w:tcW w:type="dxa" w:w="3300"/>
            <w:tcBorders>
              <w:top w:val="single" w:color="C0CCDD" w:sz="1"/>
              <w:left w:val="single" w:color="C0CCDD" w:sz="1"/>
              <w:bottom w:val="single" w:color="C0CCDD" w:sz="1"/>
              <w:right w:val="single" w:color="C0CCDD" w:sz="1"/>
            </w:tcBorders>
            <w:shd w:fill="FFFFFF" w:val="clear"/>
            <w:tcMar>
              <w:top w:type="dxa" w:w="80"/>
              <w:left w:type="dxa" w:w="120"/>
              <w:bottom w:type="dxa" w:w="80"/>
              <w:right w:type="dxa" w:w="120"/>
            </w:tcMar>
          </w:tcPr>
          <w:p>
            <w:r>
              <w:rPr>
                <w:rFonts w:ascii="Arial" w:cs="Arial" w:eastAsia="Arial" w:hAnsi="Arial"/>
                <w:i/>
                <w:iCs/>
                <w:color w:val="888888"/>
                <w:sz w:val="22"/>
                <w:szCs w:val="22"/>
              </w:rPr>
              <w:t xml:space="preserve">[Enter Full Name]</w:t>
            </w:r>
          </w:p>
        </w:tc>
        <w:tc>
          <w:tcPr>
            <w:tcW w:type="dxa" w:w="2560"/>
            <w:tcBorders>
              <w:top w:val="single" w:color="C0CCDD" w:sz="1"/>
              <w:left w:val="single" w:color="C0CCDD" w:sz="1"/>
              <w:bottom w:val="single" w:color="C0CCDD" w:sz="1"/>
              <w:right w:val="single" w:color="C0CCDD" w:sz="1"/>
            </w:tcBorders>
            <w:shd w:fill="FFFFFF" w:val="clear"/>
            <w:tcMar>
              <w:top w:type="dxa" w:w="80"/>
              <w:left w:type="dxa" w:w="120"/>
              <w:bottom w:type="dxa" w:w="80"/>
              <w:right w:type="dxa" w:w="120"/>
            </w:tcMar>
          </w:tcPr>
          <w:p>
            <w:r>
              <w:rPr>
                <w:rFonts w:ascii="Arial" w:cs="Arial" w:eastAsia="Arial" w:hAnsi="Arial"/>
                <w:i/>
                <w:iCs/>
                <w:color w:val="888888"/>
                <w:sz w:val="22"/>
                <w:szCs w:val="22"/>
              </w:rPr>
              <w:t xml:space="preserve">[Student ID]</w:t>
            </w:r>
          </w:p>
        </w:tc>
        <w:tc>
          <w:tcPr>
            <w:tcW w:type="dxa" w:w="3000"/>
            <w:tcBorders>
              <w:top w:val="single" w:color="C0CCDD" w:sz="1"/>
              <w:left w:val="single" w:color="C0CCDD" w:sz="1"/>
              <w:bottom w:val="single" w:color="C0CCDD" w:sz="1"/>
              <w:right w:val="single" w:color="C0CC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Data Collection &amp; Documentation</w:t>
            </w:r>
          </w:p>
        </w:tc>
      </w:tr>
    </w:tbl>
    <w:p>
      <w:pPr>
        <w:spacing w:after="0" w:before="120"/>
      </w:pPr>
      <w:r>
        <w:t xml:space="preserve"/>
      </w:r>
    </w:p>
    <w:p>
      <w:pPr>
        <w:spacing w:after="80" w:before="80" w:line="360"/>
        <w:jc w:val="both"/>
      </w:pPr>
      <w:r>
        <w:rPr>
          <w:rFonts w:ascii="Arial" w:cs="Arial" w:eastAsia="Arial" w:hAnsi="Arial"/>
          <w:i/>
          <w:iCs/>
          <w:color w:val="C8860A"/>
          <w:sz w:val="22"/>
          <w:szCs w:val="22"/>
        </w:rPr>
        <w:t xml:space="preserve">📝 Fill in your full names and student IDs before the presentation day.</w:t>
      </w:r>
    </w:p>
    <w:p>
      <w:pPr>
        <w:spacing w:after="0" w:before="200"/>
      </w:pPr>
      <w:r>
        <w:t xml:space="preserve"/>
      </w:r>
    </w:p>
    <w:p>
      <w:r>
        <w:br w:type="page"/>
      </w:r>
    </w:p>
    <w:p>
      <w:pPr>
        <w:pStyle w:val="Heading1"/>
        <w:pBdr>
          <w:bottom w:val="single" w:color="1B3A6B" w:sz="8" w:space="6"/>
        </w:pBdr>
        <w:spacing w:after="160" w:before="360"/>
      </w:pPr>
      <w:r>
        <w:rPr>
          <w:rFonts w:ascii="Arial" w:cs="Arial" w:eastAsia="Arial" w:hAnsi="Arial"/>
          <w:b/>
          <w:bCs/>
          <w:color w:val="1B3A6B"/>
          <w:sz w:val="32"/>
          <w:szCs w:val="32"/>
        </w:rPr>
        <w:t xml:space="preserve">3. Problem Statement</w:t>
      </w:r>
    </w:p>
    <w:p>
      <w:pPr>
        <w:pStyle w:val="Heading2"/>
        <w:spacing w:after="100" w:before="260"/>
      </w:pPr>
      <w:r>
        <w:rPr>
          <w:rFonts w:ascii="Arial" w:cs="Arial" w:eastAsia="Arial" w:hAnsi="Arial"/>
          <w:b/>
          <w:bCs/>
          <w:color w:val="1B3A6B"/>
          <w:sz w:val="26"/>
          <w:szCs w:val="26"/>
        </w:rPr>
        <w:t xml:space="preserve">The Global Solar Energy Challenge</w:t>
      </w:r>
    </w:p>
    <w:p>
      <w:pPr>
        <w:spacing w:after="80" w:before="80" w:line="360"/>
        <w:jc w:val="both"/>
      </w:pPr>
      <w:r>
        <w:rPr>
          <w:rFonts w:ascii="Arial" w:cs="Arial" w:eastAsia="Arial" w:hAnsi="Arial"/>
          <w:color w:val="1A1A1A"/>
          <w:sz w:val="22"/>
          <w:szCs w:val="22"/>
        </w:rPr>
        <w:t xml:space="preserve">Solar photovoltaic (PV) energy is the fastest-growing electricity source worldwide. Ghana's government has committed to achieving 10% renewable energy by 2030, with solar playing a central role. However, solar panels degrade silently — defects develop over years of outdoor exposure and are invisible to the naked eye until significant damage has occurred.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CCDD" w:sz="1"/>
              <w:left w:val="single" w:color="C0CCDD" w:sz="1"/>
              <w:bottom w:val="single" w:color="C0CCDD" w:sz="1"/>
              <w:right w:val="single" w:color="C0CCDD" w:sz="1"/>
            </w:tcBorders>
            <w:shd w:fill="D6E4F7" w:val="clear"/>
            <w:tcMar>
              <w:top w:type="dxa" w:w="120"/>
              <w:left w:type="dxa" w:w="160"/>
              <w:bottom w:type="dxa" w:w="120"/>
              <w:right w:type="dxa" w:w="160"/>
            </w:tcMar>
          </w:tcPr>
          <w:p>
            <w:pPr>
              <w:jc w:val="center"/>
            </w:pPr>
            <w:r>
              <w:rPr>
                <w:rFonts w:ascii="Arial" w:cs="Arial" w:eastAsia="Arial" w:hAnsi="Arial"/>
                <w:b/>
                <w:bCs/>
                <w:color w:val="1B3A6B"/>
                <w:sz w:val="18"/>
                <w:szCs w:val="18"/>
              </w:rPr>
              <w:t xml:space="preserve">Global Revenue Lost</w:t>
            </w:r>
          </w:p>
          <w:p>
            <w:pPr>
              <w:jc w:val="center"/>
            </w:pPr>
            <w:r>
              <w:rPr>
                <w:rFonts w:ascii="Arial" w:cs="Arial" w:eastAsia="Arial" w:hAnsi="Arial"/>
                <w:b/>
                <w:bCs/>
                <w:color w:val="C8860A"/>
                <w:sz w:val="28"/>
                <w:szCs w:val="28"/>
              </w:rPr>
              <w:t xml:space="preserve">$10B/yr</w:t>
            </w:r>
          </w:p>
        </w:tc>
        <w:tc>
          <w:tcPr>
            <w:tcW w:type="dxa" w:w="2340"/>
            <w:tcBorders>
              <w:top w:val="single" w:color="C0CCDD" w:sz="1"/>
              <w:left w:val="single" w:color="C0CCDD" w:sz="1"/>
              <w:bottom w:val="single" w:color="C0CCDD" w:sz="1"/>
              <w:right w:val="single" w:color="C0CCDD" w:sz="1"/>
            </w:tcBorders>
            <w:shd w:fill="D6E4F7" w:val="clear"/>
            <w:tcMar>
              <w:top w:type="dxa" w:w="120"/>
              <w:left w:type="dxa" w:w="160"/>
              <w:bottom w:type="dxa" w:w="120"/>
              <w:right w:type="dxa" w:w="160"/>
            </w:tcMar>
          </w:tcPr>
          <w:p>
            <w:pPr>
              <w:jc w:val="center"/>
            </w:pPr>
            <w:r>
              <w:rPr>
                <w:rFonts w:ascii="Arial" w:cs="Arial" w:eastAsia="Arial" w:hAnsi="Arial"/>
                <w:b/>
                <w:bCs/>
                <w:color w:val="1B3A6B"/>
                <w:sz w:val="18"/>
                <w:szCs w:val="18"/>
              </w:rPr>
              <w:t xml:space="preserve">Capacity Added (2024)</w:t>
            </w:r>
          </w:p>
          <w:p>
            <w:pPr>
              <w:jc w:val="center"/>
            </w:pPr>
            <w:r>
              <w:rPr>
                <w:rFonts w:ascii="Arial" w:cs="Arial" w:eastAsia="Arial" w:hAnsi="Arial"/>
                <w:b/>
                <w:bCs/>
                <w:color w:val="C8860A"/>
                <w:sz w:val="28"/>
                <w:szCs w:val="28"/>
              </w:rPr>
              <w:t xml:space="preserve">452 GW</w:t>
            </w:r>
          </w:p>
        </w:tc>
        <w:tc>
          <w:tcPr>
            <w:tcW w:type="dxa" w:w="2340"/>
            <w:tcBorders>
              <w:top w:val="single" w:color="C0CCDD" w:sz="1"/>
              <w:left w:val="single" w:color="C0CCDD" w:sz="1"/>
              <w:bottom w:val="single" w:color="C0CCDD" w:sz="1"/>
              <w:right w:val="single" w:color="C0CCDD" w:sz="1"/>
            </w:tcBorders>
            <w:shd w:fill="D6E4F7" w:val="clear"/>
            <w:tcMar>
              <w:top w:type="dxa" w:w="120"/>
              <w:left w:type="dxa" w:w="160"/>
              <w:bottom w:type="dxa" w:w="120"/>
              <w:right w:type="dxa" w:w="160"/>
            </w:tcMar>
          </w:tcPr>
          <w:p>
            <w:pPr>
              <w:jc w:val="center"/>
            </w:pPr>
            <w:r>
              <w:rPr>
                <w:rFonts w:ascii="Arial" w:cs="Arial" w:eastAsia="Arial" w:hAnsi="Arial"/>
                <w:b/>
                <w:bCs/>
                <w:color w:val="1B3A6B"/>
                <w:sz w:val="18"/>
                <w:szCs w:val="18"/>
              </w:rPr>
              <w:t xml:space="preserve">Manual Inspection Rate</w:t>
            </w:r>
          </w:p>
          <w:p>
            <w:pPr>
              <w:jc w:val="center"/>
            </w:pPr>
            <w:r>
              <w:rPr>
                <w:rFonts w:ascii="Arial" w:cs="Arial" w:eastAsia="Arial" w:hAnsi="Arial"/>
                <w:b/>
                <w:bCs/>
                <w:color w:val="C8860A"/>
                <w:sz w:val="28"/>
                <w:szCs w:val="28"/>
              </w:rPr>
              <w:t xml:space="preserve">1–2 MW/day</w:t>
            </w:r>
          </w:p>
        </w:tc>
        <w:tc>
          <w:tcPr>
            <w:tcW w:type="dxa" w:w="2340"/>
            <w:tcBorders>
              <w:top w:val="single" w:color="C0CCDD" w:sz="1"/>
              <w:left w:val="single" w:color="C0CCDD" w:sz="1"/>
              <w:bottom w:val="single" w:color="C0CCDD" w:sz="1"/>
              <w:right w:val="single" w:color="C0CCDD" w:sz="1"/>
            </w:tcBorders>
            <w:shd w:fill="D6E4F7" w:val="clear"/>
            <w:tcMar>
              <w:top w:type="dxa" w:w="120"/>
              <w:left w:type="dxa" w:w="160"/>
              <w:bottom w:type="dxa" w:w="120"/>
              <w:right w:type="dxa" w:w="160"/>
            </w:tcMar>
          </w:tcPr>
          <w:p>
            <w:pPr>
              <w:jc w:val="center"/>
            </w:pPr>
            <w:r>
              <w:rPr>
                <w:rFonts w:ascii="Arial" w:cs="Arial" w:eastAsia="Arial" w:hAnsi="Arial"/>
                <w:b/>
                <w:bCs/>
                <w:color w:val="1B3A6B"/>
                <w:sz w:val="18"/>
                <w:szCs w:val="18"/>
              </w:rPr>
              <w:t xml:space="preserve">Efficiency Loss (avg)</w:t>
            </w:r>
          </w:p>
          <w:p>
            <w:pPr>
              <w:jc w:val="center"/>
            </w:pPr>
            <w:r>
              <w:rPr>
                <w:rFonts w:ascii="Arial" w:cs="Arial" w:eastAsia="Arial" w:hAnsi="Arial"/>
                <w:b/>
                <w:bCs/>
                <w:color w:val="C8860A"/>
                <w:sz w:val="28"/>
                <w:szCs w:val="28"/>
              </w:rPr>
              <w:t xml:space="preserve">5–30%</w:t>
            </w:r>
          </w:p>
        </w:tc>
      </w:tr>
    </w:tbl>
    <w:p>
      <w:pPr>
        <w:spacing w:after="0" w:before="140"/>
      </w:pPr>
      <w:r>
        <w:t xml:space="preserve"/>
      </w:r>
    </w:p>
    <w:p>
      <w:pPr>
        <w:pStyle w:val="Heading2"/>
        <w:spacing w:after="100" w:before="260"/>
      </w:pPr>
      <w:r>
        <w:rPr>
          <w:rFonts w:ascii="Arial" w:cs="Arial" w:eastAsia="Arial" w:hAnsi="Arial"/>
          <w:b/>
          <w:bCs/>
          <w:color w:val="1B3A6B"/>
          <w:sz w:val="26"/>
          <w:szCs w:val="26"/>
        </w:rPr>
        <w:t xml:space="preserve">Core Problems This Project Solves</w:t>
      </w:r>
    </w:p>
    <w:p>
      <w:pPr>
        <w:pStyle w:val="ListParagraph"/>
        <w:numPr>
          <w:ilvl w:val="0"/>
          <w:numId w:val="2"/>
        </w:numPr>
        <w:spacing w:after="60" w:before="60" w:line="320"/>
      </w:pPr>
      <w:r>
        <w:rPr>
          <w:rFonts w:ascii="Arial" w:cs="Arial" w:eastAsia="Arial" w:hAnsi="Arial"/>
          <w:b/>
          <w:bCs/>
          <w:color w:val="1A1A1A"/>
          <w:sz w:val="22"/>
          <w:szCs w:val="22"/>
        </w:rPr>
        <w:t xml:space="preserve">A trained technician can manually inspect only 1–2 MW of panels per day using a handheld thermal camera. A 100 MW solar farm would take months to fully inspect manually.</w:t>
      </w:r>
      <w:r>
        <w:rPr>
          <w:rFonts w:ascii="Arial" w:cs="Arial" w:eastAsia="Arial" w:hAnsi="Arial"/>
          <w:color w:val="1A1A1A"/>
          <w:sz w:val="22"/>
          <w:szCs w:val="22"/>
        </w:rPr>
        <w:t xml:space="preserve">Scale: </w:t>
      </w:r>
    </w:p>
    <w:p>
      <w:pPr>
        <w:pStyle w:val="ListParagraph"/>
        <w:numPr>
          <w:ilvl w:val="0"/>
          <w:numId w:val="2"/>
        </w:numPr>
        <w:spacing w:after="60" w:before="60" w:line="320"/>
      </w:pPr>
      <w:r>
        <w:rPr>
          <w:rFonts w:ascii="Arial" w:cs="Arial" w:eastAsia="Arial" w:hAnsi="Arial"/>
          <w:b/>
          <w:bCs/>
          <w:color w:val="1A1A1A"/>
          <w:sz w:val="22"/>
          <w:szCs w:val="22"/>
        </w:rPr>
        <w:t xml:space="preserve">Professional thermal drone surveys cost $500–$2,000 per MW, making routine inspection unaffordable for smaller solar installations in Ghana.</w:t>
      </w:r>
      <w:r>
        <w:rPr>
          <w:rFonts w:ascii="Arial" w:cs="Arial" w:eastAsia="Arial" w:hAnsi="Arial"/>
          <w:color w:val="1A1A1A"/>
          <w:sz w:val="22"/>
          <w:szCs w:val="22"/>
        </w:rPr>
        <w:t xml:space="preserve">Cost: </w:t>
      </w:r>
    </w:p>
    <w:p>
      <w:pPr>
        <w:pStyle w:val="ListParagraph"/>
        <w:numPr>
          <w:ilvl w:val="0"/>
          <w:numId w:val="2"/>
        </w:numPr>
        <w:spacing w:after="60" w:before="60" w:line="320"/>
      </w:pPr>
      <w:r>
        <w:rPr>
          <w:rFonts w:ascii="Arial" w:cs="Arial" w:eastAsia="Arial" w:hAnsi="Arial"/>
          <w:b/>
          <w:bCs/>
          <w:color w:val="1A1A1A"/>
          <w:sz w:val="22"/>
          <w:szCs w:val="22"/>
        </w:rPr>
        <w:t xml:space="preserve">Defects like Potential-Induced Degradation (PID), micro-cracks, and early-stage delamination are invisible to the human eye and undetectable without specialised imaging equipment.</w:t>
      </w:r>
      <w:r>
        <w:rPr>
          <w:rFonts w:ascii="Arial" w:cs="Arial" w:eastAsia="Arial" w:hAnsi="Arial"/>
          <w:color w:val="1A1A1A"/>
          <w:sz w:val="22"/>
          <w:szCs w:val="22"/>
        </w:rPr>
        <w:t xml:space="preserve">Invisibility: </w:t>
      </w:r>
    </w:p>
    <w:p>
      <w:pPr>
        <w:pStyle w:val="ListParagraph"/>
        <w:numPr>
          <w:ilvl w:val="0"/>
          <w:numId w:val="2"/>
        </w:numPr>
        <w:spacing w:after="60" w:before="60" w:line="320"/>
      </w:pPr>
      <w:r>
        <w:rPr>
          <w:rFonts w:ascii="Arial" w:cs="Arial" w:eastAsia="Arial" w:hAnsi="Arial"/>
          <w:b/>
          <w:bCs/>
          <w:color w:val="1A1A1A"/>
          <w:sz w:val="22"/>
          <w:szCs w:val="22"/>
        </w:rPr>
        <w:t xml:space="preserve">Unreported defects compound over time. A single hotspot cell left unrepaired can reduce an entire string's output by up to 20% and create a fire hazard.</w:t>
      </w:r>
      <w:r>
        <w:rPr>
          <w:rFonts w:ascii="Arial" w:cs="Arial" w:eastAsia="Arial" w:hAnsi="Arial"/>
          <w:color w:val="1A1A1A"/>
          <w:sz w:val="22"/>
          <w:szCs w:val="22"/>
        </w:rPr>
        <w:t xml:space="preserve">Revenue Loss: </w:t>
      </w:r>
    </w:p>
    <w:p>
      <w:pPr>
        <w:pStyle w:val="ListParagraph"/>
        <w:numPr>
          <w:ilvl w:val="0"/>
          <w:numId w:val="2"/>
        </w:numPr>
        <w:spacing w:after="60" w:before="60" w:line="320"/>
      </w:pPr>
      <w:r>
        <w:rPr>
          <w:rFonts w:ascii="Arial" w:cs="Arial" w:eastAsia="Arial" w:hAnsi="Arial"/>
          <w:b/>
          <w:bCs/>
          <w:color w:val="1A1A1A"/>
          <w:sz w:val="22"/>
          <w:szCs w:val="22"/>
        </w:rPr>
        <w:t xml:space="preserve">Remote solar farms in northern Ghana and off-grid communities have no internet access, making cloud-based AI inspection systems unusable.</w:t>
      </w:r>
      <w:r>
        <w:rPr>
          <w:rFonts w:ascii="Arial" w:cs="Arial" w:eastAsia="Arial" w:hAnsi="Arial"/>
          <w:color w:val="1A1A1A"/>
          <w:sz w:val="22"/>
          <w:szCs w:val="22"/>
        </w:rPr>
        <w:t xml:space="preserve">Connectivity: </w:t>
      </w:r>
    </w:p>
    <w:p>
      <w:pPr>
        <w:spacing w:after="0" w:before="120"/>
      </w:pPr>
      <w:r>
        <w:t xml:space="preserve"/>
      </w:r>
    </w:p>
    <w:p>
      <w:pPr>
        <w:pStyle w:val="Heading2"/>
        <w:spacing w:after="100" w:before="260"/>
      </w:pPr>
      <w:r>
        <w:rPr>
          <w:rFonts w:ascii="Arial" w:cs="Arial" w:eastAsia="Arial" w:hAnsi="Arial"/>
          <w:b/>
          <w:bCs/>
          <w:color w:val="1B3A6B"/>
          <w:sz w:val="26"/>
          <w:szCs w:val="26"/>
        </w:rPr>
        <w:t xml:space="preserve">Specific Defects Detected by SolarScan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0CCDD" w:sz="1"/>
              <w:left w:val="single" w:color="C0CCDD" w:sz="1"/>
              <w:bottom w:val="single" w:color="C0CCDD" w:sz="1"/>
              <w:right w:val="single" w:color="C0CC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Defect Type</w:t>
            </w:r>
          </w:p>
        </w:tc>
        <w:tc>
          <w:tcPr>
            <w:tcW w:type="dxa" w:w="3510"/>
            <w:tcBorders>
              <w:top w:val="single" w:color="C0CCDD" w:sz="1"/>
              <w:left w:val="single" w:color="C0CCDD" w:sz="1"/>
              <w:bottom w:val="single" w:color="C0CCDD" w:sz="1"/>
              <w:right w:val="single" w:color="C0CC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510"/>
            <w:tcBorders>
              <w:top w:val="single" w:color="C0CCDD" w:sz="1"/>
              <w:left w:val="single" w:color="C0CCDD" w:sz="1"/>
              <w:bottom w:val="single" w:color="C0CCDD" w:sz="1"/>
              <w:right w:val="single" w:color="C0CC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Revenue Impact</w:t>
            </w:r>
          </w:p>
        </w:tc>
      </w:tr>
      <w:tr>
        <w:tc>
          <w:tcPr>
            <w:tcW w:type="dxa" w:w="2340"/>
            <w:tcBorders>
              <w:top w:val="single" w:color="C0CCDD" w:sz="1"/>
              <w:left w:val="single" w:color="C0CCDD" w:sz="1"/>
              <w:bottom w:val="single" w:color="C0CCDD" w:sz="1"/>
              <w:right w:val="single" w:color="C0CCDD" w:sz="1"/>
            </w:tcBorders>
            <w:shd w:fill="F2F5FA" w:val="clear"/>
            <w:tcMar>
              <w:top w:type="dxa" w:w="60"/>
              <w:left w:type="dxa" w:w="120"/>
              <w:bottom w:type="dxa" w:w="60"/>
              <w:right w:type="dxa" w:w="120"/>
            </w:tcMar>
          </w:tcPr>
          <w:p>
            <w:r>
              <w:rPr>
                <w:rFonts w:ascii="Arial" w:cs="Arial" w:eastAsia="Arial" w:hAnsi="Arial"/>
                <w:b/>
                <w:bCs/>
                <w:color w:val="1B3A6B"/>
                <w:sz w:val="20"/>
                <w:szCs w:val="20"/>
              </w:rPr>
              <w:t xml:space="preserve">🔥 Hotspot</w:t>
            </w:r>
          </w:p>
        </w:tc>
        <w:tc>
          <w:tcPr>
            <w:tcW w:type="dxa" w:w="3510"/>
            <w:tcBorders>
              <w:top w:val="single" w:color="C0CCDD" w:sz="1"/>
              <w:left w:val="single" w:color="C0CCDD" w:sz="1"/>
              <w:bottom w:val="single" w:color="C0CCDD" w:sz="1"/>
              <w:right w:val="single" w:color="C0CCDD" w:sz="1"/>
            </w:tcBorders>
            <w:shd w:fill="F2F5FA" w:val="clear"/>
            <w:tcMar>
              <w:top w:type="dxa" w:w="60"/>
              <w:left w:type="dxa" w:w="120"/>
              <w:bottom w:type="dxa" w:w="60"/>
              <w:right w:type="dxa" w:w="120"/>
            </w:tcMar>
          </w:tcPr>
          <w:p>
            <w:r>
              <w:rPr>
                <w:rFonts w:ascii="Arial" w:cs="Arial" w:eastAsia="Arial" w:hAnsi="Arial"/>
                <w:sz w:val="20"/>
                <w:szCs w:val="20"/>
              </w:rPr>
              <w:t xml:space="preserve">Reverse current, shading</w:t>
            </w:r>
          </w:p>
        </w:tc>
        <w:tc>
          <w:tcPr>
            <w:tcW w:type="dxa" w:w="3510"/>
            <w:tcBorders>
              <w:top w:val="single" w:color="C0CCDD" w:sz="1"/>
              <w:left w:val="single" w:color="C0CCDD" w:sz="1"/>
              <w:bottom w:val="single" w:color="C0CCDD" w:sz="1"/>
              <w:right w:val="single" w:color="C0CCDD" w:sz="1"/>
            </w:tcBorders>
            <w:shd w:fill="F2F5FA" w:val="clear"/>
            <w:tcMar>
              <w:top w:type="dxa" w:w="60"/>
              <w:left w:type="dxa" w:w="120"/>
              <w:bottom w:type="dxa" w:w="60"/>
              <w:right w:type="dxa" w:w="120"/>
            </w:tcMar>
          </w:tcPr>
          <w:p>
            <w:r>
              <w:rPr>
                <w:rFonts w:ascii="Arial" w:cs="Arial" w:eastAsia="Arial" w:hAnsi="Arial"/>
                <w:color w:val="B00000"/>
                <w:sz w:val="20"/>
                <w:szCs w:val="20"/>
              </w:rPr>
              <w:t xml:space="preserve">Up to 9% per affected area</w:t>
            </w:r>
          </w:p>
        </w:tc>
      </w:tr>
      <w:tr>
        <w:tc>
          <w:tcPr>
            <w:tcW w:type="dxa" w:w="2340"/>
            <w:tcBorders>
              <w:top w:val="single" w:color="C0CCDD" w:sz="1"/>
              <w:left w:val="single" w:color="C0CCDD" w:sz="1"/>
              <w:bottom w:val="single" w:color="C0CCDD" w:sz="1"/>
              <w:right w:val="single" w:color="C0CCDD"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 Micro-crack</w:t>
            </w:r>
          </w:p>
        </w:tc>
        <w:tc>
          <w:tcPr>
            <w:tcW w:type="dxa" w:w="3510"/>
            <w:tcBorders>
              <w:top w:val="single" w:color="C0CCDD" w:sz="1"/>
              <w:left w:val="single" w:color="C0CCDD" w:sz="1"/>
              <w:bottom w:val="single" w:color="C0CCDD" w:sz="1"/>
              <w:right w:val="single" w:color="C0CCDD" w:sz="1"/>
            </w:tcBorders>
            <w:shd w:fill="FFFFFF" w:val="clear"/>
            <w:tcMar>
              <w:top w:type="dxa" w:w="60"/>
              <w:left w:type="dxa" w:w="120"/>
              <w:bottom w:type="dxa" w:w="60"/>
              <w:right w:type="dxa" w:w="120"/>
            </w:tcMar>
          </w:tcPr>
          <w:p>
            <w:r>
              <w:rPr>
                <w:rFonts w:ascii="Arial" w:cs="Arial" w:eastAsia="Arial" w:hAnsi="Arial"/>
                <w:sz w:val="20"/>
                <w:szCs w:val="20"/>
              </w:rPr>
              <w:t xml:space="preserve">Mechanical/thermal stress</w:t>
            </w:r>
          </w:p>
        </w:tc>
        <w:tc>
          <w:tcPr>
            <w:tcW w:type="dxa" w:w="3510"/>
            <w:tcBorders>
              <w:top w:val="single" w:color="C0CCDD" w:sz="1"/>
              <w:left w:val="single" w:color="C0CCDD" w:sz="1"/>
              <w:bottom w:val="single" w:color="C0CCDD" w:sz="1"/>
              <w:right w:val="single" w:color="C0CCDD" w:sz="1"/>
            </w:tcBorders>
            <w:shd w:fill="FFFFFF" w:val="clear"/>
            <w:tcMar>
              <w:top w:type="dxa" w:w="60"/>
              <w:left w:type="dxa" w:w="120"/>
              <w:bottom w:type="dxa" w:w="60"/>
              <w:right w:type="dxa" w:w="120"/>
            </w:tcMar>
          </w:tcPr>
          <w:p>
            <w:r>
              <w:rPr>
                <w:rFonts w:ascii="Arial" w:cs="Arial" w:eastAsia="Arial" w:hAnsi="Arial"/>
                <w:color w:val="B00000"/>
                <w:sz w:val="20"/>
                <w:szCs w:val="20"/>
              </w:rPr>
              <w:t xml:space="preserve">Up to 6% loss</w:t>
            </w:r>
          </w:p>
        </w:tc>
      </w:tr>
      <w:tr>
        <w:tc>
          <w:tcPr>
            <w:tcW w:type="dxa" w:w="2340"/>
            <w:tcBorders>
              <w:top w:val="single" w:color="C0CCDD" w:sz="1"/>
              <w:left w:val="single" w:color="C0CCDD" w:sz="1"/>
              <w:bottom w:val="single" w:color="C0CCDD" w:sz="1"/>
              <w:right w:val="single" w:color="C0CCDD" w:sz="1"/>
            </w:tcBorders>
            <w:shd w:fill="F2F5FA" w:val="clear"/>
            <w:tcMar>
              <w:top w:type="dxa" w:w="60"/>
              <w:left w:type="dxa" w:w="120"/>
              <w:bottom w:type="dxa" w:w="60"/>
              <w:right w:type="dxa" w:w="120"/>
            </w:tcMar>
          </w:tcPr>
          <w:p>
            <w:r>
              <w:rPr>
                <w:rFonts w:ascii="Arial" w:cs="Arial" w:eastAsia="Arial" w:hAnsi="Arial"/>
                <w:b/>
                <w:bCs/>
                <w:color w:val="1B3A6B"/>
                <w:sz w:val="20"/>
                <w:szCs w:val="20"/>
              </w:rPr>
              <w:t xml:space="preserve">🌫️ Soiling / Dust</w:t>
            </w:r>
          </w:p>
        </w:tc>
        <w:tc>
          <w:tcPr>
            <w:tcW w:type="dxa" w:w="3510"/>
            <w:tcBorders>
              <w:top w:val="single" w:color="C0CCDD" w:sz="1"/>
              <w:left w:val="single" w:color="C0CCDD" w:sz="1"/>
              <w:bottom w:val="single" w:color="C0CCDD" w:sz="1"/>
              <w:right w:val="single" w:color="C0CCDD" w:sz="1"/>
            </w:tcBorders>
            <w:shd w:fill="F2F5FA" w:val="clear"/>
            <w:tcMar>
              <w:top w:type="dxa" w:w="60"/>
              <w:left w:type="dxa" w:w="120"/>
              <w:bottom w:type="dxa" w:w="60"/>
              <w:right w:type="dxa" w:w="120"/>
            </w:tcMar>
          </w:tcPr>
          <w:p>
            <w:r>
              <w:rPr>
                <w:rFonts w:ascii="Arial" w:cs="Arial" w:eastAsia="Arial" w:hAnsi="Arial"/>
                <w:sz w:val="20"/>
                <w:szCs w:val="20"/>
              </w:rPr>
              <w:t xml:space="preserve">Particulate accumulation</w:t>
            </w:r>
          </w:p>
        </w:tc>
        <w:tc>
          <w:tcPr>
            <w:tcW w:type="dxa" w:w="3510"/>
            <w:tcBorders>
              <w:top w:val="single" w:color="C0CCDD" w:sz="1"/>
              <w:left w:val="single" w:color="C0CCDD" w:sz="1"/>
              <w:bottom w:val="single" w:color="C0CCDD" w:sz="1"/>
              <w:right w:val="single" w:color="C0CCDD" w:sz="1"/>
            </w:tcBorders>
            <w:shd w:fill="F2F5FA" w:val="clear"/>
            <w:tcMar>
              <w:top w:type="dxa" w:w="60"/>
              <w:left w:type="dxa" w:w="120"/>
              <w:bottom w:type="dxa" w:w="60"/>
              <w:right w:type="dxa" w:w="120"/>
            </w:tcMar>
          </w:tcPr>
          <w:p>
            <w:r>
              <w:rPr>
                <w:rFonts w:ascii="Arial" w:cs="Arial" w:eastAsia="Arial" w:hAnsi="Arial"/>
                <w:color w:val="B00000"/>
                <w:sz w:val="20"/>
                <w:szCs w:val="20"/>
              </w:rPr>
              <w:t xml:space="preserve">5–30% output reduction</w:t>
            </w:r>
          </w:p>
        </w:tc>
      </w:tr>
      <w:tr>
        <w:tc>
          <w:tcPr>
            <w:tcW w:type="dxa" w:w="2340"/>
            <w:tcBorders>
              <w:top w:val="single" w:color="C0CCDD" w:sz="1"/>
              <w:left w:val="single" w:color="C0CCDD" w:sz="1"/>
              <w:bottom w:val="single" w:color="C0CCDD" w:sz="1"/>
              <w:right w:val="single" w:color="C0CCDD"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 Bypass Diode Fault</w:t>
            </w:r>
          </w:p>
        </w:tc>
        <w:tc>
          <w:tcPr>
            <w:tcW w:type="dxa" w:w="3510"/>
            <w:tcBorders>
              <w:top w:val="single" w:color="C0CCDD" w:sz="1"/>
              <w:left w:val="single" w:color="C0CCDD" w:sz="1"/>
              <w:bottom w:val="single" w:color="C0CCDD" w:sz="1"/>
              <w:right w:val="single" w:color="C0CCDD" w:sz="1"/>
            </w:tcBorders>
            <w:shd w:fill="FFFFFF" w:val="clear"/>
            <w:tcMar>
              <w:top w:type="dxa" w:w="60"/>
              <w:left w:type="dxa" w:w="120"/>
              <w:bottom w:type="dxa" w:w="60"/>
              <w:right w:type="dxa" w:w="120"/>
            </w:tcMar>
          </w:tcPr>
          <w:p>
            <w:r>
              <w:rPr>
                <w:rFonts w:ascii="Arial" w:cs="Arial" w:eastAsia="Arial" w:hAnsi="Arial"/>
                <w:sz w:val="20"/>
                <w:szCs w:val="20"/>
              </w:rPr>
              <w:t xml:space="preserve">Overvoltage failure</w:t>
            </w:r>
          </w:p>
        </w:tc>
        <w:tc>
          <w:tcPr>
            <w:tcW w:type="dxa" w:w="3510"/>
            <w:tcBorders>
              <w:top w:val="single" w:color="C0CCDD" w:sz="1"/>
              <w:left w:val="single" w:color="C0CCDD" w:sz="1"/>
              <w:bottom w:val="single" w:color="C0CCDD" w:sz="1"/>
              <w:right w:val="single" w:color="C0CCDD" w:sz="1"/>
            </w:tcBorders>
            <w:shd w:fill="FFFFFF" w:val="clear"/>
            <w:tcMar>
              <w:top w:type="dxa" w:w="60"/>
              <w:left w:type="dxa" w:w="120"/>
              <w:bottom w:type="dxa" w:w="60"/>
              <w:right w:type="dxa" w:w="120"/>
            </w:tcMar>
          </w:tcPr>
          <w:p>
            <w:r>
              <w:rPr>
                <w:rFonts w:ascii="Arial" w:cs="Arial" w:eastAsia="Arial" w:hAnsi="Arial"/>
                <w:color w:val="B00000"/>
                <w:sz w:val="20"/>
                <w:szCs w:val="20"/>
              </w:rPr>
              <w:t xml:space="preserve">Up to 20% — fire risk</w:t>
            </w:r>
          </w:p>
        </w:tc>
      </w:tr>
      <w:tr>
        <w:tc>
          <w:tcPr>
            <w:tcW w:type="dxa" w:w="2340"/>
            <w:tcBorders>
              <w:top w:val="single" w:color="C0CCDD" w:sz="1"/>
              <w:left w:val="single" w:color="C0CCDD" w:sz="1"/>
              <w:bottom w:val="single" w:color="C0CCDD" w:sz="1"/>
              <w:right w:val="single" w:color="C0CCDD" w:sz="1"/>
            </w:tcBorders>
            <w:shd w:fill="F2F5FA" w:val="clear"/>
            <w:tcMar>
              <w:top w:type="dxa" w:w="60"/>
              <w:left w:type="dxa" w:w="120"/>
              <w:bottom w:type="dxa" w:w="60"/>
              <w:right w:type="dxa" w:w="120"/>
            </w:tcMar>
          </w:tcPr>
          <w:p>
            <w:r>
              <w:rPr>
                <w:rFonts w:ascii="Arial" w:cs="Arial" w:eastAsia="Arial" w:hAnsi="Arial"/>
                <w:b/>
                <w:bCs/>
                <w:color w:val="1B3A6B"/>
                <w:sz w:val="20"/>
                <w:szCs w:val="20"/>
              </w:rPr>
              <w:t xml:space="preserve">🧊 Delamination</w:t>
            </w:r>
          </w:p>
        </w:tc>
        <w:tc>
          <w:tcPr>
            <w:tcW w:type="dxa" w:w="3510"/>
            <w:tcBorders>
              <w:top w:val="single" w:color="C0CCDD" w:sz="1"/>
              <w:left w:val="single" w:color="C0CCDD" w:sz="1"/>
              <w:bottom w:val="single" w:color="C0CCDD" w:sz="1"/>
              <w:right w:val="single" w:color="C0CCDD" w:sz="1"/>
            </w:tcBorders>
            <w:shd w:fill="F2F5FA" w:val="clear"/>
            <w:tcMar>
              <w:top w:type="dxa" w:w="60"/>
              <w:left w:type="dxa" w:w="120"/>
              <w:bottom w:type="dxa" w:w="60"/>
              <w:right w:type="dxa" w:w="120"/>
            </w:tcMar>
          </w:tcPr>
          <w:p>
            <w:r>
              <w:rPr>
                <w:rFonts w:ascii="Arial" w:cs="Arial" w:eastAsia="Arial" w:hAnsi="Arial"/>
                <w:sz w:val="20"/>
                <w:szCs w:val="20"/>
              </w:rPr>
              <w:t xml:space="preserve">UV / moisture degradation</w:t>
            </w:r>
          </w:p>
        </w:tc>
        <w:tc>
          <w:tcPr>
            <w:tcW w:type="dxa" w:w="3510"/>
            <w:tcBorders>
              <w:top w:val="single" w:color="C0CCDD" w:sz="1"/>
              <w:left w:val="single" w:color="C0CCDD" w:sz="1"/>
              <w:bottom w:val="single" w:color="C0CCDD" w:sz="1"/>
              <w:right w:val="single" w:color="C0CCDD" w:sz="1"/>
            </w:tcBorders>
            <w:shd w:fill="F2F5FA" w:val="clear"/>
            <w:tcMar>
              <w:top w:type="dxa" w:w="60"/>
              <w:left w:type="dxa" w:w="120"/>
              <w:bottom w:type="dxa" w:w="60"/>
              <w:right w:type="dxa" w:w="120"/>
            </w:tcMar>
          </w:tcPr>
          <w:p>
            <w:r>
              <w:rPr>
                <w:rFonts w:ascii="Arial" w:cs="Arial" w:eastAsia="Arial" w:hAnsi="Arial"/>
                <w:color w:val="B00000"/>
                <w:sz w:val="20"/>
                <w:szCs w:val="20"/>
              </w:rPr>
              <w:t xml:space="preserve">7% per affected area</w:t>
            </w:r>
          </w:p>
        </w:tc>
      </w:tr>
      <w:tr>
        <w:tc>
          <w:tcPr>
            <w:tcW w:type="dxa" w:w="2340"/>
            <w:tcBorders>
              <w:top w:val="single" w:color="C0CCDD" w:sz="1"/>
              <w:left w:val="single" w:color="C0CCDD" w:sz="1"/>
              <w:bottom w:val="single" w:color="C0CCDD" w:sz="1"/>
              <w:right w:val="single" w:color="C0CCDD"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 Discoloration</w:t>
            </w:r>
          </w:p>
        </w:tc>
        <w:tc>
          <w:tcPr>
            <w:tcW w:type="dxa" w:w="3510"/>
            <w:tcBorders>
              <w:top w:val="single" w:color="C0CCDD" w:sz="1"/>
              <w:left w:val="single" w:color="C0CCDD" w:sz="1"/>
              <w:bottom w:val="single" w:color="C0CCDD" w:sz="1"/>
              <w:right w:val="single" w:color="C0CCDD" w:sz="1"/>
            </w:tcBorders>
            <w:shd w:fill="FFFFFF" w:val="clear"/>
            <w:tcMar>
              <w:top w:type="dxa" w:w="60"/>
              <w:left w:type="dxa" w:w="120"/>
              <w:bottom w:type="dxa" w:w="60"/>
              <w:right w:type="dxa" w:w="120"/>
            </w:tcMar>
          </w:tcPr>
          <w:p>
            <w:r>
              <w:rPr>
                <w:rFonts w:ascii="Arial" w:cs="Arial" w:eastAsia="Arial" w:hAnsi="Arial"/>
                <w:sz w:val="20"/>
                <w:szCs w:val="20"/>
              </w:rPr>
              <w:t xml:space="preserve">EVA yellowing</w:t>
            </w:r>
          </w:p>
        </w:tc>
        <w:tc>
          <w:tcPr>
            <w:tcW w:type="dxa" w:w="3510"/>
            <w:tcBorders>
              <w:top w:val="single" w:color="C0CCDD" w:sz="1"/>
              <w:left w:val="single" w:color="C0CCDD" w:sz="1"/>
              <w:bottom w:val="single" w:color="C0CCDD" w:sz="1"/>
              <w:right w:val="single" w:color="C0CCDD" w:sz="1"/>
            </w:tcBorders>
            <w:shd w:fill="FFFFFF" w:val="clear"/>
            <w:tcMar>
              <w:top w:type="dxa" w:w="60"/>
              <w:left w:type="dxa" w:w="120"/>
              <w:bottom w:type="dxa" w:w="60"/>
              <w:right w:type="dxa" w:w="120"/>
            </w:tcMar>
          </w:tcPr>
          <w:p>
            <w:r>
              <w:rPr>
                <w:rFonts w:ascii="Arial" w:cs="Arial" w:eastAsia="Arial" w:hAnsi="Arial"/>
                <w:color w:val="B00000"/>
                <w:sz w:val="20"/>
                <w:szCs w:val="20"/>
              </w:rPr>
              <w:t xml:space="preserve">4–15% light transmission loss</w:t>
            </w:r>
          </w:p>
        </w:tc>
      </w:tr>
      <w:tr>
        <w:tc>
          <w:tcPr>
            <w:tcW w:type="dxa" w:w="2340"/>
            <w:tcBorders>
              <w:top w:val="single" w:color="C0CCDD" w:sz="1"/>
              <w:left w:val="single" w:color="C0CCDD" w:sz="1"/>
              <w:bottom w:val="single" w:color="C0CCDD" w:sz="1"/>
              <w:right w:val="single" w:color="C0CCDD" w:sz="1"/>
            </w:tcBorders>
            <w:shd w:fill="F2F5FA" w:val="clear"/>
            <w:tcMar>
              <w:top w:type="dxa" w:w="60"/>
              <w:left w:type="dxa" w:w="120"/>
              <w:bottom w:type="dxa" w:w="60"/>
              <w:right w:type="dxa" w:w="120"/>
            </w:tcMar>
          </w:tcPr>
          <w:p>
            <w:r>
              <w:rPr>
                <w:rFonts w:ascii="Arial" w:cs="Arial" w:eastAsia="Arial" w:hAnsi="Arial"/>
                <w:b/>
                <w:bCs/>
                <w:color w:val="1B3A6B"/>
                <w:sz w:val="20"/>
                <w:szCs w:val="20"/>
              </w:rPr>
              <w:t xml:space="preserve">🐌 Snail Trail</w:t>
            </w:r>
          </w:p>
        </w:tc>
        <w:tc>
          <w:tcPr>
            <w:tcW w:type="dxa" w:w="3510"/>
            <w:tcBorders>
              <w:top w:val="single" w:color="C0CCDD" w:sz="1"/>
              <w:left w:val="single" w:color="C0CCDD" w:sz="1"/>
              <w:bottom w:val="single" w:color="C0CCDD" w:sz="1"/>
              <w:right w:val="single" w:color="C0CCDD" w:sz="1"/>
            </w:tcBorders>
            <w:shd w:fill="F2F5FA" w:val="clear"/>
            <w:tcMar>
              <w:top w:type="dxa" w:w="60"/>
              <w:left w:type="dxa" w:w="120"/>
              <w:bottom w:type="dxa" w:w="60"/>
              <w:right w:type="dxa" w:w="120"/>
            </w:tcMar>
          </w:tcPr>
          <w:p>
            <w:r>
              <w:rPr>
                <w:rFonts w:ascii="Arial" w:cs="Arial" w:eastAsia="Arial" w:hAnsi="Arial"/>
                <w:sz w:val="20"/>
                <w:szCs w:val="20"/>
              </w:rPr>
              <w:t xml:space="preserve">Silver paste oxidation</w:t>
            </w:r>
          </w:p>
        </w:tc>
        <w:tc>
          <w:tcPr>
            <w:tcW w:type="dxa" w:w="3510"/>
            <w:tcBorders>
              <w:top w:val="single" w:color="C0CCDD" w:sz="1"/>
              <w:left w:val="single" w:color="C0CCDD" w:sz="1"/>
              <w:bottom w:val="single" w:color="C0CCDD" w:sz="1"/>
              <w:right w:val="single" w:color="C0CCDD" w:sz="1"/>
            </w:tcBorders>
            <w:shd w:fill="F2F5FA" w:val="clear"/>
            <w:tcMar>
              <w:top w:type="dxa" w:w="60"/>
              <w:left w:type="dxa" w:w="120"/>
              <w:bottom w:type="dxa" w:w="60"/>
              <w:right w:type="dxa" w:w="120"/>
            </w:tcMar>
          </w:tcPr>
          <w:p>
            <w:r>
              <w:rPr>
                <w:rFonts w:ascii="Arial" w:cs="Arial" w:eastAsia="Arial" w:hAnsi="Arial"/>
                <w:color w:val="B00000"/>
                <w:sz w:val="20"/>
                <w:szCs w:val="20"/>
              </w:rPr>
              <w:t xml:space="preserve">2% — indicates micro-crack</w:t>
            </w:r>
          </w:p>
        </w:tc>
      </w:tr>
      <w:tr>
        <w:tc>
          <w:tcPr>
            <w:tcW w:type="dxa" w:w="2340"/>
            <w:tcBorders>
              <w:top w:val="single" w:color="C0CCDD" w:sz="1"/>
              <w:left w:val="single" w:color="C0CCDD" w:sz="1"/>
              <w:bottom w:val="single" w:color="C0CCDD" w:sz="1"/>
              <w:right w:val="single" w:color="C0CCDD"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 PID Degradation</w:t>
            </w:r>
          </w:p>
        </w:tc>
        <w:tc>
          <w:tcPr>
            <w:tcW w:type="dxa" w:w="3510"/>
            <w:tcBorders>
              <w:top w:val="single" w:color="C0CCDD" w:sz="1"/>
              <w:left w:val="single" w:color="C0CCDD" w:sz="1"/>
              <w:bottom w:val="single" w:color="C0CCDD" w:sz="1"/>
              <w:right w:val="single" w:color="C0CCDD" w:sz="1"/>
            </w:tcBorders>
            <w:shd w:fill="FFFFFF" w:val="clear"/>
            <w:tcMar>
              <w:top w:type="dxa" w:w="60"/>
              <w:left w:type="dxa" w:w="120"/>
              <w:bottom w:type="dxa" w:w="60"/>
              <w:right w:type="dxa" w:w="120"/>
            </w:tcMar>
          </w:tcPr>
          <w:p>
            <w:r>
              <w:rPr>
                <w:rFonts w:ascii="Arial" w:cs="Arial" w:eastAsia="Arial" w:hAnsi="Arial"/>
                <w:sz w:val="20"/>
                <w:szCs w:val="20"/>
              </w:rPr>
              <w:t xml:space="preserve">Voltage leakage to ground</w:t>
            </w:r>
          </w:p>
        </w:tc>
        <w:tc>
          <w:tcPr>
            <w:tcW w:type="dxa" w:w="3510"/>
            <w:tcBorders>
              <w:top w:val="single" w:color="C0CCDD" w:sz="1"/>
              <w:left w:val="single" w:color="C0CCDD" w:sz="1"/>
              <w:bottom w:val="single" w:color="C0CCDD" w:sz="1"/>
              <w:right w:val="single" w:color="C0CCDD" w:sz="1"/>
            </w:tcBorders>
            <w:shd w:fill="FFFFFF" w:val="clear"/>
            <w:tcMar>
              <w:top w:type="dxa" w:w="60"/>
              <w:left w:type="dxa" w:w="120"/>
              <w:bottom w:type="dxa" w:w="60"/>
              <w:right w:type="dxa" w:w="120"/>
            </w:tcMar>
          </w:tcPr>
          <w:p>
            <w:r>
              <w:rPr>
                <w:rFonts w:ascii="Arial" w:cs="Arial" w:eastAsia="Arial" w:hAnsi="Arial"/>
                <w:color w:val="B00000"/>
                <w:sz w:val="20"/>
                <w:szCs w:val="20"/>
              </w:rPr>
              <w:t xml:space="preserve">Up to 30% power loss</w:t>
            </w:r>
          </w:p>
        </w:tc>
      </w:tr>
    </w:tbl>
    <w:p>
      <w:pPr>
        <w:spacing w:after="0" w:before="200"/>
      </w:pPr>
      <w:r>
        <w:t xml:space="preserve"/>
      </w:r>
    </w:p>
    <w:p>
      <w:r>
        <w:br w:type="page"/>
      </w:r>
    </w:p>
    <w:p>
      <w:pPr>
        <w:pStyle w:val="Heading1"/>
        <w:pBdr>
          <w:bottom w:val="single" w:color="1B3A6B" w:sz="8" w:space="6"/>
        </w:pBdr>
        <w:spacing w:after="160" w:before="360"/>
      </w:pPr>
      <w:r>
        <w:rPr>
          <w:rFonts w:ascii="Arial" w:cs="Arial" w:eastAsia="Arial" w:hAnsi="Arial"/>
          <w:b/>
          <w:bCs/>
          <w:color w:val="1B3A6B"/>
          <w:sz w:val="32"/>
          <w:szCs w:val="32"/>
        </w:rPr>
        <w:t xml:space="preserve">4. Methodology</w:t>
      </w:r>
    </w:p>
    <w:p>
      <w:pPr>
        <w:spacing w:after="80" w:before="80" w:line="360"/>
        <w:jc w:val="both"/>
      </w:pPr>
      <w:r>
        <w:rPr>
          <w:rFonts w:ascii="Arial" w:cs="Arial" w:eastAsia="Arial" w:hAnsi="Arial"/>
          <w:color w:val="1A1A1A"/>
          <w:sz w:val="22"/>
          <w:szCs w:val="22"/>
        </w:rPr>
        <w:t xml:space="preserve">Our methodology follows the Double Diamond design process (Discover → Define → Develop → Deliver) combined with a standard AI/ML development pipeline. This ensures both technical rigour and user-centred design.</w:t>
      </w:r>
    </w:p>
    <w:p>
      <w:pPr>
        <w:spacing w:after="0" w:before="120"/>
      </w:pPr>
      <w:r>
        <w:t xml:space="preserve"/>
      </w:r>
    </w:p>
    <w:p>
      <w:pPr>
        <w:pStyle w:val="Heading2"/>
        <w:spacing w:after="100" w:before="260"/>
      </w:pPr>
      <w:r>
        <w:rPr>
          <w:rFonts w:ascii="Arial" w:cs="Arial" w:eastAsia="Arial" w:hAnsi="Arial"/>
          <w:b/>
          <w:bCs/>
          <w:color w:val="1B3A6B"/>
          <w:sz w:val="26"/>
          <w:szCs w:val="26"/>
        </w:rPr>
        <w:t xml:space="preserve">Phase 1 — Discover &amp; Define</w:t>
      </w:r>
    </w:p>
    <w:p>
      <w:pPr>
        <w:pStyle w:val="ListParagraph"/>
        <w:numPr>
          <w:ilvl w:val="0"/>
          <w:numId w:val="2"/>
        </w:numPr>
        <w:spacing w:after="60" w:before="60" w:line="320"/>
      </w:pPr>
      <w:r>
        <w:rPr>
          <w:rFonts w:ascii="Arial" w:cs="Arial" w:eastAsia="Arial" w:hAnsi="Arial"/>
          <w:color w:val="1A1A1A"/>
          <w:sz w:val="22"/>
          <w:szCs w:val="22"/>
        </w:rPr>
        <w:t xml:space="preserve">Conducted literature review of 12+ peer-reviewed papers on PV defect detection (2023–2025)</w:t>
      </w:r>
    </w:p>
    <w:p>
      <w:pPr>
        <w:pStyle w:val="ListParagraph"/>
        <w:numPr>
          <w:ilvl w:val="0"/>
          <w:numId w:val="2"/>
        </w:numPr>
        <w:spacing w:after="60" w:before="60" w:line="320"/>
      </w:pPr>
      <w:r>
        <w:rPr>
          <w:rFonts w:ascii="Arial" w:cs="Arial" w:eastAsia="Arial" w:hAnsi="Arial"/>
          <w:color w:val="1A1A1A"/>
          <w:sz w:val="22"/>
          <w:szCs w:val="22"/>
        </w:rPr>
        <w:t xml:space="preserve">Identified key real-world challenges: scale, cost, connectivity, and technician distrust of AI</w:t>
      </w:r>
    </w:p>
    <w:p>
      <w:pPr>
        <w:pStyle w:val="ListParagraph"/>
        <w:numPr>
          <w:ilvl w:val="0"/>
          <w:numId w:val="2"/>
        </w:numPr>
        <w:spacing w:after="60" w:before="60" w:line="320"/>
      </w:pPr>
      <w:r>
        <w:rPr>
          <w:rFonts w:ascii="Arial" w:cs="Arial" w:eastAsia="Arial" w:hAnsi="Arial"/>
          <w:color w:val="1A1A1A"/>
          <w:sz w:val="22"/>
          <w:szCs w:val="22"/>
        </w:rPr>
        <w:t xml:space="preserve">Defined 8 target defect classes based on most economically impactful defect types in tropical climates</w:t>
      </w:r>
    </w:p>
    <w:p>
      <w:pPr>
        <w:pStyle w:val="ListParagraph"/>
        <w:numPr>
          <w:ilvl w:val="0"/>
          <w:numId w:val="2"/>
        </w:numPr>
        <w:spacing w:after="60" w:before="60" w:line="320"/>
      </w:pPr>
      <w:r>
        <w:rPr>
          <w:rFonts w:ascii="Arial" w:cs="Arial" w:eastAsia="Arial" w:hAnsi="Arial"/>
          <w:color w:val="1A1A1A"/>
          <w:sz w:val="22"/>
          <w:szCs w:val="22"/>
        </w:rPr>
        <w:t xml:space="preserve">Created 3 user personas: Field Technician, Plant Manager, and Energy Consultant</w:t>
      </w:r>
    </w:p>
    <w:p>
      <w:pPr>
        <w:spacing w:after="0" w:before="100"/>
      </w:pPr>
      <w:r>
        <w:t xml:space="preserve"/>
      </w:r>
    </w:p>
    <w:p>
      <w:pPr>
        <w:pStyle w:val="Heading2"/>
        <w:spacing w:after="100" w:before="260"/>
      </w:pPr>
      <w:r>
        <w:rPr>
          <w:rFonts w:ascii="Arial" w:cs="Arial" w:eastAsia="Arial" w:hAnsi="Arial"/>
          <w:b/>
          <w:bCs/>
          <w:color w:val="1B3A6B"/>
          <w:sz w:val="26"/>
          <w:szCs w:val="26"/>
        </w:rPr>
        <w:t xml:space="preserve">Phase 2 — Dataset Preparation</w:t>
      </w:r>
    </w:p>
    <w:p>
      <w:pPr>
        <w:pStyle w:val="ListParagraph"/>
        <w:numPr>
          <w:ilvl w:val="0"/>
          <w:numId w:val="2"/>
        </w:numPr>
        <w:spacing w:after="60" w:before="60" w:line="320"/>
      </w:pPr>
      <w:r>
        <w:rPr>
          <w:rFonts w:ascii="Arial" w:cs="Arial" w:eastAsia="Arial" w:hAnsi="Arial"/>
          <w:color w:val="1A1A1A"/>
          <w:sz w:val="22"/>
          <w:szCs w:val="22"/>
        </w:rPr>
        <w:t xml:space="preserve">Aggregated 4,312 images from 4 sources: Roboflow Solar Panels Universe (1,820), Kaggle SPCI Dataset (1,340), PVEL-AD (742), and custom field-captured thermal images (410)</w:t>
      </w:r>
    </w:p>
    <w:p>
      <w:pPr>
        <w:pStyle w:val="ListParagraph"/>
        <w:numPr>
          <w:ilvl w:val="0"/>
          <w:numId w:val="2"/>
        </w:numPr>
        <w:spacing w:after="60" w:before="60" w:line="320"/>
      </w:pPr>
      <w:r>
        <w:rPr>
          <w:rFonts w:ascii="Arial" w:cs="Arial" w:eastAsia="Arial" w:hAnsi="Arial"/>
          <w:color w:val="1A1A1A"/>
          <w:sz w:val="22"/>
          <w:szCs w:val="22"/>
        </w:rPr>
        <w:t xml:space="preserve">Split dataset: 72% training (3,110) / 15% validation (648) / 13% test (554)</w:t>
      </w:r>
    </w:p>
    <w:p>
      <w:pPr>
        <w:pStyle w:val="ListParagraph"/>
        <w:numPr>
          <w:ilvl w:val="0"/>
          <w:numId w:val="2"/>
        </w:numPr>
        <w:spacing w:after="60" w:before="60" w:line="320"/>
      </w:pPr>
      <w:r>
        <w:rPr>
          <w:rFonts w:ascii="Arial" w:cs="Arial" w:eastAsia="Arial" w:hAnsi="Arial"/>
          <w:color w:val="1A1A1A"/>
          <w:sz w:val="22"/>
          <w:szCs w:val="22"/>
        </w:rPr>
        <w:t xml:space="preserve">Applied 7 augmentation techniques: Mosaic 4-image, HSV jitter ±5%, horizontal/vertical flip, rotation ±15°, scale jitter 0.5–1.5×, Cutout patching, and Copy-paste</w:t>
      </w:r>
    </w:p>
    <w:p>
      <w:pPr>
        <w:spacing w:after="0" w:before="100"/>
      </w:pPr>
      <w:r>
        <w:t xml:space="preserve"/>
      </w:r>
    </w:p>
    <w:p>
      <w:pPr>
        <w:pStyle w:val="Heading2"/>
        <w:spacing w:after="100" w:before="260"/>
      </w:pPr>
      <w:r>
        <w:rPr>
          <w:rFonts w:ascii="Arial" w:cs="Arial" w:eastAsia="Arial" w:hAnsi="Arial"/>
          <w:b/>
          <w:bCs/>
          <w:color w:val="1B3A6B"/>
          <w:sz w:val="26"/>
          <w:szCs w:val="26"/>
        </w:rPr>
        <w:t xml:space="preserve">Phase 3 — Model Training</w:t>
      </w:r>
    </w:p>
    <w:p>
      <w:pPr>
        <w:pStyle w:val="ListParagraph"/>
        <w:numPr>
          <w:ilvl w:val="0"/>
          <w:numId w:val="2"/>
        </w:numPr>
        <w:spacing w:after="60" w:before="60" w:line="320"/>
      </w:pPr>
      <w:r>
        <w:rPr>
          <w:rFonts w:ascii="Arial" w:cs="Arial" w:eastAsia="Arial" w:hAnsi="Arial"/>
          <w:color w:val="1A1A1A"/>
          <w:sz w:val="22"/>
          <w:szCs w:val="22"/>
        </w:rPr>
        <w:t xml:space="preserve">Base model: YOLOv8n (nano) — 3.01M parameters, 8.1 GFLOPs, pretrained on COCO</w:t>
      </w:r>
    </w:p>
    <w:p>
      <w:pPr>
        <w:pStyle w:val="ListParagraph"/>
        <w:numPr>
          <w:ilvl w:val="0"/>
          <w:numId w:val="2"/>
        </w:numPr>
        <w:spacing w:after="60" w:before="60" w:line="320"/>
      </w:pPr>
      <w:r>
        <w:rPr>
          <w:rFonts w:ascii="Arial" w:cs="Arial" w:eastAsia="Arial" w:hAnsi="Arial"/>
          <w:color w:val="1A1A1A"/>
          <w:sz w:val="22"/>
          <w:szCs w:val="22"/>
        </w:rPr>
        <w:t xml:space="preserve">Training: 120 epochs, batch size 16, image size 640×640, AdamW optimizer, lr=0.001</w:t>
      </w:r>
    </w:p>
    <w:p>
      <w:pPr>
        <w:pStyle w:val="ListParagraph"/>
        <w:numPr>
          <w:ilvl w:val="0"/>
          <w:numId w:val="2"/>
        </w:numPr>
        <w:spacing w:after="60" w:before="60" w:line="320"/>
      </w:pPr>
      <w:r>
        <w:rPr>
          <w:rFonts w:ascii="Arial" w:cs="Arial" w:eastAsia="Arial" w:hAnsi="Arial"/>
          <w:color w:val="1A1A1A"/>
          <w:sz w:val="22"/>
          <w:szCs w:val="22"/>
        </w:rPr>
        <w:t xml:space="preserve">Early stopping patience = 20 epochs — no overfitting detected (val_loss tracks train_loss within ±0.04)</w:t>
      </w:r>
    </w:p>
    <w:p>
      <w:pPr>
        <w:pStyle w:val="ListParagraph"/>
        <w:numPr>
          <w:ilvl w:val="0"/>
          <w:numId w:val="2"/>
        </w:numPr>
        <w:spacing w:after="60" w:before="60" w:line="320"/>
      </w:pPr>
      <w:r>
        <w:rPr>
          <w:rFonts w:ascii="Arial" w:cs="Arial" w:eastAsia="Arial" w:hAnsi="Arial"/>
          <w:color w:val="1A1A1A"/>
          <w:sz w:val="22"/>
          <w:szCs w:val="22"/>
        </w:rPr>
        <w:t xml:space="preserve">Best weights saved at epoch 118 based on validation mAP@50</w:t>
      </w:r>
    </w:p>
    <w:p>
      <w:pPr>
        <w:spacing w:after="0" w:before="100"/>
      </w:pPr>
      <w:r>
        <w:t xml:space="preserve"/>
      </w:r>
    </w:p>
    <w:p>
      <w:pPr>
        <w:pStyle w:val="Heading2"/>
        <w:spacing w:after="100" w:before="260"/>
      </w:pPr>
      <w:r>
        <w:rPr>
          <w:rFonts w:ascii="Arial" w:cs="Arial" w:eastAsia="Arial" w:hAnsi="Arial"/>
          <w:b/>
          <w:bCs/>
          <w:color w:val="1B3A6B"/>
          <w:sz w:val="26"/>
          <w:szCs w:val="26"/>
        </w:rPr>
        <w:t xml:space="preserve">Phase 4 — Model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CCDD" w:sz="1"/>
              <w:left w:val="single" w:color="C0CCDD" w:sz="1"/>
              <w:bottom w:val="single" w:color="C0CCDD" w:sz="1"/>
              <w:right w:val="single" w:color="C0CCDD" w:sz="1"/>
            </w:tcBorders>
            <w:shd w:fill="D6E4F7" w:val="clear"/>
            <w:tcMar>
              <w:top w:type="dxa" w:w="120"/>
              <w:left w:type="dxa" w:w="160"/>
              <w:bottom w:type="dxa" w:w="120"/>
              <w:right w:type="dxa" w:w="160"/>
            </w:tcMar>
          </w:tcPr>
          <w:p>
            <w:pPr>
              <w:jc w:val="center"/>
            </w:pPr>
            <w:r>
              <w:rPr>
                <w:rFonts w:ascii="Arial" w:cs="Arial" w:eastAsia="Arial" w:hAnsi="Arial"/>
                <w:b/>
                <w:bCs/>
                <w:color w:val="1B3A6B"/>
                <w:sz w:val="18"/>
                <w:szCs w:val="18"/>
              </w:rPr>
              <w:t xml:space="preserve">mAP@50</w:t>
            </w:r>
          </w:p>
          <w:p>
            <w:pPr>
              <w:jc w:val="center"/>
            </w:pPr>
            <w:r>
              <w:rPr>
                <w:rFonts w:ascii="Arial" w:cs="Arial" w:eastAsia="Arial" w:hAnsi="Arial"/>
                <w:b/>
                <w:bCs/>
                <w:color w:val="C8860A"/>
                <w:sz w:val="28"/>
                <w:szCs w:val="28"/>
              </w:rPr>
              <w:t xml:space="preserve">92.7%</w:t>
            </w:r>
          </w:p>
        </w:tc>
        <w:tc>
          <w:tcPr>
            <w:tcW w:type="dxa" w:w="2340"/>
            <w:tcBorders>
              <w:top w:val="single" w:color="C0CCDD" w:sz="1"/>
              <w:left w:val="single" w:color="C0CCDD" w:sz="1"/>
              <w:bottom w:val="single" w:color="C0CCDD" w:sz="1"/>
              <w:right w:val="single" w:color="C0CCDD" w:sz="1"/>
            </w:tcBorders>
            <w:shd w:fill="D6E4F7" w:val="clear"/>
            <w:tcMar>
              <w:top w:type="dxa" w:w="120"/>
              <w:left w:type="dxa" w:w="160"/>
              <w:bottom w:type="dxa" w:w="120"/>
              <w:right w:type="dxa" w:w="160"/>
            </w:tcMar>
          </w:tcPr>
          <w:p>
            <w:pPr>
              <w:jc w:val="center"/>
            </w:pPr>
            <w:r>
              <w:rPr>
                <w:rFonts w:ascii="Arial" w:cs="Arial" w:eastAsia="Arial" w:hAnsi="Arial"/>
                <w:b/>
                <w:bCs/>
                <w:color w:val="1B3A6B"/>
                <w:sz w:val="18"/>
                <w:szCs w:val="18"/>
              </w:rPr>
              <w:t xml:space="preserve">Precision</w:t>
            </w:r>
          </w:p>
          <w:p>
            <w:pPr>
              <w:jc w:val="center"/>
            </w:pPr>
            <w:r>
              <w:rPr>
                <w:rFonts w:ascii="Arial" w:cs="Arial" w:eastAsia="Arial" w:hAnsi="Arial"/>
                <w:b/>
                <w:bCs/>
                <w:color w:val="C8860A"/>
                <w:sz w:val="28"/>
                <w:szCs w:val="28"/>
              </w:rPr>
              <w:t xml:space="preserve">91.8%</w:t>
            </w:r>
          </w:p>
        </w:tc>
        <w:tc>
          <w:tcPr>
            <w:tcW w:type="dxa" w:w="2340"/>
            <w:tcBorders>
              <w:top w:val="single" w:color="C0CCDD" w:sz="1"/>
              <w:left w:val="single" w:color="C0CCDD" w:sz="1"/>
              <w:bottom w:val="single" w:color="C0CCDD" w:sz="1"/>
              <w:right w:val="single" w:color="C0CCDD" w:sz="1"/>
            </w:tcBorders>
            <w:shd w:fill="D6E4F7" w:val="clear"/>
            <w:tcMar>
              <w:top w:type="dxa" w:w="120"/>
              <w:left w:type="dxa" w:w="160"/>
              <w:bottom w:type="dxa" w:w="120"/>
              <w:right w:type="dxa" w:w="160"/>
            </w:tcMar>
          </w:tcPr>
          <w:p>
            <w:pPr>
              <w:jc w:val="center"/>
            </w:pPr>
            <w:r>
              <w:rPr>
                <w:rFonts w:ascii="Arial" w:cs="Arial" w:eastAsia="Arial" w:hAnsi="Arial"/>
                <w:b/>
                <w:bCs/>
                <w:color w:val="1B3A6B"/>
                <w:sz w:val="18"/>
                <w:szCs w:val="18"/>
              </w:rPr>
              <w:t xml:space="preserve">Recall</w:t>
            </w:r>
          </w:p>
          <w:p>
            <w:pPr>
              <w:jc w:val="center"/>
            </w:pPr>
            <w:r>
              <w:rPr>
                <w:rFonts w:ascii="Arial" w:cs="Arial" w:eastAsia="Arial" w:hAnsi="Arial"/>
                <w:b/>
                <w:bCs/>
                <w:color w:val="C8860A"/>
                <w:sz w:val="28"/>
                <w:szCs w:val="28"/>
              </w:rPr>
              <w:t xml:space="preserve">89.4%</w:t>
            </w:r>
          </w:p>
        </w:tc>
        <w:tc>
          <w:tcPr>
            <w:tcW w:type="dxa" w:w="2340"/>
            <w:tcBorders>
              <w:top w:val="single" w:color="C0CCDD" w:sz="1"/>
              <w:left w:val="single" w:color="C0CCDD" w:sz="1"/>
              <w:bottom w:val="single" w:color="C0CCDD" w:sz="1"/>
              <w:right w:val="single" w:color="C0CCDD" w:sz="1"/>
            </w:tcBorders>
            <w:shd w:fill="D6E4F7" w:val="clear"/>
            <w:tcMar>
              <w:top w:type="dxa" w:w="120"/>
              <w:left w:type="dxa" w:w="160"/>
              <w:bottom w:type="dxa" w:w="120"/>
              <w:right w:type="dxa" w:w="160"/>
            </w:tcMar>
          </w:tcPr>
          <w:p>
            <w:pPr>
              <w:jc w:val="center"/>
            </w:pPr>
            <w:r>
              <w:rPr>
                <w:rFonts w:ascii="Arial" w:cs="Arial" w:eastAsia="Arial" w:hAnsi="Arial"/>
                <w:b/>
                <w:bCs/>
                <w:color w:val="1B3A6B"/>
                <w:sz w:val="18"/>
                <w:szCs w:val="18"/>
              </w:rPr>
              <w:t xml:space="preserve">F1-Score</w:t>
            </w:r>
          </w:p>
          <w:p>
            <w:pPr>
              <w:jc w:val="center"/>
            </w:pPr>
            <w:r>
              <w:rPr>
                <w:rFonts w:ascii="Arial" w:cs="Arial" w:eastAsia="Arial" w:hAnsi="Arial"/>
                <w:b/>
                <w:bCs/>
                <w:color w:val="C8860A"/>
                <w:sz w:val="28"/>
                <w:szCs w:val="28"/>
              </w:rPr>
              <w:t xml:space="preserve">90.6%</w:t>
            </w:r>
          </w:p>
        </w:tc>
      </w:tr>
    </w:tbl>
    <w:p>
      <w:pPr>
        <w:spacing w:after="0" w:before="100"/>
      </w:pPr>
      <w:r>
        <w:t xml:space="preserve"/>
      </w:r>
    </w:p>
    <w:p>
      <w:pPr>
        <w:pStyle w:val="ListParagraph"/>
        <w:numPr>
          <w:ilvl w:val="0"/>
          <w:numId w:val="2"/>
        </w:numPr>
        <w:spacing w:after="60" w:before="60" w:line="320"/>
      </w:pPr>
      <w:r>
        <w:rPr>
          <w:rFonts w:ascii="Arial" w:cs="Arial" w:eastAsia="Arial" w:hAnsi="Arial"/>
          <w:color w:val="1A1A1A"/>
          <w:sz w:val="22"/>
          <w:szCs w:val="22"/>
        </w:rPr>
        <w:t xml:space="preserve">Confusion matrix analysis: Soiling (96.3%) and Hotspot (93.1%) achieved highest recall</w:t>
      </w:r>
    </w:p>
    <w:p>
      <w:pPr>
        <w:pStyle w:val="ListParagraph"/>
        <w:numPr>
          <w:ilvl w:val="0"/>
          <w:numId w:val="2"/>
        </w:numPr>
        <w:spacing w:after="60" w:before="60" w:line="320"/>
      </w:pPr>
      <w:r>
        <w:rPr>
          <w:rFonts w:ascii="Arial" w:cs="Arial" w:eastAsia="Arial" w:hAnsi="Arial"/>
          <w:color w:val="1A1A1A"/>
          <w:sz w:val="22"/>
          <w:szCs w:val="22"/>
        </w:rPr>
        <w:t xml:space="preserve">Snail Trail (83.1%) most commonly confused with Delamination — expected given morphological similarity</w:t>
      </w:r>
    </w:p>
    <w:p>
      <w:pPr>
        <w:pStyle w:val="ListParagraph"/>
        <w:numPr>
          <w:ilvl w:val="0"/>
          <w:numId w:val="2"/>
        </w:numPr>
        <w:spacing w:after="60" w:before="60" w:line="320"/>
      </w:pPr>
      <w:r>
        <w:rPr>
          <w:rFonts w:ascii="Arial" w:cs="Arial" w:eastAsia="Arial" w:hAnsi="Arial"/>
          <w:color w:val="1A1A1A"/>
          <w:sz w:val="22"/>
          <w:szCs w:val="22"/>
        </w:rPr>
        <w:t xml:space="preserve">Model benchmarked against YOLOv5s, YOLOv8n baseline, YOLOv11, and PV-YOLOv12n from 2025 literature</w:t>
      </w:r>
    </w:p>
    <w:p>
      <w:pPr>
        <w:spacing w:after="0" w:before="100"/>
      </w:pPr>
      <w:r>
        <w:t xml:space="preserve"/>
      </w:r>
    </w:p>
    <w:p>
      <w:pPr>
        <w:pStyle w:val="Heading2"/>
        <w:spacing w:after="100" w:before="260"/>
      </w:pPr>
      <w:r>
        <w:rPr>
          <w:rFonts w:ascii="Arial" w:cs="Arial" w:eastAsia="Arial" w:hAnsi="Arial"/>
          <w:b/>
          <w:bCs/>
          <w:color w:val="1B3A6B"/>
          <w:sz w:val="26"/>
          <w:szCs w:val="26"/>
        </w:rPr>
        <w:t xml:space="preserve">Phase 5 — TFLite Export &amp; Mobile Integration</w:t>
      </w:r>
    </w:p>
    <w:p>
      <w:pPr>
        <w:pStyle w:val="ListParagraph"/>
        <w:numPr>
          <w:ilvl w:val="0"/>
          <w:numId w:val="2"/>
        </w:numPr>
        <w:spacing w:after="60" w:before="60" w:line="320"/>
      </w:pPr>
      <w:r>
        <w:rPr>
          <w:rFonts w:ascii="Arial" w:cs="Arial" w:eastAsia="Arial" w:hAnsi="Arial"/>
          <w:color w:val="1A1A1A"/>
          <w:sz w:val="22"/>
          <w:szCs w:val="22"/>
        </w:rPr>
        <w:t xml:space="preserve">Model exported to TFLite INT8 format using post-training quantisation with calibration dataset</w:t>
      </w:r>
    </w:p>
    <w:p>
      <w:pPr>
        <w:pStyle w:val="ListParagraph"/>
        <w:numPr>
          <w:ilvl w:val="0"/>
          <w:numId w:val="2"/>
        </w:numPr>
        <w:spacing w:after="60" w:before="60" w:line="320"/>
      </w:pPr>
      <w:r>
        <w:rPr>
          <w:rFonts w:ascii="Arial" w:cs="Arial" w:eastAsia="Arial" w:hAnsi="Arial"/>
          <w:color w:val="1A1A1A"/>
          <w:sz w:val="22"/>
          <w:szCs w:val="22"/>
        </w:rPr>
        <w:t xml:space="preserve">Model size reduced from 6.3 MB → 3.2 MB (49% reduction); inference latency: 168ms on mobile CPU</w:t>
      </w:r>
    </w:p>
    <w:p>
      <w:pPr>
        <w:pStyle w:val="ListParagraph"/>
        <w:numPr>
          <w:ilvl w:val="0"/>
          <w:numId w:val="2"/>
        </w:numPr>
        <w:spacing w:after="60" w:before="60" w:line="320"/>
      </w:pPr>
      <w:r>
        <w:rPr>
          <w:rFonts w:ascii="Arial" w:cs="Arial" w:eastAsia="Arial" w:hAnsi="Arial"/>
          <w:color w:val="1A1A1A"/>
          <w:sz w:val="22"/>
          <w:szCs w:val="22"/>
        </w:rPr>
        <w:t xml:space="preserve">App functions fully offline — no internet or cloud dependency required</w:t>
      </w:r>
    </w:p>
    <w:p>
      <w:pPr>
        <w:spacing w:after="0" w:before="100"/>
      </w:pPr>
      <w:r>
        <w:t xml:space="preserve"/>
      </w:r>
    </w:p>
    <w:p>
      <w:pPr>
        <w:pStyle w:val="Heading2"/>
        <w:spacing w:after="100" w:before="260"/>
      </w:pPr>
      <w:r>
        <w:rPr>
          <w:rFonts w:ascii="Arial" w:cs="Arial" w:eastAsia="Arial" w:hAnsi="Arial"/>
          <w:b/>
          <w:bCs/>
          <w:color w:val="1B3A6B"/>
          <w:sz w:val="26"/>
          <w:szCs w:val="26"/>
        </w:rPr>
        <w:t xml:space="preserve">Phase 6 — HCI Design &amp; User Testing</w:t>
      </w:r>
    </w:p>
    <w:p>
      <w:pPr>
        <w:pStyle w:val="ListParagraph"/>
        <w:numPr>
          <w:ilvl w:val="0"/>
          <w:numId w:val="2"/>
        </w:numPr>
        <w:spacing w:after="60" w:before="60" w:line="320"/>
      </w:pPr>
      <w:r>
        <w:rPr>
          <w:rFonts w:ascii="Arial" w:cs="Arial" w:eastAsia="Arial" w:hAnsi="Arial"/>
          <w:color w:val="1A1A1A"/>
          <w:sz w:val="22"/>
          <w:szCs w:val="22"/>
        </w:rPr>
        <w:t xml:space="preserve">Applied Norman's 7 Principles, Fitts' Law, Gestalt Proximity, and WCAG 2.2 accessibility guidelines</w:t>
      </w:r>
    </w:p>
    <w:p>
      <w:pPr>
        <w:pStyle w:val="ListParagraph"/>
        <w:numPr>
          <w:ilvl w:val="0"/>
          <w:numId w:val="2"/>
        </w:numPr>
        <w:spacing w:after="60" w:before="60" w:line="320"/>
      </w:pPr>
      <w:r>
        <w:rPr>
          <w:rFonts w:ascii="Arial" w:cs="Arial" w:eastAsia="Arial" w:hAnsi="Arial"/>
          <w:color w:val="1A1A1A"/>
          <w:sz w:val="22"/>
          <w:szCs w:val="22"/>
        </w:rPr>
        <w:t xml:space="preserve">Designed 6-step onboarding flow, Grad-CAM XAI explanations, and Human-in-the-Loop field notes</w:t>
      </w:r>
    </w:p>
    <w:p>
      <w:pPr>
        <w:pStyle w:val="ListParagraph"/>
        <w:numPr>
          <w:ilvl w:val="0"/>
          <w:numId w:val="2"/>
        </w:numPr>
        <w:spacing w:after="60" w:before="60" w:line="320"/>
      </w:pPr>
      <w:r>
        <w:rPr>
          <w:rFonts w:ascii="Arial" w:cs="Arial" w:eastAsia="Arial" w:hAnsi="Arial"/>
          <w:color w:val="1A1A1A"/>
          <w:sz w:val="22"/>
          <w:szCs w:val="22"/>
        </w:rPr>
        <w:t xml:space="preserve">System Usability Scale (SUS) testing conducted with 8 participants across 5 professional roles</w:t>
      </w:r>
    </w:p>
    <w:p>
      <w:pPr>
        <w:pStyle w:val="ListParagraph"/>
        <w:numPr>
          <w:ilvl w:val="0"/>
          <w:numId w:val="2"/>
        </w:numPr>
        <w:spacing w:after="60" w:before="60" w:line="320"/>
      </w:pPr>
      <w:r>
        <w:rPr>
          <w:rFonts w:ascii="Arial" w:cs="Arial" w:eastAsia="Arial" w:hAnsi="Arial"/>
          <w:color w:val="1A1A1A"/>
          <w:sz w:val="22"/>
          <w:szCs w:val="22"/>
        </w:rPr>
        <w:t xml:space="preserve">Average SUS Score: 83.4 / 100 — rated 'Good' (industry average: 68.0)</w:t>
      </w:r>
    </w:p>
    <w:p>
      <w:pPr>
        <w:pStyle w:val="ListParagraph"/>
        <w:numPr>
          <w:ilvl w:val="0"/>
          <w:numId w:val="2"/>
        </w:numPr>
        <w:spacing w:after="60" w:before="60" w:line="320"/>
      </w:pPr>
      <w:r>
        <w:rPr>
          <w:rFonts w:ascii="Arial" w:cs="Arial" w:eastAsia="Arial" w:hAnsi="Arial"/>
          <w:color w:val="1A1A1A"/>
          <w:sz w:val="22"/>
          <w:szCs w:val="22"/>
        </w:rPr>
        <w:t xml:space="preserve">Task completion rate: 100% for core scan and XAI functions; 87.5% for export and batch scan</w:t>
      </w:r>
    </w:p>
    <w:p>
      <w:pPr>
        <w:spacing w:after="0" w:before="200"/>
      </w:pPr>
      <w:r>
        <w:t xml:space="preserve"/>
      </w:r>
    </w:p>
    <w:p>
      <w:r>
        <w:br w:type="page"/>
      </w:r>
    </w:p>
    <w:p>
      <w:pPr>
        <w:pStyle w:val="Heading1"/>
        <w:pBdr>
          <w:bottom w:val="single" w:color="1B3A6B" w:sz="8" w:space="6"/>
        </w:pBdr>
        <w:spacing w:after="160" w:before="360"/>
      </w:pPr>
      <w:r>
        <w:rPr>
          <w:rFonts w:ascii="Arial" w:cs="Arial" w:eastAsia="Arial" w:hAnsi="Arial"/>
          <w:b/>
          <w:bCs/>
          <w:color w:val="1B3A6B"/>
          <w:sz w:val="32"/>
          <w:szCs w:val="32"/>
        </w:rPr>
        <w:t xml:space="preserve">5. Significance of the Project</w:t>
      </w:r>
    </w:p>
    <w:p>
      <w:pPr>
        <w:pStyle w:val="Heading2"/>
        <w:spacing w:after="100" w:before="260"/>
      </w:pPr>
      <w:r>
        <w:rPr>
          <w:rFonts w:ascii="Arial" w:cs="Arial" w:eastAsia="Arial" w:hAnsi="Arial"/>
          <w:b/>
          <w:bCs/>
          <w:color w:val="1B3A6B"/>
          <w:sz w:val="26"/>
          <w:szCs w:val="26"/>
        </w:rPr>
        <w:t xml:space="preserve">National Significance — Ghana</w:t>
      </w:r>
    </w:p>
    <w:p>
      <w:pPr>
        <w:pStyle w:val="ListParagraph"/>
        <w:numPr>
          <w:ilvl w:val="0"/>
          <w:numId w:val="2"/>
        </w:numPr>
        <w:spacing w:after="60" w:before="60" w:line="320"/>
      </w:pPr>
      <w:r>
        <w:rPr>
          <w:rFonts w:ascii="Arial" w:cs="Arial" w:eastAsia="Arial" w:hAnsi="Arial"/>
          <w:color w:val="1A1A1A"/>
          <w:sz w:val="22"/>
          <w:szCs w:val="22"/>
        </w:rPr>
        <w:t xml:space="preserve">Ghana's Renewable Energy Master Plan targets 1,363.63 MW of solar capacity by 2030. SolarScan AI directly supports the maintenance infrastructure needed to sustain this ambition.</w:t>
      </w:r>
    </w:p>
    <w:p>
      <w:pPr>
        <w:pStyle w:val="ListParagraph"/>
        <w:numPr>
          <w:ilvl w:val="0"/>
          <w:numId w:val="2"/>
        </w:numPr>
        <w:spacing w:after="60" w:before="60" w:line="320"/>
      </w:pPr>
      <w:r>
        <w:rPr>
          <w:rFonts w:ascii="Arial" w:cs="Arial" w:eastAsia="Arial" w:hAnsi="Arial"/>
          <w:color w:val="1A1A1A"/>
          <w:sz w:val="22"/>
          <w:szCs w:val="22"/>
        </w:rPr>
        <w:t xml:space="preserve">The app is designed for offline use, addressing the connectivity gap in remote solar installations in northern Ghana, the Volta Region, and off-grid rural communities.</w:t>
      </w:r>
    </w:p>
    <w:p>
      <w:pPr>
        <w:pStyle w:val="ListParagraph"/>
        <w:numPr>
          <w:ilvl w:val="0"/>
          <w:numId w:val="2"/>
        </w:numPr>
        <w:spacing w:after="60" w:before="60" w:line="320"/>
      </w:pPr>
      <w:r>
        <w:rPr>
          <w:rFonts w:ascii="Arial" w:cs="Arial" w:eastAsia="Arial" w:hAnsi="Arial"/>
          <w:color w:val="1A1A1A"/>
          <w:sz w:val="22"/>
          <w:szCs w:val="22"/>
        </w:rPr>
        <w:t xml:space="preserve">At a cost of zero (mobile app, no subscription), SolarScan AI democratises professional-grade PV inspection previously available only to well-funded utility companies.</w:t>
      </w:r>
    </w:p>
    <w:p>
      <w:pPr>
        <w:spacing w:after="0" w:before="80"/>
      </w:pPr>
      <w:r>
        <w:t xml:space="preserve"/>
      </w:r>
    </w:p>
    <w:p>
      <w:pPr>
        <w:pStyle w:val="Heading2"/>
        <w:spacing w:after="100" w:before="260"/>
      </w:pPr>
      <w:r>
        <w:rPr>
          <w:rFonts w:ascii="Arial" w:cs="Arial" w:eastAsia="Arial" w:hAnsi="Arial"/>
          <w:b/>
          <w:bCs/>
          <w:color w:val="1B3A6B"/>
          <w:sz w:val="26"/>
          <w:szCs w:val="26"/>
        </w:rPr>
        <w:t xml:space="preserve">Technical Significance</w:t>
      </w:r>
    </w:p>
    <w:p>
      <w:pPr>
        <w:pStyle w:val="ListParagraph"/>
        <w:numPr>
          <w:ilvl w:val="0"/>
          <w:numId w:val="2"/>
        </w:numPr>
        <w:spacing w:after="60" w:before="60" w:line="320"/>
      </w:pPr>
      <w:r>
        <w:rPr>
          <w:rFonts w:ascii="Arial" w:cs="Arial" w:eastAsia="Arial" w:hAnsi="Arial"/>
          <w:color w:val="1A1A1A"/>
          <w:sz w:val="22"/>
          <w:szCs w:val="22"/>
        </w:rPr>
        <w:t xml:space="preserve">First student-developed YOLOv8 + TFLite solar defect detection system with 8-class coverage benchmarked against peer-reviewed 2025 models.</w:t>
      </w:r>
    </w:p>
    <w:p>
      <w:pPr>
        <w:pStyle w:val="ListParagraph"/>
        <w:numPr>
          <w:ilvl w:val="0"/>
          <w:numId w:val="2"/>
        </w:numPr>
        <w:spacing w:after="60" w:before="60" w:line="320"/>
      </w:pPr>
      <w:r>
        <w:rPr>
          <w:rFonts w:ascii="Arial" w:cs="Arial" w:eastAsia="Arial" w:hAnsi="Arial"/>
          <w:color w:val="1A1A1A"/>
          <w:sz w:val="22"/>
          <w:szCs w:val="22"/>
        </w:rPr>
        <w:t xml:space="preserve">Achieves competitive mAP@50 of 92.7% while being 2× smaller than comparable models — a meaningful contribution to edge AI research for constrained devices.</w:t>
      </w:r>
    </w:p>
    <w:p>
      <w:pPr>
        <w:pStyle w:val="ListParagraph"/>
        <w:numPr>
          <w:ilvl w:val="0"/>
          <w:numId w:val="2"/>
        </w:numPr>
        <w:spacing w:after="60" w:before="60" w:line="320"/>
      </w:pPr>
      <w:r>
        <w:rPr>
          <w:rFonts w:ascii="Arial" w:cs="Arial" w:eastAsia="Arial" w:hAnsi="Arial"/>
          <w:color w:val="1A1A1A"/>
          <w:sz w:val="22"/>
          <w:szCs w:val="22"/>
        </w:rPr>
        <w:t xml:space="preserve">Demonstrates that INT8 quantisation can maintain &gt;92% detection accuracy, contributing to the emerging field of sustainable AI (small, efficient models over large cloud-dependent ones).</w:t>
      </w:r>
    </w:p>
    <w:p>
      <w:pPr>
        <w:spacing w:after="0" w:before="80"/>
      </w:pPr>
      <w:r>
        <w:t xml:space="preserve"/>
      </w:r>
    </w:p>
    <w:p>
      <w:pPr>
        <w:pStyle w:val="Heading2"/>
        <w:spacing w:after="100" w:before="260"/>
      </w:pPr>
      <w:r>
        <w:rPr>
          <w:rFonts w:ascii="Arial" w:cs="Arial" w:eastAsia="Arial" w:hAnsi="Arial"/>
          <w:b/>
          <w:bCs/>
          <w:color w:val="1B3A6B"/>
          <w:sz w:val="26"/>
          <w:szCs w:val="26"/>
        </w:rPr>
        <w:t xml:space="preserve">Economic Significance</w:t>
      </w:r>
    </w:p>
    <w:p>
      <w:pPr>
        <w:pStyle w:val="ListParagraph"/>
        <w:numPr>
          <w:ilvl w:val="0"/>
          <w:numId w:val="2"/>
        </w:numPr>
        <w:spacing w:after="60" w:before="60" w:line="320"/>
      </w:pPr>
      <w:r>
        <w:rPr>
          <w:rFonts w:ascii="Arial" w:cs="Arial" w:eastAsia="Arial" w:hAnsi="Arial"/>
          <w:color w:val="1A1A1A"/>
          <w:sz w:val="22"/>
          <w:szCs w:val="22"/>
        </w:rPr>
        <w:t xml:space="preserve">A 100-panel solar installation generating $18,000/year in electricity revenue loses approximately $1,620/year from undetected defects. Early detection and repair can recover 80–90% of this loss.</w:t>
      </w:r>
    </w:p>
    <w:p>
      <w:pPr>
        <w:pStyle w:val="ListParagraph"/>
        <w:numPr>
          <w:ilvl w:val="0"/>
          <w:numId w:val="2"/>
        </w:numPr>
        <w:spacing w:after="60" w:before="60" w:line="320"/>
      </w:pPr>
      <w:r>
        <w:rPr>
          <w:rFonts w:ascii="Arial" w:cs="Arial" w:eastAsia="Arial" w:hAnsi="Arial"/>
          <w:color w:val="1A1A1A"/>
          <w:sz w:val="22"/>
          <w:szCs w:val="22"/>
        </w:rPr>
        <w:t xml:space="preserve">Industry research (Raptor Maps, 2025) shows that AI-powered inspection yields a 3–8× return on investment compared to manual inspection costs.</w:t>
      </w:r>
    </w:p>
    <w:p>
      <w:pPr>
        <w:pStyle w:val="ListParagraph"/>
        <w:numPr>
          <w:ilvl w:val="0"/>
          <w:numId w:val="2"/>
        </w:numPr>
        <w:spacing w:after="60" w:before="60" w:line="320"/>
      </w:pPr>
      <w:r>
        <w:rPr>
          <w:rFonts w:ascii="Arial" w:cs="Arial" w:eastAsia="Arial" w:hAnsi="Arial"/>
          <w:color w:val="1A1A1A"/>
          <w:sz w:val="22"/>
          <w:szCs w:val="22"/>
        </w:rPr>
        <w:t xml:space="preserve">The built-in ROI Calculator in SolarScan AI allows plant managers to quantify financial risk in real time during a field inspection.</w:t>
      </w:r>
    </w:p>
    <w:p>
      <w:pPr>
        <w:spacing w:after="0" w:before="80"/>
      </w:pPr>
      <w:r>
        <w:t xml:space="preserve"/>
      </w:r>
    </w:p>
    <w:p>
      <w:pPr>
        <w:pStyle w:val="Heading2"/>
        <w:spacing w:after="100" w:before="260"/>
      </w:pPr>
      <w:r>
        <w:rPr>
          <w:rFonts w:ascii="Arial" w:cs="Arial" w:eastAsia="Arial" w:hAnsi="Arial"/>
          <w:b/>
          <w:bCs/>
          <w:color w:val="1B3A6B"/>
          <w:sz w:val="26"/>
          <w:szCs w:val="26"/>
        </w:rPr>
        <w:t xml:space="preserve">Academic Significance</w:t>
      </w:r>
    </w:p>
    <w:p>
      <w:pPr>
        <w:pStyle w:val="ListParagraph"/>
        <w:numPr>
          <w:ilvl w:val="0"/>
          <w:numId w:val="2"/>
        </w:numPr>
        <w:spacing w:after="60" w:before="60" w:line="320"/>
      </w:pPr>
      <w:r>
        <w:rPr>
          <w:rFonts w:ascii="Arial" w:cs="Arial" w:eastAsia="Arial" w:hAnsi="Arial"/>
          <w:color w:val="1A1A1A"/>
          <w:sz w:val="22"/>
          <w:szCs w:val="22"/>
        </w:rPr>
        <w:t xml:space="preserve">Demonstrates mastery across multiple modules: AI/ML (YOLOv8 training), HCI (SUS testing, Norman's principles), Cloud &amp; Modern Trends (TFLite, edge AI), and Software Development.</w:t>
      </w:r>
    </w:p>
    <w:p>
      <w:pPr>
        <w:pStyle w:val="ListParagraph"/>
        <w:numPr>
          <w:ilvl w:val="0"/>
          <w:numId w:val="2"/>
        </w:numPr>
        <w:spacing w:after="60" w:before="60" w:line="320"/>
      </w:pPr>
      <w:r>
        <w:rPr>
          <w:rFonts w:ascii="Arial" w:cs="Arial" w:eastAsia="Arial" w:hAnsi="Arial"/>
          <w:color w:val="1A1A1A"/>
          <w:sz w:val="22"/>
          <w:szCs w:val="22"/>
        </w:rPr>
        <w:t xml:space="preserve">All model metrics are reproducible — dataset sources, training configuration, and evaluation code are fully documented and available for replication.</w:t>
      </w:r>
    </w:p>
    <w:p>
      <w:pPr>
        <w:pStyle w:val="ListParagraph"/>
        <w:numPr>
          <w:ilvl w:val="0"/>
          <w:numId w:val="2"/>
        </w:numPr>
        <w:spacing w:after="60" w:before="60" w:line="320"/>
      </w:pPr>
      <w:r>
        <w:rPr>
          <w:rFonts w:ascii="Arial" w:cs="Arial" w:eastAsia="Arial" w:hAnsi="Arial"/>
          <w:color w:val="1A1A1A"/>
          <w:sz w:val="22"/>
          <w:szCs w:val="22"/>
        </w:rPr>
        <w:t xml:space="preserve">The project advances UENR's research output in applied AI for the African renewable energy sector.</w:t>
      </w:r>
    </w:p>
    <w:p>
      <w:pPr>
        <w:spacing w:after="0" w:before="80"/>
      </w:pPr>
      <w:r>
        <w:t xml:space="preserve"/>
      </w:r>
    </w:p>
    <w:p>
      <w:pPr>
        <w:pStyle w:val="Heading2"/>
        <w:spacing w:after="100" w:before="260"/>
      </w:pPr>
      <w:r>
        <w:rPr>
          <w:rFonts w:ascii="Arial" w:cs="Arial" w:eastAsia="Arial" w:hAnsi="Arial"/>
          <w:b/>
          <w:bCs/>
          <w:color w:val="1B3A6B"/>
          <w:sz w:val="26"/>
          <w:szCs w:val="26"/>
        </w:rPr>
        <w:t xml:space="preserve">Social &amp; Environmental Significance</w:t>
      </w:r>
    </w:p>
    <w:p>
      <w:pPr>
        <w:pStyle w:val="ListParagraph"/>
        <w:numPr>
          <w:ilvl w:val="0"/>
          <w:numId w:val="2"/>
        </w:numPr>
        <w:spacing w:after="60" w:before="60" w:line="320"/>
      </w:pPr>
      <w:r>
        <w:rPr>
          <w:rFonts w:ascii="Arial" w:cs="Arial" w:eastAsia="Arial" w:hAnsi="Arial"/>
          <w:color w:val="1A1A1A"/>
          <w:sz w:val="22"/>
          <w:szCs w:val="22"/>
        </w:rPr>
        <w:t xml:space="preserve">Defective solar panels that go unrepaired consume energy without generating it, wasting the embodied carbon of their manufacture. Early detection extends panel life and reduces electronic waste.</w:t>
      </w:r>
    </w:p>
    <w:p>
      <w:pPr>
        <w:pStyle w:val="ListParagraph"/>
        <w:numPr>
          <w:ilvl w:val="0"/>
          <w:numId w:val="2"/>
        </w:numPr>
        <w:spacing w:after="60" w:before="60" w:line="320"/>
      </w:pPr>
      <w:r>
        <w:rPr>
          <w:rFonts w:ascii="Arial" w:cs="Arial" w:eastAsia="Arial" w:hAnsi="Arial"/>
          <w:color w:val="1A1A1A"/>
          <w:sz w:val="22"/>
          <w:szCs w:val="22"/>
        </w:rPr>
        <w:t xml:space="preserve">By making inspection accessible to local technicians with a smartphone, the project builds technical capacity in Ghanaian communities that operate and maintain solar farms.</w:t>
      </w:r>
    </w:p>
    <w:p>
      <w:pPr>
        <w:pStyle w:val="ListParagraph"/>
        <w:numPr>
          <w:ilvl w:val="0"/>
          <w:numId w:val="2"/>
        </w:numPr>
        <w:spacing w:after="60" w:before="60" w:line="320"/>
      </w:pPr>
      <w:r>
        <w:rPr>
          <w:rFonts w:ascii="Arial" w:cs="Arial" w:eastAsia="Arial" w:hAnsi="Arial"/>
          <w:color w:val="1A1A1A"/>
          <w:sz w:val="22"/>
          <w:szCs w:val="22"/>
        </w:rPr>
        <w:t xml:space="preserve">The Human-in-the-Loop design means field corrections from technicians improve the AI model over time — creating a feedback loop that benefits the entire industry.</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4"/>
              <w:bottom w:val="single" w:color="1B3A6B" w:sz="12"/>
              <w:right w:val="single" w:color="1B3A6B" w:sz="4"/>
            </w:tcBorders>
            <w:shd w:fill="EAF2FF" w:val="clear"/>
            <w:tcMar>
              <w:top w:type="dxa" w:w="200"/>
              <w:left w:type="dxa" w:w="240"/>
              <w:bottom w:type="dxa" w:w="200"/>
              <w:right w:type="dxa" w:w="240"/>
            </w:tcMar>
          </w:tcPr>
          <w:p>
            <w:pPr>
              <w:jc w:val="center"/>
            </w:pPr>
            <w:r>
              <w:rPr>
                <w:rFonts w:ascii="Arial" w:cs="Arial" w:eastAsia="Arial" w:hAnsi="Arial"/>
                <w:b/>
                <w:bCs/>
                <w:color w:val="1B3A6B"/>
                <w:sz w:val="26"/>
                <w:szCs w:val="26"/>
              </w:rPr>
              <w:t xml:space="preserve">Presentation Day Checklist</w:t>
            </w:r>
          </w:p>
          <w:p>
            <w:pPr>
              <w:spacing w:after="0" w:before="80"/>
            </w:pPr>
            <w:r>
              <w:t xml:space="preserve"/>
            </w:r>
          </w:p>
          <w:p>
            <w:pPr>
              <w:spacing w:after="60" w:before="60"/>
            </w:pPr>
            <w:r>
              <w:rPr>
                <w:rFonts w:ascii="Arial" w:cs="Arial" w:eastAsia="Arial" w:hAnsi="Arial"/>
                <w:color w:val="1A1A1A"/>
                <w:sz w:val="22"/>
                <w:szCs w:val="22"/>
              </w:rPr>
              <w:t xml:space="preserve">✅  Arrive at least 10 minutes before the scheduled time</w:t>
            </w:r>
          </w:p>
          <w:p>
            <w:pPr>
              <w:spacing w:after="60" w:before="60"/>
            </w:pPr>
            <w:r>
              <w:rPr>
                <w:rFonts w:ascii="Arial" w:cs="Arial" w:eastAsia="Arial" w:hAnsi="Arial"/>
                <w:color w:val="1A1A1A"/>
                <w:sz w:val="22"/>
                <w:szCs w:val="22"/>
              </w:rPr>
              <w:t xml:space="preserve">✅  All members must be present and appropriately dressed</w:t>
            </w:r>
          </w:p>
          <w:p>
            <w:pPr>
              <w:spacing w:after="60" w:before="60"/>
            </w:pPr>
            <w:r>
              <w:rPr>
                <w:rFonts w:ascii="Arial" w:cs="Arial" w:eastAsia="Arial" w:hAnsi="Arial"/>
                <w:color w:val="1A1A1A"/>
                <w:sz w:val="22"/>
                <w:szCs w:val="22"/>
              </w:rPr>
              <w:t xml:space="preserve">✅  Be ready to speak on any of the 5 required sections</w:t>
            </w:r>
          </w:p>
          <w:p>
            <w:pPr>
              <w:spacing w:after="60" w:before="60"/>
            </w:pPr>
            <w:r>
              <w:rPr>
                <w:rFonts w:ascii="Arial" w:cs="Arial" w:eastAsia="Arial" w:hAnsi="Arial"/>
                <w:color w:val="1A1A1A"/>
                <w:sz w:val="22"/>
                <w:szCs w:val="22"/>
              </w:rPr>
              <w:t xml:space="preserve">✅  Prepare for follow-up questions on the model, dataset, and HCI testing</w:t>
            </w:r>
          </w:p>
          <w:p>
            <w:pPr>
              <w:spacing w:after="60" w:before="60"/>
            </w:pPr>
            <w:r>
              <w:rPr>
                <w:rFonts w:ascii="Arial" w:cs="Arial" w:eastAsia="Arial" w:hAnsi="Arial"/>
                <w:color w:val="1A1A1A"/>
                <w:sz w:val="22"/>
                <w:szCs w:val="22"/>
              </w:rPr>
              <w:t xml:space="preserve">✅  Know your SUS score (83.4) and what it means</w:t>
            </w:r>
          </w:p>
          <w:p>
            <w:pPr>
              <w:spacing w:after="60" w:before="60"/>
            </w:pPr>
            <w:r>
              <w:rPr>
                <w:rFonts w:ascii="Arial" w:cs="Arial" w:eastAsia="Arial" w:hAnsi="Arial"/>
                <w:color w:val="1A1A1A"/>
                <w:sz w:val="22"/>
                <w:szCs w:val="22"/>
              </w:rPr>
              <w:t xml:space="preserve">✅  Know the mAP@50 (92.7%) and be able to explain it simply</w:t>
            </w:r>
          </w:p>
          <w:p>
            <w:pPr>
              <w:spacing w:after="60" w:before="60"/>
            </w:pPr>
            <w:r>
              <w:rPr>
                <w:rFonts w:ascii="Arial" w:cs="Arial" w:eastAsia="Arial" w:hAnsi="Arial"/>
                <w:color w:val="1A1A1A"/>
                <w:sz w:val="22"/>
                <w:szCs w:val="22"/>
              </w:rPr>
              <w:t xml:space="preserve">✅  Know the 8 defect classes and at least one real-world consequence of each</w:t>
            </w:r>
          </w:p>
        </w:tc>
      </w:tr>
    </w:tbl>
    <w:p>
      <w:pPr>
        <w:spacing w:after="0" w:before="160"/>
      </w:pPr>
      <w:r>
        <w:t xml:space="preserve"/>
      </w:r>
    </w:p>
    <w:p>
      <w:pPr>
        <w:spacing w:after="80" w:before="80" w:line="360"/>
        <w:jc w:val="center"/>
      </w:pPr>
      <w:r>
        <w:rPr>
          <w:rFonts w:ascii="Arial" w:cs="Arial" w:eastAsia="Arial" w:hAnsi="Arial"/>
          <w:i/>
          <w:iCs/>
          <w:color w:val="888888"/>
          <w:sz w:val="22"/>
          <w:szCs w:val="22"/>
        </w:rPr>
        <w:t xml:space="preserve">Prepared by SolarScan AI Group  |  University of Energy and Natural Resources  |  2025</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tabs>
        <w:tab w:val="right" w:pos="9026"/>
      </w:tabs>
      <w:spacing w:before="80"/>
    </w:pPr>
    <w:r>
      <w:rPr>
        <w:rFonts w:ascii="Arial" w:cs="Arial" w:eastAsia="Arial" w:hAnsi="Arial"/>
        <w:color w:val="888888"/>
        <w:sz w:val="16"/>
        <w:szCs w:val="16"/>
      </w:rPr>
      <w:t xml:space="preserve">BSc Information Technology  |  Department of Computer Science</w:t>
    </w:r>
    <w:r>
      <w:rPr>
        <w:rFonts w:ascii="Arial" w:cs="Arial" w:eastAsia="Arial" w:hAnsi="Arial"/>
        <w:color w:val="888888"/>
        <w:sz w:val="16"/>
        <w:szCs w:val="16"/>
      </w:rPr>
      <w:t xml:space="preserve">	Page </w:t>
    </w:r>
    <w:r>
      <w:rPr>
        <w:rFonts w:ascii="Arial" w:cs="Arial" w:eastAsia="Arial" w:hAnsi="Arial"/>
        <w:color w:val="1B3A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4"/>
      </w:pBdr>
      <w:spacing w:after="100"/>
    </w:pPr>
    <w:r>
      <w:rPr>
        <w:rFonts w:ascii="Arial" w:cs="Arial" w:eastAsia="Arial" w:hAnsi="Arial"/>
        <w:b/>
        <w:bCs/>
        <w:color w:val="1B3A6B"/>
        <w:sz w:val="18"/>
        <w:szCs w:val="18"/>
      </w:rPr>
      <w:t xml:space="preserve">SolarScan AI  |  Final Year Project Presentation Brief</w:t>
    </w:r>
    <w:r>
      <w:rPr>
        <w:rFonts w:ascii="Arial" w:cs="Arial" w:eastAsia="Arial" w:hAnsi="Arial"/>
        <w:color w:val="888888"/>
        <w:sz w:val="18"/>
        <w:szCs w:val="18"/>
      </w:rPr>
      <w:t xml:space="preserve">  ·  University of Energy &amp; Natural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2026-05-30T03:03:02.748Z</dcterms:created>
  <dcterms:modified xsi:type="dcterms:W3CDTF">2026-05-30T03:03:02.748Z</dcterms:modified>
</cp:coreProperties>
</file>

<file path=docProps/custom.xml><?xml version="1.0" encoding="utf-8"?>
<Properties xmlns="http://schemas.openxmlformats.org/officeDocument/2006/custom-properties" xmlns:vt="http://schemas.openxmlformats.org/officeDocument/2006/docPropsVTypes"/>
</file>