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44"/>
          <w:szCs w:val="44"/>
        </w:rPr>
        <w:t xml:space="preserve">SIGNAL</w:t>
      </w:r>
    </w:p>
    <w:p>
      <w:pPr>
        <w:spacing w:after="40"/>
        <w:jc w:val="center"/>
      </w:pPr>
      <w:r>
        <w:rPr>
          <w:color w:val="374151"/>
          <w:sz w:val="26"/>
          <w:szCs w:val="26"/>
        </w:rPr>
        <w:t xml:space="preserve">Full Product Vision — Complete Reference (A to Z)</w:t>
      </w:r>
    </w:p>
    <w:p>
      <w:pPr>
        <w:spacing w:after="320"/>
        <w:jc w:val="center"/>
      </w:pPr>
      <w:r>
        <w:rPr>
          <w:i/>
          <w:iCs/>
          <w:color w:val="6B7280"/>
          <w:sz w:val="17"/>
          <w:szCs w:val="17"/>
        </w:rPr>
        <w:t xml:space="preserve">1 September 2026 — reflects source product doc v2 + everything decided since</w:t>
      </w:r>
    </w:p>
    <w:p>
      <w:pPr>
        <w:pStyle w:val="Heading1"/>
        <w:spacing w:after="160" w:before="340"/>
      </w:pPr>
      <w:r>
        <w:rPr>
          <w:color w:val="1F2937"/>
        </w:rPr>
        <w:t xml:space="preserve">A. One-Line Concept</w:t>
      </w:r>
    </w:p>
    <w:p>
      <w:pPr>
        <w:spacing w:after="160"/>
      </w:pPr>
      <w:r>
        <w:rPr>
          <w:sz w:val="21"/>
          <w:szCs w:val="21"/>
        </w:rPr>
        <w:t xml:space="preserve">SIGNAL turns a caretaker's spoken description of a child into a structured, explained, confidence-graded flag that routes to a real clinician — built for one untrained caretaker managing many children, with no training required.</w:t>
      </w:r>
    </w:p>
    <w:p>
      <w:pPr>
        <w:pStyle w:val="Heading1"/>
        <w:spacing w:after="160" w:before="340"/>
      </w:pPr>
      <w:r>
        <w:rPr>
          <w:color w:val="1F2937"/>
        </w:rPr>
        <w:t xml:space="preserve">B. The Problem It Solves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Institutional caretakers (orphanages, shelters) manage dozens of children with no training in developmental norms and no continuity — staff rotate, no one adult watches one child for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children most often missed are the quiet, non-disruptive ones, not the most severely affected.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is a structural/staffing gap, not a caretaker-competence problem.</w:t>
      </w:r>
    </w:p>
    <w:p>
      <w:pPr>
        <w:pStyle w:val="Heading1"/>
        <w:spacing w:after="160" w:before="340"/>
      </w:pPr>
      <w:r>
        <w:rPr>
          <w:color w:val="1F2937"/>
        </w:rPr>
        <w:t xml:space="preserve">C. Market &amp; Beachhead</w:t>
      </w:r>
    </w:p>
    <w:p>
      <w:pPr>
        <w:spacing w:after="160"/>
      </w:pPr>
      <w:r>
        <w:rPr>
          <w:sz w:val="21"/>
          <w:szCs w:val="21"/>
        </w:rPr>
        <w:t xml:space="preserve">Real institutional population in Pakistan is tens of thousands of children (not the often-cited 4.2M 'orphans' figure, which is a different, much broader UNICEF definition). Key operators: Alkhidmat Aghosh (~1,800 children), SOS Children's Villages, Edhi Foundation, Punjab Child Protection &amp; Welfare Bureau, Sindh Child Protection Authority.</w:t>
      </w:r>
    </w:p>
    <w:p>
      <w:pPr>
        <w:spacing w:after="160"/>
      </w:pPr>
      <w:r>
        <w:rPr>
          <w:sz w:val="21"/>
          <w:szCs w:val="21"/>
        </w:rPr>
        <w:t xml:space="preserve">Expansion path: institutional care → under-resourced community clinics/LHW programmes → schools → export markets (Gulf, South Asia, Africa).</w:t>
      </w:r>
    </w:p>
    <w:p>
      <w:pPr>
        <w:pStyle w:val="Heading1"/>
        <w:spacing w:after="160" w:before="340"/>
      </w:pPr>
      <w:r>
        <w:rPr>
          <w:color w:val="1F2937"/>
        </w:rPr>
        <w:t xml:space="preserve">D. Age Groups (Full Range — Eventually 0–18)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Infants/toddlers (0–3)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Common intake, especially abandoned infants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Preschool (4–6)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 target band; government Bait-ul-Mal homes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School age (6–12)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 target; entry age for Punjab's Children's Homes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Adolescents (12–18+)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Later phase; Children's Homes and SOS Youth Homes</w:t>
            </w:r>
          </w:p>
        </w:tc>
      </w:tr>
    </w:tbl>
    <w:p>
      <w:pPr>
        <w:pStyle w:val="Heading1"/>
        <w:spacing w:after="160" w:before="340"/>
      </w:pPr>
      <w:r>
        <w:rPr>
          <w:color w:val="1F2937"/>
        </w:rPr>
        <w:t xml:space="preserve">E. All 7 Screening Domains (Priority Order, Full Vision)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500"/>
      </w:tblGrid>
      <w:tr>
        <w:trPr>
          <w:cantSplit/>
          <w:tblHeader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it's prioritised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Speech/Language delay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Most common, most-missed condition; renamed from 'DLD' to avoid an unwarranted diagnostic label under age 4 (ADR-07)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DSED/RAD (attachment disorders)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20–30x more common in institutional care than the general population — the strongest defensible moat; no competitor screens for this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Hearing impairment (incl. OME/glue ear)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Common, observation-screenable, and decisively treatable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Uncorrected vision/refractive error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Leading cause of childhood vision impairment, massively under-detected, fixable with spectacles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Autism-related social/behavioural signals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Requires sustained one-on-one interaction — hard in group care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ADHD / attention patterns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Documented to be missed specifically in quiet children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Gross motor delay</w:t>
            </w:r>
          </w:p>
        </w:tc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Supporting observation-screenable domain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Phase 1 covers only #1 and #3 (Speech/Language + Hearing). The rest are Phase 2+.</w:t>
      </w:r>
    </w:p>
    <w:p>
      <w:pPr>
        <w:pStyle w:val="Heading1"/>
        <w:spacing w:after="160" w:before="340"/>
      </w:pPr>
      <w:r>
        <w:rPr>
          <w:color w:val="1F2937"/>
        </w:rPr>
        <w:t xml:space="preserve">F. Complete Feature List (All Phases Combined)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rPr>
          <w:cantSplit/>
          <w:tblHeader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Voice input (Urdu/English) + text fallback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Smart adaptive follow-up questioning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Confidence-graded flag (4-state: High/Moderate/Low-monitor/Insufficient-info) + plain-language explanation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Cited reasoning trail (exact knowledge-base row behind every flag)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Child profile/registration + estimated-age handling (confirmed DOB vs. estimated range)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Per-child case memory + multi-session continuity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Session save/resume (interrupted shifts)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Loop-closing referral record (responsible person, review date, escalation)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Separate safeguarding-escalation pathway (abuse/neglect ≠ developmental flag)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Encryption, role-based access, tamper-evident audit log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Photo input (supporting visual cues only)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DSED/RAD, vision, autism, ADHD domains added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Age range extended to 6–12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In-the-moment guidance activity for caretakers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Three-agent architecture formalised (Observation/Risk-Reasoning/Explanation as distinct services)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Institution dashboard (open vs. closed flags)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Donor/compliance reporting feed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Formal referral-partner network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Multi-tenant SaaS + offline/low-connectivity mode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Outcome tracking (did the clinician confirm or rule out the flag?) — identified as the single biggest missing product capability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Not yet scoped — flagged as high-value addition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Lab/blood-screening integration (e.g. congenital hypothyroidism, PKU)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Phase 5, contingent on hospital partnerships</w:t>
            </w:r>
          </w:p>
        </w:tc>
      </w:tr>
    </w:tbl>
    <w:p>
      <w:pPr>
        <w:pStyle w:val="Heading1"/>
        <w:spacing w:after="160" w:before="340"/>
      </w:pPr>
      <w:r>
        <w:rPr>
          <w:color w:val="1F2937"/>
        </w:rPr>
        <w:t xml:space="preserve">G. System Architecture (Full)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Input layer: voice (Azure STT, ur-PK) + text — voice input never has AI-generated voice output (text-only output, by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Reasoning pipeline: Observation → Risk Reasoning → Explanation, direct multi-call (not LangChain), full-context knowledge injection (not RAG/embeddings) at Phase 1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Cross-domain rule: Risk Reasoning must check ALL in-scope domains jointly, never domain-isolated — symptom overlap (e.g. hearing loss and language delay share the same surface symptom) makes isolated reasoning unsafe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Case memory: PostgreSQL, Row-Level Security enforced at the database ROLE level (not just app-code) — audited and found to have a real gap where the app was connecting as a superuser bypassing RLS; fix is a one-line .env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Deterministic grading function (not left to the LLM to invent per-call) — modelled on M-CHAT-R/F, ASQ-3, and PEDS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Tamper-evident, hash-chained audit log — the technical basis of the entire liability-protection business argument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Provider-agnostic LLM wrapper with model tiering (cheap model for extraction, strongest model for reasoning, mid-tier for explanation)</w:t>
      </w:r>
    </w:p>
    <w:p>
      <w:pPr>
        <w:pStyle w:val="Heading1"/>
        <w:spacing w:after="160" w:before="340"/>
      </w:pPr>
      <w:r>
        <w:rPr>
          <w:color w:val="1F2937"/>
        </w:rPr>
        <w:t xml:space="preserve">H. Business Model — Who Pays and Why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500"/>
      </w:tblGrid>
      <w:tr>
        <w:trPr>
          <w:cantSplit/>
          <w:tblHeader/>
        </w:trP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Payer</w:t>
            </w:r>
          </w:p>
        </w:tc>
        <w:tc>
          <w:tcPr>
            <w:tcW w:type="dxa" w:w="4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they buy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Primary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Donors, INGOs, grant funders (Alkhidmat, SOS, UNICEF, Save the Children, GSMA)</w:t>
            </w:r>
          </w:p>
        </w:tc>
        <w:tc>
          <w:tcPr>
            <w:tcW w:type="dxa" w:w="4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Want needs surfaced — demonstrates impact, directs resources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Secondary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Government child-protection bodies (Punjab CP&amp;WB, Sindh CPA)</w:t>
            </w:r>
          </w:p>
        </w:tc>
        <w:tc>
          <w:tcPr>
            <w:tcW w:type="dxa" w:w="4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Compliance and welfare-monitoring mandates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Tertiary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Export SaaS (Gulf, South Asia, Africa) + B2B licensing to clinics/hospitals</w:t>
            </w:r>
          </w:p>
        </w:tc>
        <w:tc>
          <w:tcPr>
            <w:tcW w:type="dxa" w:w="4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Margin; cross-subsidises the domestic social mission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Key structural point: the institution is the USER, but the payer sits deliberately outside it (donors/grants), because the institution both consents to screening and could be exposed by what it surfaces — a conflict of interest that can be reduced, not eliminated.</w:t>
      </w:r>
    </w:p>
    <w:p>
      <w:pPr>
        <w:spacing w:after="160"/>
      </w:pPr>
      <w:r>
        <w:rPr>
          <w:sz w:val="21"/>
          <w:szCs w:val="21"/>
        </w:rPr>
        <w:t xml:space="preserve">Why institutions actually say yes: liability protection via a documented response process (not documented awareness alone — a flag with no recorded action is documented negligence, not protection), donor/grant reporting material, government compliance, and staff burnout relief.</w:t>
      </w:r>
    </w:p>
    <w:p>
      <w:pPr>
        <w:pStyle w:val="Heading1"/>
        <w:spacing w:after="160" w:before="340"/>
      </w:pPr>
      <w:r>
        <w:rPr>
          <w:color w:val="1F2937"/>
        </w:rPr>
        <w:t xml:space="preserve">I. Consent, Safeguarding &amp; Regulatory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Guardianship for institutionalised children runs through the Guardians and Wards Act 1890 — the institution consenting to screen children it is itself responsible for is a structural conflict needing independent ethics oversight.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Mandatory-reporting duty (if screening surfaces abuse/neglect signals rather than a developmental concern) must be designed in before any real-data pilot — still an open item with Ayesha/Sami.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Regulatory target: the US FDA's non-device Clinical Decision Support carve-out (Cures Act §520(o)(1)(E)) — requires transparent, professional-reviewable reasoning, never an opaque score or a diagnosis. This is why the system never outputs a diagnostic label (ADR-07) and every flag must cite its exact basis (ADR-03).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Pakistan: DRAP (Medical Devices Rules 2017) review needed before any commercial/clinical launch — tracked, not a Phase 1 blocker.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Phase 1 data — hackathon and real build — must be synthetic. Hard technical gate, not policy only.</w:t>
      </w:r>
    </w:p>
    <w:p>
      <w:pPr>
        <w:pStyle w:val="Heading1"/>
        <w:spacing w:after="160" w:before="340"/>
      </w:pPr>
      <w:r>
        <w:rPr>
          <w:color w:val="1F2937"/>
        </w:rPr>
        <w:t xml:space="preserve">J. Clinical Validation Path (the real long-term moat)</w:t>
      </w:r>
    </w:p>
    <w:p>
      <w:pPr>
        <w:spacing w:after="160"/>
      </w:pPr>
      <w:r>
        <w:rPr>
          <w:sz w:val="21"/>
          <w:szCs w:val="21"/>
        </w:rPr>
        <w:t xml:space="preserve">Not a patent — validation. Benchmark SIGNAL's sensitivity/specificity against a validated instrument (ASQ-3 or MDAT) in a real institutional pilot with clinical oversight, 100–300 children, 1–2 partner institutions, output a published paper. This is what makes the product credible to serious donors and defensible against "an LLM can't do clinical work."</w:t>
      </w:r>
    </w:p>
    <w:p>
      <w:pPr>
        <w:spacing w:after="160"/>
      </w:pPr>
      <w:r>
        <w:rPr>
          <w:sz w:val="21"/>
          <w:szCs w:val="21"/>
        </w:rPr>
        <w:t xml:space="preserve">The knowledge base itself — not the app — is the real asset: curated, sourced, versioned clinical content (currently 94 rows across 2 domains, sourced to CATALISE, ASHA, JCIH 2019, Hearing Health Foundation). Any team can rebuild the app in three months; a clinically-curated, expert-signed knowledge base cannot be rebuilt that fast.</w:t>
      </w:r>
    </w:p>
    <w:p>
      <w:pPr>
        <w:pStyle w:val="Heading1"/>
        <w:spacing w:after="160" w:before="340"/>
      </w:pPr>
      <w:r>
        <w:rPr>
          <w:color w:val="1F2937"/>
        </w:rPr>
        <w:t xml:space="preserve">K. Team &amp;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0"/>
      </w:tblGrid>
      <w:tr>
        <w:trPr>
          <w:cantSplit/>
          <w:tblHeader/>
        </w:trPr>
        <w:tc>
          <w:tcPr>
            <w:tcW w:type="dxa" w:w="6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Domain framing, clinical/scientific grounding, knowledge-base curation, product narrative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Ayesha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Clinical grounding, research validation, evidence base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Sami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Application build: agent pipeline, STT integration, case memory, web interface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NextaSol (Amaan)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Security architecture, data protection, audit and access control</w:t>
            </w:r>
          </w:p>
        </w:tc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NextaSol (Akasha)</w:t>
            </w:r>
          </w:p>
        </w:tc>
      </w:tr>
    </w:tbl>
    <w:p>
      <w:pPr>
        <w:pStyle w:val="Heading1"/>
        <w:spacing w:after="160" w:before="340"/>
      </w:pPr>
      <w:r>
        <w:rPr>
          <w:color w:val="1F2937"/>
        </w:rPr>
        <w:t xml:space="preserve">L.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rPr>
          <w:cantSplit/>
          <w:tblHeader/>
        </w:trP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7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Hackathon/MVP: 2 domains (Speech/Language + Hearing), ages 0–6, voice+text, adaptive follow-up, confidence-graded flag, case memory, referral loop, safeguarding routing, security baseline. Currently code-complete, pending real-LLM verification and clinical sign-off on the corrected knowledge base.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7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Depth: add DSED/RAD (the moat), vision, autism, ADHD; extend to ages 6–12; three-agent architecture split; photo input.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7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Validated pilot: ethics approval, consent/safeguarding protocol, one named institution (Alkhidmat Aghosh primary target), 100–300 children, sensitivity/specificity study, publication.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7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Commercial: multi-tenant SaaS, RBAC at institution level, donor/compliance dashboards, offline mode, formal referral-partner network, DRAP pathway confirmed.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7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Expansion: community clinics/LHW programmes, schools, Gulf/South Asia/Africa export, lab/blood-screening integration.</w:t>
            </w:r>
          </w:p>
        </w:tc>
      </w:tr>
    </w:tbl>
    <w:p>
      <w:pPr>
        <w:pStyle w:val="Heading1"/>
        <w:spacing w:after="160" w:before="340"/>
      </w:pPr>
      <w:r>
        <w:rPr>
          <w:color w:val="1F2937"/>
        </w:rPr>
        <w:t xml:space="preserve">M. Competitive Landscape (Why Nothing Else Fits This Use Case)</w:t>
      </w:r>
    </w:p>
    <w:p>
      <w:pPr>
        <w:spacing w:after="160"/>
      </w:pPr>
      <w:r>
        <w:rPr>
          <w:sz w:val="21"/>
          <w:szCs w:val="21"/>
        </w:rPr>
        <w:t xml:space="preserve">Every existing tool (ASQ-3, M-CHAT-R/F, Canvas Dx, Gabify/Neurolens, INDIGO/MDAT, Primero/CPIMS+) assumes either a trained professional administers it, or the user already knows the child well over time. None is built for an untrained caretaker meeting a rotating group of children with no shared history — the exact daily condition of institutional caretaking. Gabify (India) is the closest competitor and is moving toward institutional deployments — treat as a live threat, not a distant one.</w:t>
      </w:r>
    </w:p>
    <w:p>
      <w:pPr>
        <w:pStyle w:val="Heading1"/>
        <w:spacing w:after="160" w:before="340"/>
      </w:pPr>
      <w:r>
        <w:rPr>
          <w:color w:val="1F2937"/>
        </w:rPr>
        <w:t xml:space="preserve">N. Key Open Decisions (Business, Not Engineering)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Engagement structure with Ayesha/Sami — paid contract work vs. milestone-vested equity vs. joint venture vs. licensing.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IP assignment — to a single jointly-owned entity, never personal joint ownership, with a written interim note before further co-development.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Hosting and data residency — not yet decided.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Clinical sign-off from Ayesha/Sami on the scientific corrections made to the v1 knowledge base (currently "best available, not clinically approved").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R14/T6 grading tension (OME pattern: rules compute HIGH, dataset expects MODERATE) — a clinical judgement call, deliberately left unresolved in code pending their decision.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2026-09-09T11:08:06.690Z</dcterms:created>
  <dcterms:modified xsi:type="dcterms:W3CDTF">2026-09-09T11:08:06.700Z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