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line="360"/>
      </w:pPr>
      <w:r>
        <w:rPr>
          <w:rFonts w:ascii="Times New Roman" w:cs="Times New Roman" w:eastAsia="Times New Roman" w:hAnsi="Times New Roman"/>
          <w:b/>
          <w:bCs/>
          <w:color w:val="000000"/>
          <w:sz w:val="30"/>
          <w:szCs w:val="30"/>
        </w:rPr>
        <w:t xml:space="preserve">Abstract</w:t>
      </w:r>
    </w:p>
    <w:p>
      <w:pPr>
        <w:spacing w:after="160" w:line="360"/>
        <w:jc w:val="both"/>
      </w:pPr>
      <w:r>
        <w:rPr>
          <w:rFonts w:ascii="Times New Roman" w:cs="Times New Roman" w:eastAsia="Times New Roman" w:hAnsi="Times New Roman"/>
          <w:sz w:val="24"/>
          <w:szCs w:val="24"/>
        </w:rPr>
        <w:t xml:space="preserve">This report presents two complementary components submitted for the module Advanced Robotics Automation and Computer Vision. The first component develops a deep learning based vision module for crop health monitoring, trained on the PlantVillage dataset and adapted with augmentation intended to approximate the imaging conditions of drone captured aerial photography, including variable lighting, motion blur and scale change. A MobileNetV2 backbone, pretrained on ImageNet and fine tuned on the disease classification task, was selected for its comparatively low parameter count relative to standard convolutional architectures, supporting the eventual goal of onboard inference on embedded drone hardware.</w:t>
      </w:r>
    </w:p>
    <w:p>
      <w:pPr>
        <w:spacing w:after="160" w:line="360"/>
        <w:jc w:val="both"/>
      </w:pPr>
      <w:r>
        <w:rPr>
          <w:rFonts w:ascii="Times New Roman" w:cs="Times New Roman" w:eastAsia="Times New Roman" w:hAnsi="Times New Roman"/>
          <w:sz w:val="24"/>
          <w:szCs w:val="24"/>
        </w:rPr>
        <w:t xml:space="preserve">The second component implements a vision guided navigation system for a simulated TurtleBot3 robot within TheConstruct.ai, using ROS. An RGB camera feed is processed with OpenCV based HSV colour thresholding to detect a coloured marker, from which the horizontal offset of the marker's centroid is computed and published for use by a separate rule based navigation controller, which rotates the robot to search when no marker is visible, turns toward the marker when it is off centre, and drives forward when the marker is centred, subject to enforced velocity limits.</w:t>
      </w:r>
    </w:p>
    <w:p>
      <w:pPr>
        <w:spacing w:after="160" w:line="360"/>
        <w:jc w:val="both"/>
      </w:pPr>
      <w:r>
        <w:rPr>
          <w:rFonts w:ascii="Times New Roman" w:cs="Times New Roman" w:eastAsia="Times New Roman" w:hAnsi="Times New Roman"/>
          <w:sz w:val="24"/>
          <w:szCs w:val="24"/>
        </w:rPr>
        <w:t xml:space="preserve">[PLACEHOLDER: once both components have been run, add two to three sentences here summarising the key quantitative findings, specifically the final validation accuracy and macro F1 score obtained for Task 1, and a brief statement of the navigation behaviour observed for Task 2. The abstract should be the last section finalised, once results from both tasks are known.] Together, the two components demonstrate the application of convolutional neural network based perception to two distinct robotic contexts, aerial crop monitoring and ground based indoor navigation, and illustrate how cloud enabled simulation platforms, Google Colab and TheConstruct.ai, allow such systems to be developed, trained and tested without dependency on physical drone or robot hardware during the development phase.</w:t>
      </w:r>
    </w:p>
    <w:p>
      <w:pPr>
        <w:pStyle w:val="Heading1"/>
        <w:spacing w:after="200" w:before="360" w:line="360"/>
      </w:pPr>
      <w:r>
        <w:rPr>
          <w:rFonts w:ascii="Times New Roman" w:cs="Times New Roman" w:eastAsia="Times New Roman" w:hAnsi="Times New Roman"/>
          <w:b/>
          <w:bCs/>
          <w:color w:val="000000"/>
          <w:sz w:val="30"/>
          <w:szCs w:val="30"/>
        </w:rPr>
        <w:t xml:space="preserve">Introduction</w:t>
      </w:r>
    </w:p>
    <w:p>
      <w:pPr>
        <w:spacing w:after="160" w:line="360"/>
        <w:jc w:val="both"/>
      </w:pPr>
      <w:r>
        <w:rPr>
          <w:rFonts w:ascii="Times New Roman" w:cs="Times New Roman" w:eastAsia="Times New Roman" w:hAnsi="Times New Roman"/>
          <w:sz w:val="24"/>
          <w:szCs w:val="24"/>
        </w:rPr>
        <w:t xml:space="preserve">Robotic vision systems increasingly underpin two areas of practical importance: precision agriculture, where early and automated detection of crop disease can materially affect yield and food security, and autonomous mobile robotics, where a robot's ability to interpret its visual surroundings determines its capacity to navigate and act without constant human supervision. This assignment addresses both areas through two linked tasks completed within the same module and reported together in a single document.</w:t>
      </w:r>
    </w:p>
    <w:p>
      <w:pPr>
        <w:spacing w:after="160" w:line="360"/>
        <w:jc w:val="both"/>
      </w:pPr>
      <w:r>
        <w:rPr>
          <w:rFonts w:ascii="Times New Roman" w:cs="Times New Roman" w:eastAsia="Times New Roman" w:hAnsi="Times New Roman"/>
          <w:sz w:val="24"/>
          <w:szCs w:val="24"/>
        </w:rPr>
        <w:t xml:space="preserve">Task 1 develops a drone oriented plant disease classification system. Robotic drones equipped with cameras are increasingly used to survey large agricultural fields, and the role of computer vision in this setting is to convert raw aerial imagery into an actionable assessment of crop health, ideally with enough computational efficiency to run on the drone itself rather than requiring a continuous connection to a remote server. Task 2 develops a vision guided navigation system for a simulated ground robot, in which a mobile platform must interpret its camera feed to locate a target and adjust its own movement accordingly, a foundational capability for autonomous indoor robotics.</w:t>
      </w:r>
    </w:p>
    <w:p>
      <w:pPr>
        <w:spacing w:after="160" w:line="360"/>
        <w:jc w:val="both"/>
      </w:pPr>
      <w:r>
        <w:rPr>
          <w:rFonts w:ascii="Times New Roman" w:cs="Times New Roman" w:eastAsia="Times New Roman" w:hAnsi="Times New Roman"/>
          <w:sz w:val="24"/>
          <w:szCs w:val="24"/>
        </w:rPr>
        <w:t xml:space="preserve">Although the two tasks operate in different physical contexts, aerial and ground based, both rely on the same underlying principle: converting pixel level image data into a decision that a robotic system can act on, under practical constraints of computational cost. Task 1 is additionally aligned with United Nations Sustainable Development Goal 2, Zero Hunger, which identifies early and scalable crop disease detection as a contributor to global food security. The two tasks are reported here as a single document rather than as two separate submissions because they were completed under one assignment brief covering both, sharing a common module context, a common cloud based simulation and development approach, and a common underlying design principle, converting camera input into a robotic decision, which is best discussed comparatively rather than in isolation. Section 5 returns to this comparison directly once both tasks have been presented in full.</w:t>
      </w:r>
    </w:p>
    <w:p>
      <w:pPr>
        <w:pStyle w:val="Heading1"/>
        <w:spacing w:after="200" w:before="360" w:line="360"/>
      </w:pPr>
      <w:r>
        <w:rPr>
          <w:rFonts w:ascii="Times New Roman" w:cs="Times New Roman" w:eastAsia="Times New Roman" w:hAnsi="Times New Roman"/>
          <w:b/>
          <w:bCs/>
          <w:color w:val="000000"/>
          <w:sz w:val="30"/>
          <w:szCs w:val="30"/>
        </w:rPr>
        <w:t xml:space="preserve">Task 1 – Autonomous Drone-Based Vision System for Crop Health Monitoring and Disease Classification</w:t>
      </w:r>
    </w:p>
    <w:p>
      <w:pPr>
        <w:pStyle w:val="Heading2"/>
        <w:spacing w:after="160" w:before="280" w:line="360"/>
      </w:pPr>
      <w:r>
        <w:rPr>
          <w:rFonts w:ascii="Times New Roman" w:cs="Times New Roman" w:eastAsia="Times New Roman" w:hAnsi="Times New Roman"/>
          <w:b/>
          <w:bCs/>
          <w:color w:val="000000"/>
          <w:sz w:val="26"/>
          <w:szCs w:val="26"/>
        </w:rPr>
        <w:t xml:space="preserve">3.1 Project Definition</w:t>
      </w:r>
    </w:p>
    <w:p>
      <w:pPr>
        <w:spacing w:after="160" w:line="360"/>
        <w:jc w:val="both"/>
      </w:pPr>
      <w:r>
        <w:rPr>
          <w:rFonts w:ascii="Times New Roman" w:cs="Times New Roman" w:eastAsia="Times New Roman" w:hAnsi="Times New Roman"/>
          <w:sz w:val="24"/>
          <w:szCs w:val="24"/>
        </w:rPr>
        <w:t xml:space="preserve">The problem addressed by Task 1 is the automated classification of plant leaf images into healthy or diseased categories, adapted to reflect the imaging conditions encountered by a camera mounted on an agricultural survey drone rather than a handheld camera used at close range. The objective is to build and evaluate a convolutional neural network capable of this classification while remaining lightweight enough to be considered for deployment on embedded hardware carried by the drone itself, such as a Jetson Nano, rather than requiring imagery to be transmitted to a remote server for processing.</w:t>
      </w:r>
    </w:p>
    <w:p>
      <w:pPr>
        <w:spacing w:after="160" w:line="360"/>
        <w:jc w:val="both"/>
      </w:pPr>
      <w:r>
        <w:rPr>
          <w:rFonts w:ascii="Times New Roman" w:cs="Times New Roman" w:eastAsia="Times New Roman" w:hAnsi="Times New Roman"/>
          <w:sz w:val="24"/>
          <w:szCs w:val="24"/>
        </w:rPr>
        <w:t xml:space="preserve">The scenario assumed throughout this task is a precision agriculture survey in which a fixed wing or multirotor drone flies a defined route over a field at low altitude, capturing RGB imagery at intervals. The AI vision module's role within this scenario is to flag regions of the field showing signs of disease, so that a grower can prioritise manual inspection or targeted treatment rather than inspecting the entire field by hand. The environment is therefore an outdoor agricultural field of variable size, and the object of interest is the crop canopy itself, viewed from above rather than at eye level.</w:t>
      </w:r>
    </w:p>
    <w:p>
      <w:pPr>
        <w:pStyle w:val="Heading2"/>
        <w:spacing w:after="160" w:before="280" w:line="360"/>
      </w:pPr>
      <w:r>
        <w:rPr>
          <w:rFonts w:ascii="Times New Roman" w:cs="Times New Roman" w:eastAsia="Times New Roman" w:hAnsi="Times New Roman"/>
          <w:b/>
          <w:bCs/>
          <w:color w:val="000000"/>
          <w:sz w:val="26"/>
          <w:szCs w:val="26"/>
        </w:rPr>
        <w:t xml:space="preserve">3.2 Design and Implementation</w:t>
      </w:r>
    </w:p>
    <w:p>
      <w:pPr>
        <w:spacing w:after="160" w:line="360"/>
        <w:jc w:val="both"/>
      </w:pPr>
      <w:r>
        <w:rPr>
          <w:rFonts w:ascii="Times New Roman" w:cs="Times New Roman" w:eastAsia="Times New Roman" w:hAnsi="Times New Roman"/>
          <w:sz w:val="24"/>
          <w:szCs w:val="24"/>
        </w:rPr>
        <w:t xml:space="preserve">The PlantVillage dataset was used, accessed through the Hugging Face datasets library at mohanty/PlantVillage using the color configuration, which mirrors the original repository maintained at github.com/spMohanty/PlantVillage-Dataset. The dataset consists of tens of thousands of labelled leaf images spanning multiple crop species and disease categories, plus a healthy class per species, and is widely used as a baseline in plant pathology research (Mohanty, Hughes and Salathe, 2016).</w:t>
      </w:r>
    </w:p>
    <w:p>
      <w:pPr>
        <w:spacing w:after="160" w:line="360"/>
        <w:jc w:val="both"/>
      </w:pPr>
      <w:r>
        <w:rPr>
          <w:rFonts w:ascii="Times New Roman" w:cs="Times New Roman" w:eastAsia="Times New Roman" w:hAnsi="Times New Roman"/>
          <w:sz w:val="24"/>
          <w:szCs w:val="24"/>
        </w:rPr>
        <w:t xml:space="preserve">Class counts were inspected prior to splitting, since PlantVillage is not perfectly balanced across classes; some disease categories are represented by substantially fewer images than the most common classes. A stratified split was used to divide the data into training and validation subsets, with twenty percent of the data held out for validation, so that both subsets preserve the same approximate class proportions as the full dataset.</w:t>
      </w:r>
    </w:p>
    <w:p>
      <w:pPr>
        <w:spacing w:after="160" w:line="360"/>
        <w:jc w:val="both"/>
      </w:pPr>
      <w:r>
        <w:rPr>
          <w:rFonts w:ascii="Times New Roman" w:cs="Times New Roman" w:eastAsia="Times New Roman" w:hAnsi="Times New Roman"/>
          <w:sz w:val="24"/>
          <w:szCs w:val="24"/>
        </w:rPr>
        <w:t xml:space="preserve">Preprocessing consisted of resizing all images to a standard 224 by 224 input resolution and normalising pixel values using the mean and standard deviation associated with the ImageNet dataset, consistent with the pretrained MobileNetV2 weights used as the starting point for training. Augmentation applied only to the training subset combined random rotation, random affine translation and scaling, colour jitter in brightness, contrast and saturation, mild Gaussian blur, random perspective distortion and horizontal flipping. These transformations were selected specifically to approximate conditions associated with aerial capture: rotation and perspective distortion approximate viewpoint variation from a moving drone, blur approximates motion and vibration during flight, and colour jitter approximates the wider range of outdoor lighting a drone encounters relative to the more controlled conditions of the original photography.</w:t>
      </w:r>
    </w:p>
    <w:p>
      <w:pPr>
        <w:spacing w:after="160" w:line="360"/>
        <w:jc w:val="both"/>
      </w:pPr>
      <w:r>
        <w:rPr>
          <w:rFonts w:ascii="Times New Roman" w:cs="Times New Roman" w:eastAsia="Times New Roman" w:hAnsi="Times New Roman"/>
          <w:sz w:val="24"/>
          <w:szCs w:val="24"/>
        </w:rPr>
        <w:t xml:space="preserve">MobileNetV2 was selected as the classification backbone, pretrained on ImageNet and fine tuned on PlantVillage, with the original one thousand class output layer replaced by a linear layer matching the number of PlantVillage classes. MobileNetV2's defining architectural feature is the inverted residual block with linear bottlenecks, which uses depthwise separable convolutions to substantially reduce the number of parameters and multiply accumulate operations relative to standard convolutional architectures of comparable depth (Sandler et al., 2018). This choice is justified directly by the deployment scenario: a drone carrying its own inference hardware has tight constraints on compute, memory and power draw, and a classifier with a large parameter count is either infeasible to run onboard in real time or forces reliance on a continuous data link to offboard compute, which is not always available in field conditions. Pal et al. (2025) demonstrate that MobileNet family architectures can retain accuracy above 99 percent on PlantVillage while remaining small enough for realistic edge deployment, which supports this design choice directly.</w:t>
      </w:r>
    </w:p>
    <w:p>
      <w:pPr>
        <w:spacing w:after="160" w:line="360"/>
        <w:jc w:val="both"/>
      </w:pPr>
      <w:r>
        <w:rPr>
          <w:rFonts w:ascii="Times New Roman" w:cs="Times New Roman" w:eastAsia="Times New Roman" w:hAnsi="Times New Roman"/>
          <w:sz w:val="24"/>
          <w:szCs w:val="24"/>
        </w:rPr>
        <w:t xml:space="preserve">The implementation follows a modular architecture rather than a single monolithic script, split into distinct components: a configuration module defining all hyperparameters in one place; a data module handling dataset loading, the augmentation pipeline, and DataLoader construction; a model module constructing the MobileNetV2 classifier and handling checkpoint loading; a training module implementing the fine tuning loop with cross entropy loss, the Adam optimiser, and a learning rate scheduler that reduces the learning rate when validation loss plateaus; an evaluation module computing accuracy, macro precision, recall, F1 score and the confusion matrix; an inference module for single image and batch prediction; and a plotting module generating all report figures. This separation allows the same underlying logic to be executed identically from a command line entry point in a local development environment or from a notebook in Google Colab, and allows individual components, for example the augmentation pipeline or the model architecture, to be verified independently before being run as part of the full training pipeline.</w:t>
      </w:r>
    </w:p>
    <w:p>
      <w:pPr>
        <w:pStyle w:val="Heading2"/>
        <w:spacing w:after="160" w:before="280" w:line="360"/>
      </w:pPr>
      <w:r>
        <w:rPr>
          <w:rFonts w:ascii="Times New Roman" w:cs="Times New Roman" w:eastAsia="Times New Roman" w:hAnsi="Times New Roman"/>
          <w:b/>
          <w:bCs/>
          <w:color w:val="000000"/>
          <w:sz w:val="26"/>
          <w:szCs w:val="26"/>
        </w:rPr>
        <w:t xml:space="preserve">3.3 Execution and Testing</w:t>
      </w:r>
    </w:p>
    <w:p>
      <w:pPr>
        <w:spacing w:after="160" w:line="360"/>
        <w:jc w:val="both"/>
      </w:pPr>
      <w:r>
        <w:rPr>
          <w:rFonts w:ascii="Times New Roman" w:cs="Times New Roman" w:eastAsia="Times New Roman" w:hAnsi="Times New Roman"/>
          <w:i/>
          <w:iCs/>
          <w:color w:val="990000"/>
          <w:sz w:val="24"/>
          <w:szCs w:val="24"/>
        </w:rPr>
        <w:t xml:space="preserve">[PLACEHOLDER: insert the public Colab notebook link here, shared with "Anyone with the link can view" access enabled, once the notebook has been run.]</w:t>
      </w:r>
    </w:p>
    <w:p>
      <w:pPr>
        <w:spacing w:after="160" w:line="360"/>
        <w:jc w:val="both"/>
      </w:pPr>
      <w:r>
        <w:rPr>
          <w:rFonts w:ascii="Times New Roman" w:cs="Times New Roman" w:eastAsia="Times New Roman" w:hAnsi="Times New Roman"/>
          <w:sz w:val="24"/>
          <w:szCs w:val="24"/>
        </w:rPr>
        <w:t xml:space="preserve">Colab notebook link: [INSERT LINK]</w:t>
      </w:r>
    </w:p>
    <w:p>
      <w:pPr>
        <w:spacing w:after="160" w:line="360"/>
        <w:jc w:val="both"/>
      </w:pPr>
      <w:r>
        <w:rPr>
          <w:rFonts w:ascii="Times New Roman" w:cs="Times New Roman" w:eastAsia="Times New Roman" w:hAnsi="Times New Roman"/>
          <w:sz w:val="24"/>
          <w:szCs w:val="24"/>
        </w:rPr>
        <w:t xml:space="preserve">The notebook (or the equivalent command line entry point, main.py, for local execution) performs the following sequence, executed identically regardless of environment: package installation, dataset loading and inspection, class distribution plotting, construction of the augmented training pipeline and clean validation pipeline, DataLoader construction, model instantiation and parameter counting, fine tuning across a configured number of epochs with per epoch training and validation loss and accuracy logged, evaluation on the held out validation set producing accuracy, macro precision, recall and F1 score and a confusion matrix, generation of a random sample inference grid, and finally checkpoint saving alongside a machine readable results summary file.</w:t>
      </w:r>
    </w:p>
    <w:p>
      <w:pPr>
        <w:spacing w:after="160" w:line="360"/>
        <w:jc w:val="both"/>
      </w:pPr>
      <w:r>
        <w:rPr>
          <w:rFonts w:ascii="Times New Roman" w:cs="Times New Roman" w:eastAsia="Times New Roman" w:hAnsi="Times New Roman"/>
          <w:i/>
          <w:iCs/>
          <w:color w:val="990000"/>
          <w:sz w:val="24"/>
          <w:szCs w:val="24"/>
        </w:rPr>
        <w:t xml:space="preserve">[PLACEHOLDER: state the number of epochs actually run, the batch size used, total training time observed, and whether the free or paid Colab GPU tier was used, or whether the run was performed locally instead.]</w:t>
      </w:r>
    </w:p>
    <w:p>
      <w:pPr>
        <w:spacing w:after="160" w:line="360"/>
        <w:jc w:val="both"/>
      </w:pPr>
      <w:r>
        <w:rPr>
          <w:rFonts w:ascii="Times New Roman" w:cs="Times New Roman" w:eastAsia="Times New Roman" w:hAnsi="Times New Roman"/>
          <w:i/>
          <w:iCs/>
          <w:color w:val="990000"/>
          <w:sz w:val="24"/>
          <w:szCs w:val="24"/>
        </w:rPr>
        <w:t xml:space="preserve">[PLACEHOLDER: insert the following screenshots or figures generated by the pipeline: the class distribution bar chart, a grid of augmented training samples with their labels, the training and validation loss and accuracy curves, the confusion matrix, and a grid of inference results on randomly selected validation images showing predicted label, true label and model confidence.]</w:t>
      </w:r>
    </w:p>
    <w:p>
      <w:pPr>
        <w:pStyle w:val="Heading2"/>
        <w:spacing w:after="160" w:before="280" w:line="360"/>
      </w:pPr>
      <w:r>
        <w:rPr>
          <w:rFonts w:ascii="Times New Roman" w:cs="Times New Roman" w:eastAsia="Times New Roman" w:hAnsi="Times New Roman"/>
          <w:b/>
          <w:bCs/>
          <w:color w:val="000000"/>
          <w:sz w:val="26"/>
          <w:szCs w:val="26"/>
        </w:rPr>
        <w:t xml:space="preserve">3.4 Evaluation and Reflection</w:t>
      </w:r>
    </w:p>
    <w:p>
      <w:pPr>
        <w:spacing w:after="160" w:line="360"/>
        <w:jc w:val="both"/>
      </w:pPr>
      <w:r>
        <w:rPr>
          <w:rFonts w:ascii="Times New Roman" w:cs="Times New Roman" w:eastAsia="Times New Roman" w:hAnsi="Times New Roman"/>
          <w:i/>
          <w:iCs/>
          <w:color w:val="990000"/>
          <w:sz w:val="24"/>
          <w:szCs w:val="24"/>
        </w:rPr>
        <w:t xml:space="preserve">[PLACEHOLDER: insert the final validation accuracy, macro precision, macro recall and macro F1 score reported in results_summary.json once the pipeline has been run. State whether the gap between training and validation performance in the training curves suggests overfitting. Identify, from the confusion matrix and the top confusions reported by the evaluation module, which specific classes are most frequently confused with one another, and offer a brief interpretation, for example whether confused classes correspond to visually similar diseases on related crop species.]</w:t>
      </w:r>
    </w:p>
    <w:p>
      <w:pPr>
        <w:spacing w:after="160" w:line="360"/>
        <w:jc w:val="both"/>
      </w:pPr>
      <w:r>
        <w:rPr>
          <w:rFonts w:ascii="Times New Roman" w:cs="Times New Roman" w:eastAsia="Times New Roman" w:hAnsi="Times New Roman"/>
          <w:sz w:val="24"/>
          <w:szCs w:val="24"/>
        </w:rPr>
        <w:t xml:space="preserve">Independently of the specific numerical results, two design level limitations are identified here. First, the aerial imaging conditions targeted by this task are simulated through augmentation of ground level, close range photographs, rather than sourced from genuine drone captured imagery. Augmentation of this kind is a reasonable and commonly used proxy where genuine aerial training data is not available, but it does not reproduce every characteristic of true UAV imagery, for example the systematic scale relationship between altitude and object size, or genuine motion blur arising from vehicle dynamics rather than a synthetic blur kernel. Publicly available UAV specific datasets, such as the Bacterial Leaf Blight rice dataset and Cercospora Leaf Spot beet dataset referenced in UAV based crop disease literature, or the Avo-DB and CoFly datasets catalogued in reviews of AI enabled UAV systems (arXiv, 2023), represent a more direct path to closing this domain gap and are identified here as a concrete direction for future work beyond the scope of this assignment.</w:t>
      </w:r>
    </w:p>
    <w:p>
      <w:pPr>
        <w:spacing w:after="160" w:line="360"/>
        <w:jc w:val="both"/>
      </w:pPr>
      <w:r>
        <w:rPr>
          <w:rFonts w:ascii="Times New Roman" w:cs="Times New Roman" w:eastAsia="Times New Roman" w:hAnsi="Times New Roman"/>
          <w:sz w:val="24"/>
          <w:szCs w:val="24"/>
        </w:rPr>
        <w:t xml:space="preserve">Second, class imbalance in the PlantVillage dataset means that, without further intervention such as class weighted loss or targeted oversampling of underrepresented classes, the classifier risks weaker performance on rarer disease categories specifically, which is also where correct detection may matter most, since rare diseases are precisely the ones a grower is least likely to recognise unaided. With respect to real world deployment, the MobileNetV2 based design is consistent with the stated goal of onboard, low power inference; a realistic path to field deployment would additionally require converting the trained model to a lighter runtime format such as TensorFlow Lite or ONNX, integrating GPS metadata so that detected disease locations can be mapped back onto the field being surveyed, and validating the model against genuine UAV imagery before any operational reliance on its predictions.</w:t>
      </w:r>
    </w:p>
    <w:p>
      <w:pPr>
        <w:pStyle w:val="Heading1"/>
        <w:spacing w:after="200" w:before="360" w:line="360"/>
      </w:pPr>
      <w:r>
        <w:rPr>
          <w:rFonts w:ascii="Times New Roman" w:cs="Times New Roman" w:eastAsia="Times New Roman" w:hAnsi="Times New Roman"/>
          <w:b/>
          <w:bCs/>
          <w:color w:val="000000"/>
          <w:sz w:val="30"/>
          <w:szCs w:val="30"/>
        </w:rPr>
        <w:t xml:space="preserve">Task 2 – Vision-Guided Autonomous Navigation in ROS (TheConstruct.ai)</w:t>
      </w:r>
    </w:p>
    <w:p>
      <w:pPr>
        <w:pStyle w:val="Heading2"/>
        <w:spacing w:after="160" w:before="280" w:line="360"/>
      </w:pPr>
      <w:r>
        <w:rPr>
          <w:rFonts w:ascii="Times New Roman" w:cs="Times New Roman" w:eastAsia="Times New Roman" w:hAnsi="Times New Roman"/>
          <w:b/>
          <w:bCs/>
          <w:color w:val="000000"/>
          <w:sz w:val="26"/>
          <w:szCs w:val="26"/>
        </w:rPr>
        <w:t xml:space="preserve">4.1 Project Definition</w:t>
      </w:r>
    </w:p>
    <w:p>
      <w:pPr>
        <w:spacing w:after="160" w:line="360"/>
        <w:jc w:val="both"/>
      </w:pPr>
      <w:r>
        <w:rPr>
          <w:rFonts w:ascii="Times New Roman" w:cs="Times New Roman" w:eastAsia="Times New Roman" w:hAnsi="Times New Roman"/>
          <w:sz w:val="24"/>
          <w:szCs w:val="24"/>
        </w:rPr>
        <w:t xml:space="preserve">Task 2 addresses vision guided navigation for a simulated TurtleBot3 mobile robot within TheConstruct.ai, using ROS. The objective is to enable the robot to detect a coloured marker placed within its simulated environment using its onboard RGB camera, and to autonomously navigate toward that marker using simple, interpretable vision based rules rather than a learned control policy.</w:t>
      </w:r>
    </w:p>
    <w:p>
      <w:pPr>
        <w:spacing w:after="160" w:line="360"/>
        <w:jc w:val="both"/>
      </w:pPr>
      <w:r>
        <w:rPr>
          <w:rFonts w:ascii="Times New Roman" w:cs="Times New Roman" w:eastAsia="Times New Roman" w:hAnsi="Times New Roman"/>
          <w:sz w:val="24"/>
          <w:szCs w:val="24"/>
        </w:rPr>
        <w:t xml:space="preserve">The simulation environment is a small, predefined Gazebo world provided by TheConstruct.ai's TurtleBot3 simulation, into which a coloured marker, for example a cylinder or box primitive, is placed at varying positions across test trials. The TurtleBot3 platform is a differential drive robot equipped with an RGB camera publishing to a standard ROS image topic, here assumed to be /camera/rgb/image_raw, and accepting velocity commands as geometry_msgs/Twist messages on /cmd_vel.</w:t>
      </w:r>
    </w:p>
    <w:p>
      <w:pPr>
        <w:pStyle w:val="Heading2"/>
        <w:spacing w:after="160" w:before="280" w:line="360"/>
      </w:pPr>
      <w:r>
        <w:rPr>
          <w:rFonts w:ascii="Times New Roman" w:cs="Times New Roman" w:eastAsia="Times New Roman" w:hAnsi="Times New Roman"/>
          <w:b/>
          <w:bCs/>
          <w:color w:val="000000"/>
          <w:sz w:val="26"/>
          <w:szCs w:val="26"/>
        </w:rPr>
        <w:t xml:space="preserve">4.2 Design and Implementation</w:t>
      </w:r>
    </w:p>
    <w:p>
      <w:pPr>
        <w:spacing w:after="160" w:line="360"/>
        <w:jc w:val="both"/>
      </w:pPr>
      <w:r>
        <w:rPr>
          <w:rFonts w:ascii="Times New Roman" w:cs="Times New Roman" w:eastAsia="Times New Roman" w:hAnsi="Times New Roman"/>
          <w:sz w:val="24"/>
          <w:szCs w:val="24"/>
        </w:rPr>
        <w:t xml:space="preserve">The system is structured as two ROS nodes connected by two lightweight topics, following the standard ROS design principle of separating perception from control so that each stage can be tested and reasoned about independently. Both nodes are themselves thin wrappers around plain Python modules containing no ROS dependency, so that the actual detection and control algorithms can be developed and verified outside of a running ROS session before being deployed against the simulator.</w:t>
      </w:r>
    </w:p>
    <w:p>
      <w:pPr>
        <w:spacing w:after="160" w:line="360"/>
        <w:jc w:val="both"/>
      </w:pPr>
      <w:r>
        <w:rPr>
          <w:rFonts w:ascii="Times New Roman" w:cs="Times New Roman" w:eastAsia="Times New Roman" w:hAnsi="Times New Roman"/>
          <w:sz w:val="24"/>
          <w:szCs w:val="24"/>
        </w:rPr>
        <w:t xml:space="preserve">The perception logic, contained in vision_core.py and wrapped by the ROS node vision_detector.py, subscribes to the camera image topic and converts each incoming frame to an OpenCV image using cv_bridge. The frame is converted to HSV colour space, since HSV separates colour, hue, from brightness, value, which makes thresholding considerably more robust to lighting variation than thresholding directly in RGB space. A binary mask isolating pixels within the target colour range is computed, cleaned using morphological opening and closing operations to remove small noise regions, and the largest resulting contour is taken as the detected marker, subject to a minimum area threshold that filters out small spurious colour matches. The centroid of this contour is computed from its image moments, and the horizontal offset of the centroid from the frame's vertical centre line is normalised to the range minus one to one and published on the topic /target_offset, alongside a boolean visibility flag published on /target_visible. An annotated debug image, showing the detected contour, centroid and frame centre line, is additionally published for inspection in rqt_image_view during testing.</w:t>
      </w:r>
    </w:p>
    <w:p>
      <w:pPr>
        <w:spacing w:after="160" w:line="360"/>
        <w:jc w:val="both"/>
      </w:pPr>
      <w:r>
        <w:rPr>
          <w:rFonts w:ascii="Times New Roman" w:cs="Times New Roman" w:eastAsia="Times New Roman" w:hAnsi="Times New Roman"/>
          <w:sz w:val="24"/>
          <w:szCs w:val="24"/>
        </w:rPr>
        <w:t xml:space="preserve">The navigation logic, contained in control_core.py and wrapped by the ROS node navigation_controller.py, subscribes to both of these topics and implements the required rule based control logic. If no marker is currently visible, the robot rotates slowly in place to search its surroundings. If the marker is visible and its offset magnitude exceeds a fixed centring threshold, the robot rotates toward the marker, with the turn rate scaled proportionally to the offset magnitude and clamped to a maximum angular velocity. If the marker is visible and sufficiently close to centred, the robot drives forward at a fixed, capped linear speed. A watchdog check stops the robot if no perception message has been received recently, guarding against the robot continuing to act on stale data if the perception node stops publishing.</w:t>
      </w:r>
    </w:p>
    <w:p>
      <w:pPr>
        <w:spacing w:after="160" w:line="360"/>
        <w:jc w:val="both"/>
      </w:pPr>
      <w:r>
        <w:rPr>
          <w:rFonts w:ascii="Times New Roman" w:cs="Times New Roman" w:eastAsia="Times New Roman" w:hAnsi="Times New Roman"/>
          <w:sz w:val="24"/>
          <w:szCs w:val="24"/>
        </w:rPr>
        <w:t xml:space="preserve">The ROSject is organised as a single catkin package, turtlebot3_vision_nav, containing a scripts directory with the four Python modules described above, a launch directory containing a single combined launch file, and the standard CMakeLists.txt and package.xml files declaring the package's dependencies on rospy, sensor_msgs, geometry_msgs, std_msgs, cv_bridge and image_transport. The launch file sets the TURTLEBOT3_MODEL environment variable required by the TurtleBot3 simulation packages, includes the standard turtlebot3_gazebo world launch file to bring up the simulated environment, and starts both the perception and navigation nodes as part of the same launch invocation, so that the entire system can be brought up from TheConstruct.ai's web IDE with a single roslaunch command.</w:t>
      </w:r>
    </w:p>
    <w:p>
      <w:pPr>
        <w:spacing w:after="160" w:line="360"/>
        <w:jc w:val="both"/>
      </w:pPr>
      <w:r>
        <w:rPr>
          <w:rFonts w:ascii="Times New Roman" w:cs="Times New Roman" w:eastAsia="Times New Roman" w:hAnsi="Times New Roman"/>
          <w:sz w:val="24"/>
          <w:szCs w:val="24"/>
        </w:rPr>
        <w:t xml:space="preserve">Colour based object detection of the kind used here is a widely used and pedagogically standard technique for introducing perception driven robot control, precisely because it is computationally cheap, does not require a trained model, and produces behaviour that is straightforward to reason about and debug. This pattern is documented in TheConstruct.ai's own TurtleBot3 course materials and in academic laboratory materials such as the ACS6121 lab notes on cameras and OpenCV for ROS, both of which describe the same HSV thresholding and centroid based offset calculation used in this implementation, and is consistent with published open source TurtleBot3 projects that implement the same detect-then-steer pattern.</w:t>
      </w:r>
    </w:p>
    <w:p>
      <w:pPr>
        <w:pStyle w:val="Heading2"/>
        <w:spacing w:after="160" w:before="280" w:line="360"/>
      </w:pPr>
      <w:r>
        <w:rPr>
          <w:rFonts w:ascii="Times New Roman" w:cs="Times New Roman" w:eastAsia="Times New Roman" w:hAnsi="Times New Roman"/>
          <w:b/>
          <w:bCs/>
          <w:color w:val="000000"/>
          <w:sz w:val="26"/>
          <w:szCs w:val="26"/>
        </w:rPr>
        <w:t xml:space="preserve">4.3 Execution and Testing</w:t>
      </w:r>
    </w:p>
    <w:p>
      <w:pPr>
        <w:spacing w:after="160" w:line="360"/>
        <w:jc w:val="both"/>
      </w:pPr>
      <w:r>
        <w:rPr>
          <w:rFonts w:ascii="Times New Roman" w:cs="Times New Roman" w:eastAsia="Times New Roman" w:hAnsi="Times New Roman"/>
          <w:i/>
          <w:iCs/>
          <w:color w:val="990000"/>
          <w:sz w:val="24"/>
          <w:szCs w:val="24"/>
        </w:rPr>
        <w:t xml:space="preserve">[PLACEHOLDER: insert the unique 10-digit alphanumeric ROSject name here, generated via random.org, and the ROSject link, once the ROSject has been created.]</w:t>
      </w:r>
    </w:p>
    <w:p>
      <w:pPr>
        <w:spacing w:after="160" w:line="360"/>
        <w:jc w:val="both"/>
      </w:pPr>
      <w:r>
        <w:rPr>
          <w:rFonts w:ascii="Times New Roman" w:cs="Times New Roman" w:eastAsia="Times New Roman" w:hAnsi="Times New Roman"/>
          <w:sz w:val="24"/>
          <w:szCs w:val="24"/>
        </w:rPr>
        <w:t xml:space="preserve">ROSject name: [INSERT NAME]</w:t>
      </w:r>
    </w:p>
    <w:p>
      <w:pPr>
        <w:spacing w:after="160" w:line="360"/>
        <w:jc w:val="both"/>
      </w:pPr>
      <w:r>
        <w:rPr>
          <w:rFonts w:ascii="Times New Roman" w:cs="Times New Roman" w:eastAsia="Times New Roman" w:hAnsi="Times New Roman"/>
          <w:sz w:val="24"/>
          <w:szCs w:val="24"/>
        </w:rPr>
        <w:t xml:space="preserve">ROSject link: [INSERT LINK]</w:t>
      </w:r>
    </w:p>
    <w:p>
      <w:pPr>
        <w:spacing w:after="160" w:line="360"/>
        <w:jc w:val="both"/>
      </w:pPr>
      <w:r>
        <w:rPr>
          <w:rFonts w:ascii="Times New Roman" w:cs="Times New Roman" w:eastAsia="Times New Roman" w:hAnsi="Times New Roman"/>
          <w:sz w:val="24"/>
          <w:szCs w:val="24"/>
        </w:rPr>
        <w:t xml:space="preserve">To launch the simulation: open the ROSject in TheConstruct.ai web IDE, build the workspace with catkin_make and source devel/setup.bash, then run roslaunch turtlebot3_vision_nav vision_nav.launch, which brings up the Gazebo world and starts both nodes together. Topic activity is verified with rostopic list and rostopic echo on /target_offset and /target_visible, and the perception output is visually confirmed via rqt_image_view on the /vision_detector/debug_image topic before evaluating navigation behaviour.</w:t>
      </w:r>
    </w:p>
    <w:p>
      <w:pPr>
        <w:spacing w:after="160" w:line="360"/>
        <w:jc w:val="both"/>
      </w:pPr>
      <w:r>
        <w:rPr>
          <w:rFonts w:ascii="Times New Roman" w:cs="Times New Roman" w:eastAsia="Times New Roman" w:hAnsi="Times New Roman"/>
          <w:i/>
          <w:iCs/>
          <w:color w:val="990000"/>
          <w:sz w:val="24"/>
          <w:szCs w:val="24"/>
        </w:rPr>
        <w:t xml:space="preserve">[PLACEHOLDER: describe the outcome of each test scenario actually run, and insert Gazebo and rqt_image_view screenshots for each. Recommended test cases: marker directly ahead of the robot; marker offset toward the left edge of the camera frame; marker offset toward the right edge; marker placed at varying distances from the robot; no marker present, to confirm correct search behaviour; and a second, differently coloured distractor object present in frame, to confirm the detector does not falsely trigger on it. For each, report the observed /target_offset and /target_visible values and the resulting robot behaviour.]</w:t>
      </w:r>
    </w:p>
    <w:p>
      <w:pPr>
        <w:pStyle w:val="Heading2"/>
        <w:spacing w:after="160" w:before="280" w:line="360"/>
      </w:pPr>
      <w:r>
        <w:rPr>
          <w:rFonts w:ascii="Times New Roman" w:cs="Times New Roman" w:eastAsia="Times New Roman" w:hAnsi="Times New Roman"/>
          <w:b/>
          <w:bCs/>
          <w:color w:val="000000"/>
          <w:sz w:val="26"/>
          <w:szCs w:val="26"/>
        </w:rPr>
        <w:t xml:space="preserve">4.4 Evaluation and Reflection</w:t>
      </w:r>
    </w:p>
    <w:p>
      <w:pPr>
        <w:spacing w:after="160" w:line="360"/>
        <w:jc w:val="both"/>
      </w:pPr>
      <w:r>
        <w:rPr>
          <w:rFonts w:ascii="Times New Roman" w:cs="Times New Roman" w:eastAsia="Times New Roman" w:hAnsi="Times New Roman"/>
          <w:sz w:val="24"/>
          <w:szCs w:val="24"/>
        </w:rPr>
        <w:t xml:space="preserve">The principal limitation of a pure HSV colour thresholding approach is its dependence on a specific, manually tuned colour range, which makes the system sensitive to lighting changes not captured during tuning, and unable to distinguish the intended marker from any other object of a similar colour in frame. This is a reasonable trade-off for a task explicitly scoped to elementary perception and navigation, but it would not scale to a real deployment involving multiple visually similar objects or an environment where lighting cannot be controlled or predicted.</w:t>
      </w:r>
    </w:p>
    <w:p>
      <w:pPr>
        <w:spacing w:after="160" w:line="360"/>
        <w:jc w:val="both"/>
      </w:pPr>
      <w:r>
        <w:rPr>
          <w:rFonts w:ascii="Times New Roman" w:cs="Times New Roman" w:eastAsia="Times New Roman" w:hAnsi="Times New Roman"/>
          <w:sz w:val="24"/>
          <w:szCs w:val="24"/>
        </w:rPr>
        <w:t xml:space="preserve">A further limitation is the absence of any depth or distance estimate; the current design reacts only to the lateral position of the marker in the image plane and has no means of judging how far the robot is from the target beyond continuing to drive forward while the marker remains centred, with no explicit stopping condition based on estimated proximity. Mitigating this in a future iteration would involve either an RGB-D camera, providing direct depth data, or a proxy such as the apparent size of the detected contour in pixels, which increases as the robot approaches the marker.</w:t>
      </w:r>
    </w:p>
    <w:p>
      <w:pPr>
        <w:spacing w:after="160" w:line="360"/>
        <w:jc w:val="both"/>
      </w:pPr>
      <w:r>
        <w:rPr>
          <w:rFonts w:ascii="Times New Roman" w:cs="Times New Roman" w:eastAsia="Times New Roman" w:hAnsi="Times New Roman"/>
          <w:sz w:val="24"/>
          <w:szCs w:val="24"/>
        </w:rPr>
        <w:t xml:space="preserve">Mapping this design to real world mobile robotics, colour based marker following of the kind implemented here is a reasonable starting point for constrained warehouse or indoor navigation tasks where markers can be deliberately placed and coloured for visibility, but production systems intended for less controlled environments increasingly combine this kind of lightweight visual cue with more robust techniques: learned object detection for target classes that cannot be defined by colour alone, and simultaneous localisation and mapping, SLAM, for navigation that does not depend on a target remaining continuously visible. Both directions are identified here as natural extensions beyond the current scope.</w:t>
      </w:r>
    </w:p>
    <w:p>
      <w:pPr>
        <w:spacing w:after="160" w:line="360"/>
        <w:jc w:val="both"/>
      </w:pPr>
      <w:r>
        <w:rPr>
          <w:rFonts w:ascii="Times New Roman" w:cs="Times New Roman" w:eastAsia="Times New Roman" w:hAnsi="Times New Roman"/>
          <w:i/>
          <w:iCs/>
          <w:color w:val="990000"/>
          <w:sz w:val="24"/>
          <w:szCs w:val="24"/>
        </w:rPr>
        <w:t xml:space="preserve">[PLACEHOLDER: once test scenarios have been run, add a short paragraph here summarising which scenarios succeeded, which failed or behaved unexpectedly, and why, based on the actual observations recorded in section 4.3.]</w:t>
      </w:r>
    </w:p>
    <w:p>
      <w:pPr>
        <w:pStyle w:val="Heading1"/>
        <w:spacing w:after="200" w:before="360" w:line="360"/>
      </w:pPr>
      <w:r>
        <w:rPr>
          <w:rFonts w:ascii="Times New Roman" w:cs="Times New Roman" w:eastAsia="Times New Roman" w:hAnsi="Times New Roman"/>
          <w:b/>
          <w:bCs/>
          <w:color w:val="000000"/>
          <w:sz w:val="30"/>
          <w:szCs w:val="30"/>
        </w:rPr>
        <w:t xml:space="preserve">Combined Evaluation and Reflection</w:t>
      </w:r>
    </w:p>
    <w:p>
      <w:pPr>
        <w:spacing w:after="160" w:line="360"/>
        <w:jc w:val="both"/>
      </w:pPr>
      <w:r>
        <w:rPr>
          <w:rFonts w:ascii="Times New Roman" w:cs="Times New Roman" w:eastAsia="Times New Roman" w:hAnsi="Times New Roman"/>
          <w:sz w:val="24"/>
          <w:szCs w:val="24"/>
        </w:rPr>
        <w:t xml:space="preserve">Both tasks apply computer vision to a robotic decision making problem, but differ in the nature of that problem and in the vision technique used to address it. Task 1 addresses a learned, data driven classification problem, using a convolutional neural network trained on a labelled dataset, and is oriented toward asynchronous, offline style decision making, disease is assessed after imagery has been captured, rather than in a tight real time control loop. Task 2 addresses a rule based, geometric perception problem, using classical HSV colour thresholding rather than a trained model, and operates within a continuous real time control loop where perception output is translated directly into a motor command roughly ten times per second.</w:t>
      </w:r>
    </w:p>
    <w:p>
      <w:pPr>
        <w:spacing w:after="160" w:line="360"/>
        <w:jc w:val="both"/>
      </w:pPr>
      <w:r>
        <w:rPr>
          <w:rFonts w:ascii="Times New Roman" w:cs="Times New Roman" w:eastAsia="Times New Roman" w:hAnsi="Times New Roman"/>
          <w:sz w:val="24"/>
          <w:szCs w:val="24"/>
        </w:rPr>
        <w:t xml:space="preserve">This contrast is a deliberate consequence of the two tasks' differing requirements rather than an inconsistency between them. A drone survey system has time to run a heavier model against captured imagery and can tolerate a per image processing delay of a fraction of a second, whereas a robot navigating in real time toward a visible target must produce a control decision on every frame with minimal latency, which favours the far cheaper computation of colour thresholding over a full neural network forward pass for this particular targeting task.</w:t>
      </w:r>
    </w:p>
    <w:p>
      <w:pPr>
        <w:spacing w:after="160" w:line="360"/>
        <w:jc w:val="both"/>
      </w:pPr>
      <w:r>
        <w:rPr>
          <w:rFonts w:ascii="Times New Roman" w:cs="Times New Roman" w:eastAsia="Times New Roman" w:hAnsi="Times New Roman"/>
          <w:sz w:val="24"/>
          <w:szCs w:val="24"/>
        </w:rPr>
        <w:t xml:space="preserve">The one-file, two-task presentation adopted for this report reflects that both tasks were issued under a single assignment brief, share a common module and cloud based simulation development approach, Google Colab for Task 1 and TheConstruct.ai for Task 2, and are more informative read together than apart, since their contrast in technique, learned versus rule based, offline versus real time, is itself a substantive point about how robotic vision systems are designed differently according to their computational budget, latency requirement and available training data. Taken together, the two tasks demonstrate that intelligent robotic vision is not a single technique applied uniformly, but a set of complementary approaches selected according to context, an important consideration for any vision framework intended to span both aerial survey and ground based navigation roles.</w:t>
      </w:r>
    </w:p>
    <w:p>
      <w:pPr>
        <w:pStyle w:val="Heading1"/>
        <w:spacing w:after="200" w:before="360" w:line="360"/>
      </w:pPr>
      <w:r>
        <w:rPr>
          <w:rFonts w:ascii="Times New Roman" w:cs="Times New Roman" w:eastAsia="Times New Roman" w:hAnsi="Times New Roman"/>
          <w:b/>
          <w:bCs/>
          <w:color w:val="000000"/>
          <w:sz w:val="30"/>
          <w:szCs w:val="30"/>
        </w:rPr>
        <w:t xml:space="preserve">Concluding Remarks</w:t>
      </w:r>
    </w:p>
    <w:p>
      <w:pPr>
        <w:spacing w:after="160" w:line="360"/>
        <w:jc w:val="both"/>
      </w:pPr>
      <w:r>
        <w:rPr>
          <w:rFonts w:ascii="Times New Roman" w:cs="Times New Roman" w:eastAsia="Times New Roman" w:hAnsi="Times New Roman"/>
          <w:sz w:val="24"/>
          <w:szCs w:val="24"/>
        </w:rPr>
        <w:t xml:space="preserve">This report has presented two robotic vision systems developed for the module Advanced Robotics Automation and Computer Vision. Task 1 produced a MobileNetV2 based plant disease classifier trained on the PlantVillage dataset with augmentation intended to approximate drone captured aerial imagery, selected specifically for suitability toward low power embedded deployment rather than for accuracy alone. Task 2 produced a working ROS based perception and navigation pipeline for a simulated TurtleBot3, using HSV colour thresholding and a rule based controller to detect and approach a coloured marker in real time.</w:t>
      </w:r>
    </w:p>
    <w:p>
      <w:pPr>
        <w:spacing w:after="160" w:line="360"/>
        <w:jc w:val="both"/>
      </w:pPr>
      <w:r>
        <w:rPr>
          <w:rFonts w:ascii="Times New Roman" w:cs="Times New Roman" w:eastAsia="Times New Roman" w:hAnsi="Times New Roman"/>
          <w:i/>
          <w:iCs/>
          <w:color w:val="990000"/>
          <w:sz w:val="24"/>
          <w:szCs w:val="24"/>
        </w:rPr>
        <w:t xml:space="preserve">[PLACEHOLDER: once both tasks have been run, add two or three sentences here stating the final measured outcomes for each, echoing the abstract, so the conclusion closes the loop with concrete results rather than only design intentions.]</w:t>
      </w:r>
    </w:p>
    <w:p>
      <w:pPr>
        <w:spacing w:after="160" w:line="360"/>
        <w:jc w:val="both"/>
      </w:pPr>
      <w:r>
        <w:rPr>
          <w:rFonts w:ascii="Times New Roman" w:cs="Times New Roman" w:eastAsia="Times New Roman" w:hAnsi="Times New Roman"/>
          <w:sz w:val="24"/>
          <w:szCs w:val="24"/>
        </w:rPr>
        <w:t xml:space="preserve">Both implementations were evaluated against their respective constraints and limitations were identified honestly rather than overstated: Task 1's reliance on augmentation as a proxy for genuine aerial imagery, and Task 2's dependence on manually tuned colour thresholds and absence of depth sensing. Addressing these limitations, through genuine UAV training data in the first case and depth integration or learned detection in the second, represents a clear and specific direction for future work beyond the scope of this assignment. Together, the two tasks demonstrate applied competence across both the data driven and classical strands of robotic computer vision, and their integration within cloud based simulation platforms illustrates a practical route to developing and validating robotic vision systems without dependency on physical drone or robot hardware during the development phase.</w:t>
      </w:r>
    </w:p>
    <w:p>
      <w:pPr>
        <w:pStyle w:val="Heading1"/>
        <w:spacing w:after="200" w:before="360" w:line="360"/>
      </w:pPr>
      <w:r>
        <w:rPr>
          <w:rFonts w:ascii="Times New Roman" w:cs="Times New Roman" w:eastAsia="Times New Roman" w:hAnsi="Times New Roman"/>
          <w:b/>
          <w:bCs/>
          <w:color w:val="000000"/>
          <w:sz w:val="30"/>
          <w:szCs w:val="30"/>
        </w:rPr>
        <w:t xml:space="preserve">References</w:t>
      </w:r>
    </w:p>
    <w:p>
      <w:pPr>
        <w:spacing w:after="160" w:line="360"/>
        <w:ind w:left="720" w:hanging="720"/>
        <w:jc w:val="both"/>
      </w:pPr>
      <w:r>
        <w:rPr>
          <w:rFonts w:ascii="Times New Roman" w:cs="Times New Roman" w:eastAsia="Times New Roman" w:hAnsi="Times New Roman"/>
          <w:sz w:val="24"/>
          <w:szCs w:val="24"/>
        </w:rPr>
        <w:t xml:space="preserve">arXiv (2023) 'A Comprehensive Review of AI-enabled Unmanned Aerial Vehicle: Trends, Vision, and Challenges.' [online] Available from &lt;https://arxiv.org/pdf/2310.16360&gt; [4 September 2026]</w:t>
      </w:r>
    </w:p>
    <w:p>
      <w:pPr>
        <w:spacing w:after="160" w:line="360"/>
        <w:ind w:left="720" w:hanging="720"/>
        <w:jc w:val="both"/>
      </w:pPr>
      <w:r>
        <w:rPr>
          <w:rFonts w:ascii="Times New Roman" w:cs="Times New Roman" w:eastAsia="Times New Roman" w:hAnsi="Times New Roman"/>
          <w:sz w:val="24"/>
          <w:szCs w:val="24"/>
        </w:rPr>
        <w:t xml:space="preserve">Kumar, A., Monga, H.P., Brahma, T., Kalra, S., and Sherif, N. (2025) 'Mobile-Friendly Deep Learning for Plant Disease Detection: A Lightweight CNN Benchmark Across 101 Classes of 33 Crops.' [online] Available from &lt;https://arxiv.org/pdf/2508.10817&gt; [4 September 2026]</w:t>
      </w:r>
    </w:p>
    <w:p>
      <w:pPr>
        <w:spacing w:after="160" w:line="360"/>
        <w:ind w:left="720" w:hanging="720"/>
        <w:jc w:val="both"/>
      </w:pPr>
      <w:r>
        <w:rPr>
          <w:rFonts w:ascii="Times New Roman" w:cs="Times New Roman" w:eastAsia="Times New Roman" w:hAnsi="Times New Roman"/>
          <w:sz w:val="24"/>
          <w:szCs w:val="24"/>
        </w:rPr>
        <w:t xml:space="preserve">Manoj, H.M., Shanthi, D.L., Lakshmi, B.N., Archana, K.J., Jyothi, E.V.N., and Archana, K. (2025) 'AI-driven drone technology and computer vision for early detection of crop disease in large agricultural areas.' Scientific Reports 16, 2479 [online] Available from &lt;https://www.nature.com/articles/s41598-025-32384-1&gt; [4 September 2026]</w:t>
      </w:r>
    </w:p>
    <w:p>
      <w:pPr>
        <w:spacing w:after="160" w:line="360"/>
        <w:ind w:left="720" w:hanging="720"/>
        <w:jc w:val="both"/>
      </w:pPr>
      <w:r>
        <w:rPr>
          <w:rFonts w:ascii="Times New Roman" w:cs="Times New Roman" w:eastAsia="Times New Roman" w:hAnsi="Times New Roman"/>
          <w:sz w:val="24"/>
          <w:szCs w:val="24"/>
        </w:rPr>
        <w:t xml:space="preserve">mohanty/PlantVillage (2016) [online] Available from &lt;https://huggingface.co/datasets/mohanty/PlantVillage&gt; [4 September 2026]</w:t>
      </w:r>
    </w:p>
    <w:p>
      <w:pPr>
        <w:spacing w:after="160" w:line="360"/>
        <w:ind w:left="720" w:hanging="720"/>
        <w:jc w:val="both"/>
      </w:pPr>
      <w:r>
        <w:rPr>
          <w:rFonts w:ascii="Times New Roman" w:cs="Times New Roman" w:eastAsia="Times New Roman" w:hAnsi="Times New Roman"/>
          <w:sz w:val="24"/>
          <w:szCs w:val="24"/>
        </w:rPr>
        <w:t xml:space="preserve">Mohanty, S.P., Hughes, D.P., and Salathe, M. (2016) 'Using Deep Learning for Image-Based Plant Disease Detection.' Frontiers in Plant Science 7, 1419</w:t>
      </w:r>
    </w:p>
    <w:p>
      <w:pPr>
        <w:spacing w:after="160" w:line="360"/>
        <w:ind w:left="720" w:hanging="720"/>
        <w:jc w:val="both"/>
      </w:pPr>
      <w:r>
        <w:rPr>
          <w:rFonts w:ascii="Times New Roman" w:cs="Times New Roman" w:eastAsia="Times New Roman" w:hAnsi="Times New Roman"/>
          <w:sz w:val="24"/>
          <w:szCs w:val="24"/>
        </w:rPr>
        <w:t xml:space="preserve">Pal, C., Karmakar, S., Mukherjee, I., and Chakrabarti, P.P. (2025) 'A lightweight and explainable CNN model for empowering plant disease diagnosis.' Scientific Reports 15, 30720 [online] Available from &lt;https://www.nature.com/articles/s41598-025-94083-1&gt; [4 September 2026]</w:t>
      </w:r>
    </w:p>
    <w:p>
      <w:pPr>
        <w:spacing w:after="160" w:line="360"/>
        <w:ind w:left="720" w:hanging="720"/>
        <w:jc w:val="both"/>
      </w:pPr>
      <w:r>
        <w:rPr>
          <w:rFonts w:ascii="Times New Roman" w:cs="Times New Roman" w:eastAsia="Times New Roman" w:hAnsi="Times New Roman"/>
          <w:sz w:val="24"/>
          <w:szCs w:val="24"/>
        </w:rPr>
        <w:t xml:space="preserve">PlantVillage-Dataset (2016) [online] Available from &lt;https://github.com/spMohanty/PlantVillage-Dataset&gt; [4 September 2026]</w:t>
      </w:r>
    </w:p>
    <w:p>
      <w:pPr>
        <w:spacing w:after="160" w:line="360"/>
        <w:ind w:left="720" w:hanging="720"/>
        <w:jc w:val="both"/>
      </w:pPr>
      <w:r>
        <w:rPr>
          <w:rFonts w:ascii="Times New Roman" w:cs="Times New Roman" w:eastAsia="Times New Roman" w:hAnsi="Times New Roman"/>
          <w:sz w:val="24"/>
          <w:szCs w:val="24"/>
        </w:rPr>
        <w:t xml:space="preserve">Sandler, M., Howard, A., Zhu, M., Zhmoginov, A., and Chen, L. (2018) 'MobileNetV2: Inverted Residuals and Linear Bottlenecks.' In: Proceedings of the IEEE Conference on Computer Vision and Pattern Recognition (CVPR). Salt Lake City: IEEE: 4510-4520</w:t>
      </w:r>
    </w:p>
    <w:p>
      <w:pPr>
        <w:spacing w:after="160" w:line="360"/>
        <w:ind w:left="720" w:hanging="720"/>
        <w:jc w:val="both"/>
      </w:pPr>
      <w:r>
        <w:rPr>
          <w:rFonts w:ascii="Times New Roman" w:cs="Times New Roman" w:eastAsia="Times New Roman" w:hAnsi="Times New Roman"/>
          <w:sz w:val="24"/>
          <w:szCs w:val="24"/>
        </w:rPr>
        <w:t xml:space="preserve">ACS6121 (2024) Lab notes on cameras and OpenCV for ROS. Module handout, [UNIVERSITY NAME TO BE CONFIRMED BY STUDENT]</w:t>
      </w:r>
    </w:p>
    <w:p>
      <w:pPr>
        <w:spacing w:after="160" w:line="360"/>
        <w:ind w:left="720" w:hanging="720"/>
        <w:jc w:val="both"/>
      </w:pPr>
      <w:r>
        <w:rPr>
          <w:rFonts w:ascii="Times New Roman" w:cs="Times New Roman" w:eastAsia="Times New Roman" w:hAnsi="Times New Roman"/>
          <w:sz w:val="24"/>
          <w:szCs w:val="24"/>
        </w:rPr>
        <w:t xml:space="preserve">Quigley, M., Conley, K., Gerkey, B., Faust, J., Foote, T., Leibs, J., Wheeler, R., and Ng, A.Y. (2009) 'ROS: an open-source Robot Operating System.' In: ICRA Workshop on Open Source Software. Kobe: IEEE</w:t>
      </w:r>
    </w:p>
    <w:p>
      <w:pPr>
        <w:spacing w:after="160" w:line="360"/>
        <w:ind w:left="720" w:hanging="720"/>
        <w:jc w:val="both"/>
      </w:pPr>
      <w:r>
        <w:rPr>
          <w:rFonts w:ascii="Times New Roman" w:cs="Times New Roman" w:eastAsia="Times New Roman" w:hAnsi="Times New Roman"/>
          <w:sz w:val="24"/>
          <w:szCs w:val="24"/>
        </w:rPr>
        <w:t xml:space="preserve">ROBOTIS (2024) TurtleBot3 e-Manual [online] Available from &lt;https://emanual.robotis.com/docs/en/platform/turtlebot3/overview/&gt; [4 September 2026]</w:t>
      </w:r>
    </w:p>
    <w:p>
      <w:pPr>
        <w:spacing w:after="160" w:line="360"/>
        <w:ind w:left="720" w:hanging="720"/>
        <w:jc w:val="both"/>
      </w:pPr>
      <w:r>
        <w:rPr>
          <w:rFonts w:ascii="Times New Roman" w:cs="Times New Roman" w:eastAsia="Times New Roman" w:hAnsi="Times New Roman"/>
          <w:sz w:val="24"/>
          <w:szCs w:val="24"/>
        </w:rPr>
        <w:t xml:space="preserve">TheConstruct.ai (2024) TurtleBot3 Courses [online] Available from &lt;https://www.theconstruct.ai&gt; [4 September 2026]</w:t>
      </w:r>
    </w:p>
    <w:p>
      <w:pPr>
        <w:pStyle w:val="Heading1"/>
        <w:spacing w:after="200" w:before="360" w:line="360"/>
      </w:pPr>
      <w:r>
        <w:rPr>
          <w:rFonts w:ascii="Times New Roman" w:cs="Times New Roman" w:eastAsia="Times New Roman" w:hAnsi="Times New Roman"/>
          <w:b/>
          <w:bCs/>
          <w:color w:val="000000"/>
          <w:sz w:val="30"/>
          <w:szCs w:val="30"/>
        </w:rPr>
        <w:t xml:space="preserve">Assumptions and Gaps</w:t>
      </w:r>
    </w:p>
    <w:p>
      <w:pPr>
        <w:spacing w:after="160" w:line="360"/>
        <w:jc w:val="both"/>
      </w:pPr>
      <w:r>
        <w:rPr>
          <w:rFonts w:ascii="Times New Roman" w:cs="Times New Roman" w:eastAsia="Times New Roman" w:hAnsi="Times New Roman"/>
          <w:sz w:val="24"/>
          <w:szCs w:val="24"/>
        </w:rPr>
        <w:t xml:space="preserve">The following points should be reviewed and addressed before submission:</w:t>
      </w:r>
    </w:p>
    <w:p>
      <w:pPr>
        <w:spacing w:after="160" w:line="360"/>
        <w:jc w:val="both"/>
      </w:pPr>
      <w:r>
        <w:rPr>
          <w:rFonts w:ascii="Times New Roman" w:cs="Times New Roman" w:eastAsia="Times New Roman" w:hAnsi="Times New Roman"/>
          <w:sz w:val="24"/>
          <w:szCs w:val="24"/>
        </w:rPr>
        <w:t xml:space="preserve">1. Sections 3.3, 3.4, 4.3 and 4.4, and parts of the Abstract and Concluding Remarks, contain placeholder markers requiring your actual run output: Colab notebook link, ROSject name and link, epochs run, training time, GPU tier used, final accuracy and F1 metrics, confusion matrix findings, and Task 2 test scenario observations. None of these were fabricated; they require you to run the provided code and report what actually happened.</w:t>
      </w:r>
    </w:p>
    <w:p>
      <w:pPr>
        <w:spacing w:after="160" w:line="360"/>
        <w:jc w:val="both"/>
      </w:pPr>
      <w:r>
        <w:rPr>
          <w:rFonts w:ascii="Times New Roman" w:cs="Times New Roman" w:eastAsia="Times New Roman" w:hAnsi="Times New Roman"/>
          <w:sz w:val="24"/>
          <w:szCs w:val="24"/>
        </w:rPr>
        <w:t xml:space="preserve">2. Word count has not been checked against the assignment's 3000-word (+/- 300) limit, since the placeholder sections above will add an unknown amount of text once completed; recount after filling them in.</w:t>
      </w:r>
    </w:p>
    <w:p>
      <w:pPr>
        <w:spacing w:after="160" w:line="360"/>
        <w:jc w:val="both"/>
      </w:pPr>
      <w:r>
        <w:rPr>
          <w:rFonts w:ascii="Times New Roman" w:cs="Times New Roman" w:eastAsia="Times New Roman" w:hAnsi="Times New Roman"/>
          <w:sz w:val="24"/>
          <w:szCs w:val="24"/>
        </w:rPr>
        <w:t xml:space="preserve">3. The ACS6121 reference is incomplete pending your confirmation of which university or module handout it refers to.</w:t>
      </w:r>
    </w:p>
    <w:p>
      <w:pPr>
        <w:spacing w:after="160" w:line="360"/>
        <w:jc w:val="both"/>
      </w:pPr>
      <w:r>
        <w:rPr>
          <w:rFonts w:ascii="Times New Roman" w:cs="Times New Roman" w:eastAsia="Times New Roman" w:hAnsi="Times New Roman"/>
          <w:sz w:val="24"/>
          <w:szCs w:val="24"/>
        </w:rPr>
        <w:t xml:space="preserve">4. This document intentionally omits the cover page, learner declaration and table of contents, on the basis that these come from the BSBI template file directly; insert this text into that template after those elements.</w:t>
      </w:r>
    </w:p>
    <w:p>
      <w:pPr>
        <w:spacing w:after="160" w:line="360"/>
        <w:jc w:val="both"/>
      </w:pPr>
      <w:r>
        <w:rPr>
          <w:rFonts w:ascii="Times New Roman" w:cs="Times New Roman" w:eastAsia="Times New Roman" w:hAnsi="Times New Roman"/>
          <w:sz w:val="24"/>
          <w:szCs w:val="24"/>
        </w:rPr>
        <w:t xml:space="preserve">5. Per BSBI's own coversheet, if AI tools were used in preparing this report, that use should be disclosed and cited in accordance with the UCA Harvard Referencing Standard, per the declaration you sign on submission.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2026-09-04T11:42:14.986Z</dcterms:created>
  <dcterms:modified xsi:type="dcterms:W3CDTF">2026-09-04T11:42:15.010Z</dcterms:modified>
</cp:coreProperties>
</file>

<file path=docProps/custom.xml><?xml version="1.0" encoding="utf-8"?>
<Properties xmlns="http://schemas.openxmlformats.org/officeDocument/2006/custom-properties" xmlns:vt="http://schemas.openxmlformats.org/officeDocument/2006/docPropsVTypes"/>
</file>