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D4B232" w14:textId="77777777" w:rsidR="00E20047" w:rsidRPr="00783291" w:rsidRDefault="00E20047" w:rsidP="00E20047">
      <w:pPr>
        <w:jc w:val="center"/>
        <w:rPr>
          <w:rFonts w:cs="Times New Roman"/>
          <w:noProof/>
        </w:rPr>
      </w:pPr>
      <w:r w:rsidRPr="00783291">
        <w:rPr>
          <w:rFonts w:cs="Times New Roman"/>
          <w:noProof/>
        </w:rPr>
        <w:drawing>
          <wp:inline distT="0" distB="0" distL="0" distR="0" wp14:anchorId="421473EE" wp14:editId="3B56E720">
            <wp:extent cx="5731510" cy="1276985"/>
            <wp:effectExtent l="0" t="0" r="0" b="0"/>
            <wp:docPr id="880059220" name="Picture 1" descr="Shap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hape&#10;&#10;Description automatically generated with medium confidence"/>
                    <pic:cNvPicPr>
                      <a:picLocks noRot="1" noChangeAspect="1" noEditPoints="1" noChangeArrowheads="1" noCrop="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1276985"/>
                    </a:xfrm>
                    <a:prstGeom prst="rect">
                      <a:avLst/>
                    </a:prstGeom>
                    <a:noFill/>
                    <a:ln>
                      <a:noFill/>
                    </a:ln>
                  </pic:spPr>
                </pic:pic>
              </a:graphicData>
            </a:graphic>
          </wp:inline>
        </w:drawing>
      </w:r>
    </w:p>
    <w:p w14:paraId="61963841" w14:textId="0A3F34F3" w:rsidR="00E20047" w:rsidRPr="00783291" w:rsidRDefault="00E20047" w:rsidP="00E20047">
      <w:pPr>
        <w:rPr>
          <w:rFonts w:cs="Times New Roman"/>
          <w:noProof/>
        </w:rPr>
      </w:pPr>
    </w:p>
    <w:p w14:paraId="61007AC0" w14:textId="5DDF33FB" w:rsidR="00E20047" w:rsidRPr="00783291" w:rsidRDefault="00E20047" w:rsidP="00E20047">
      <w:pPr>
        <w:jc w:val="center"/>
        <w:rPr>
          <w:rFonts w:cs="Times New Roman"/>
          <w:noProof/>
        </w:rPr>
      </w:pPr>
    </w:p>
    <w:p w14:paraId="35A641F8" w14:textId="6FA433D7" w:rsidR="00E20047" w:rsidRPr="00783291" w:rsidRDefault="00E20047" w:rsidP="00E20047">
      <w:pPr>
        <w:jc w:val="center"/>
        <w:rPr>
          <w:rFonts w:cs="Times New Roman"/>
          <w:noProof/>
        </w:rPr>
      </w:pPr>
      <w:r w:rsidRPr="00783291">
        <w:rPr>
          <w:rFonts w:cs="Times New Roman"/>
          <w:noProof/>
        </w:rPr>
        <w:drawing>
          <wp:inline distT="0" distB="0" distL="0" distR="0" wp14:anchorId="0965AE87" wp14:editId="1CE5286B">
            <wp:extent cx="2886075" cy="1819275"/>
            <wp:effectExtent l="0" t="0" r="0" b="0"/>
            <wp:docPr id="8570312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Rot="1" noChangeAspect="1" noEditPoints="1" noChangeArrowheads="1" noCrop="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86075" cy="1819275"/>
                    </a:xfrm>
                    <a:prstGeom prst="rect">
                      <a:avLst/>
                    </a:prstGeom>
                    <a:noFill/>
                    <a:ln>
                      <a:noFill/>
                    </a:ln>
                  </pic:spPr>
                </pic:pic>
              </a:graphicData>
            </a:graphic>
          </wp:inline>
        </w:drawing>
      </w:r>
    </w:p>
    <w:p w14:paraId="735F170E" w14:textId="77777777" w:rsidR="00E20047" w:rsidRPr="00783291" w:rsidRDefault="00E20047" w:rsidP="00E20047">
      <w:pPr>
        <w:rPr>
          <w:rFonts w:cs="Times New Roman"/>
          <w:noProof/>
        </w:rPr>
      </w:pPr>
    </w:p>
    <w:p w14:paraId="59F0D78D" w14:textId="77777777" w:rsidR="00283C68" w:rsidRPr="00783291" w:rsidRDefault="00283C68" w:rsidP="00E20047">
      <w:pPr>
        <w:rPr>
          <w:rFonts w:cs="Times New Roman"/>
          <w:noProof/>
        </w:rPr>
      </w:pPr>
    </w:p>
    <w:p w14:paraId="616A4AD6" w14:textId="128CEAD9" w:rsidR="00E20047" w:rsidRPr="001C217B" w:rsidRDefault="00E20047" w:rsidP="00E20047">
      <w:pPr>
        <w:spacing w:line="360" w:lineRule="auto"/>
        <w:jc w:val="left"/>
        <w:rPr>
          <w:rFonts w:cs="Times New Roman"/>
          <w:b/>
          <w:sz w:val="28"/>
          <w:szCs w:val="28"/>
          <w:u w:val="single"/>
        </w:rPr>
      </w:pPr>
      <w:r w:rsidRPr="001C217B">
        <w:rPr>
          <w:rFonts w:cs="Times New Roman"/>
          <w:b/>
          <w:sz w:val="28"/>
          <w:szCs w:val="28"/>
          <w:u w:val="single"/>
        </w:rPr>
        <w:t>Essay</w:t>
      </w:r>
      <w:r w:rsidR="009E6338" w:rsidRPr="001C217B">
        <w:rPr>
          <w:rFonts w:cs="Times New Roman"/>
          <w:b/>
          <w:sz w:val="28"/>
          <w:szCs w:val="28"/>
          <w:u w:val="single"/>
        </w:rPr>
        <w:t xml:space="preserve"> </w:t>
      </w:r>
      <w:r w:rsidRPr="001C217B">
        <w:rPr>
          <w:rFonts w:cs="Times New Roman"/>
          <w:b/>
          <w:sz w:val="28"/>
          <w:szCs w:val="28"/>
          <w:u w:val="single"/>
        </w:rPr>
        <w:t xml:space="preserve">Title: </w:t>
      </w:r>
    </w:p>
    <w:p w14:paraId="45C5DBF8" w14:textId="140D947A" w:rsidR="00E20047" w:rsidRPr="001C217B" w:rsidRDefault="004D6451" w:rsidP="00E20047">
      <w:pPr>
        <w:spacing w:line="360" w:lineRule="auto"/>
        <w:jc w:val="left"/>
        <w:rPr>
          <w:rFonts w:cs="Times New Roman"/>
          <w:sz w:val="28"/>
          <w:szCs w:val="28"/>
        </w:rPr>
      </w:pPr>
      <w:r w:rsidRPr="004D6451">
        <w:rPr>
          <w:rFonts w:cs="Times New Roman"/>
          <w:sz w:val="28"/>
          <w:szCs w:val="28"/>
        </w:rPr>
        <w:t>Ethical and Legal Analysis of AI in Biotech: A Comprehensive Business Assessment for PARACELSUS in the European Union</w:t>
      </w:r>
    </w:p>
    <w:p w14:paraId="529485F8" w14:textId="77777777" w:rsidR="00E20047" w:rsidRPr="001C217B" w:rsidRDefault="00E20047" w:rsidP="00E20047">
      <w:pPr>
        <w:spacing w:line="360" w:lineRule="auto"/>
        <w:jc w:val="left"/>
        <w:rPr>
          <w:rFonts w:cs="Times New Roman"/>
          <w:b/>
          <w:sz w:val="28"/>
          <w:szCs w:val="28"/>
          <w:u w:val="single"/>
        </w:rPr>
      </w:pPr>
      <w:proofErr w:type="spellStart"/>
      <w:r w:rsidRPr="001C217B">
        <w:rPr>
          <w:rFonts w:cs="Times New Roman"/>
          <w:b/>
          <w:sz w:val="28"/>
          <w:szCs w:val="28"/>
          <w:u w:val="single"/>
        </w:rPr>
        <w:t>Programme</w:t>
      </w:r>
      <w:proofErr w:type="spellEnd"/>
      <w:r w:rsidRPr="001C217B">
        <w:rPr>
          <w:rFonts w:cs="Times New Roman"/>
          <w:b/>
          <w:sz w:val="28"/>
          <w:szCs w:val="28"/>
          <w:u w:val="single"/>
        </w:rPr>
        <w:t xml:space="preserve"> title:</w:t>
      </w:r>
    </w:p>
    <w:p w14:paraId="26E462DF" w14:textId="77777777" w:rsidR="00E20047" w:rsidRDefault="00E20047" w:rsidP="002634D0">
      <w:pPr>
        <w:spacing w:line="360" w:lineRule="auto"/>
        <w:jc w:val="left"/>
        <w:rPr>
          <w:rFonts w:cs="Times New Roman"/>
          <w:bCs/>
          <w:sz w:val="28"/>
          <w:szCs w:val="28"/>
        </w:rPr>
      </w:pPr>
      <w:r w:rsidRPr="001C217B">
        <w:rPr>
          <w:rFonts w:cs="Times New Roman"/>
          <w:bCs/>
          <w:sz w:val="28"/>
          <w:szCs w:val="28"/>
        </w:rPr>
        <w:t>MSc Artificial Intelligence</w:t>
      </w:r>
    </w:p>
    <w:p w14:paraId="0D380308" w14:textId="77777777" w:rsidR="002634D0" w:rsidRPr="00EE150D" w:rsidRDefault="002634D0" w:rsidP="002634D0">
      <w:pPr>
        <w:spacing w:line="360" w:lineRule="auto"/>
        <w:jc w:val="left"/>
        <w:rPr>
          <w:b/>
          <w:sz w:val="28"/>
          <w:szCs w:val="28"/>
          <w:u w:val="single"/>
        </w:rPr>
      </w:pPr>
      <w:r w:rsidRPr="00EE150D">
        <w:rPr>
          <w:b/>
          <w:sz w:val="28"/>
          <w:szCs w:val="28"/>
          <w:u w:val="single"/>
        </w:rPr>
        <w:t>Module:</w:t>
      </w:r>
    </w:p>
    <w:p w14:paraId="21AEECF1" w14:textId="1F5D4EC7" w:rsidR="002634D0" w:rsidRPr="001C217B" w:rsidRDefault="002634D0" w:rsidP="002634D0">
      <w:pPr>
        <w:spacing w:line="360" w:lineRule="auto"/>
        <w:jc w:val="left"/>
        <w:rPr>
          <w:rFonts w:cs="Times New Roman"/>
          <w:bCs/>
          <w:sz w:val="28"/>
          <w:szCs w:val="28"/>
        </w:rPr>
      </w:pPr>
      <w:r w:rsidRPr="002634D0">
        <w:rPr>
          <w:rFonts w:cs="Times New Roman"/>
          <w:bCs/>
          <w:sz w:val="28"/>
          <w:szCs w:val="28"/>
        </w:rPr>
        <w:t>Ethics and Legal Framework in AI</w:t>
      </w:r>
    </w:p>
    <w:p w14:paraId="22B1CE72" w14:textId="3609F1A1" w:rsidR="00E20047" w:rsidRPr="001C217B" w:rsidRDefault="006274A6" w:rsidP="002634D0">
      <w:pPr>
        <w:spacing w:line="360" w:lineRule="auto"/>
        <w:jc w:val="left"/>
        <w:rPr>
          <w:rFonts w:cs="Times New Roman"/>
          <w:b/>
          <w:sz w:val="28"/>
          <w:szCs w:val="28"/>
          <w:u w:val="single"/>
        </w:rPr>
      </w:pPr>
      <w:r w:rsidRPr="001C217B">
        <w:rPr>
          <w:rFonts w:cs="Times New Roman"/>
          <w:b/>
          <w:sz w:val="28"/>
          <w:szCs w:val="28"/>
          <w:u w:val="single"/>
        </w:rPr>
        <w:t>Prepared by</w:t>
      </w:r>
      <w:r w:rsidR="00E20047" w:rsidRPr="001C217B">
        <w:rPr>
          <w:rFonts w:cs="Times New Roman"/>
          <w:b/>
          <w:sz w:val="28"/>
          <w:szCs w:val="28"/>
          <w:u w:val="single"/>
        </w:rPr>
        <w:t>:</w:t>
      </w:r>
    </w:p>
    <w:p w14:paraId="1A499F31" w14:textId="4D4F9DFA" w:rsidR="00E20047" w:rsidRPr="001C217B" w:rsidRDefault="00E20047" w:rsidP="00E20047">
      <w:pPr>
        <w:spacing w:line="360" w:lineRule="auto"/>
        <w:jc w:val="left"/>
        <w:rPr>
          <w:rFonts w:cs="Times New Roman"/>
          <w:bCs/>
          <w:sz w:val="28"/>
          <w:szCs w:val="28"/>
        </w:rPr>
      </w:pPr>
      <w:r w:rsidRPr="001C217B">
        <w:rPr>
          <w:rFonts w:cs="Times New Roman"/>
          <w:bCs/>
          <w:sz w:val="28"/>
          <w:szCs w:val="28"/>
        </w:rPr>
        <w:t>Amaan Mohammed Khalander</w:t>
      </w:r>
      <w:r w:rsidR="00025A0B" w:rsidRPr="001C217B">
        <w:rPr>
          <w:rFonts w:cs="Times New Roman"/>
          <w:bCs/>
          <w:sz w:val="28"/>
          <w:szCs w:val="28"/>
        </w:rPr>
        <w:t xml:space="preserve"> / Q1132588</w:t>
      </w:r>
    </w:p>
    <w:p w14:paraId="156CE1FC" w14:textId="77777777" w:rsidR="00E20047" w:rsidRPr="001C217B" w:rsidRDefault="00E20047" w:rsidP="00E20047">
      <w:pPr>
        <w:spacing w:line="360" w:lineRule="auto"/>
        <w:jc w:val="left"/>
        <w:rPr>
          <w:rFonts w:cs="Times New Roman"/>
          <w:b/>
          <w:sz w:val="28"/>
          <w:szCs w:val="28"/>
          <w:u w:val="single"/>
        </w:rPr>
      </w:pPr>
      <w:r w:rsidRPr="001C217B">
        <w:rPr>
          <w:rFonts w:cs="Times New Roman"/>
          <w:b/>
          <w:sz w:val="28"/>
          <w:szCs w:val="28"/>
          <w:u w:val="single"/>
        </w:rPr>
        <w:t>Year:</w:t>
      </w:r>
    </w:p>
    <w:p w14:paraId="0D264975" w14:textId="114FCD34" w:rsidR="00E20047" w:rsidRPr="001C217B" w:rsidRDefault="00E20047" w:rsidP="00E20047">
      <w:pPr>
        <w:spacing w:line="360" w:lineRule="auto"/>
        <w:jc w:val="left"/>
        <w:rPr>
          <w:rFonts w:cs="Times New Roman"/>
          <w:bCs/>
          <w:sz w:val="28"/>
          <w:szCs w:val="28"/>
        </w:rPr>
      </w:pPr>
      <w:r w:rsidRPr="001C217B">
        <w:rPr>
          <w:rFonts w:cs="Times New Roman"/>
          <w:bCs/>
          <w:sz w:val="28"/>
          <w:szCs w:val="28"/>
        </w:rPr>
        <w:t xml:space="preserve">Term 1 </w:t>
      </w:r>
      <w:r w:rsidR="006274A6" w:rsidRPr="001C217B">
        <w:rPr>
          <w:rFonts w:cs="Times New Roman"/>
          <w:bCs/>
          <w:sz w:val="28"/>
          <w:szCs w:val="28"/>
        </w:rPr>
        <w:t>–</w:t>
      </w:r>
      <w:r w:rsidRPr="001C217B">
        <w:rPr>
          <w:rFonts w:cs="Times New Roman"/>
          <w:bCs/>
          <w:sz w:val="28"/>
          <w:szCs w:val="28"/>
        </w:rPr>
        <w:t xml:space="preserve"> 2026</w:t>
      </w:r>
    </w:p>
    <w:p w14:paraId="792B7302" w14:textId="77777777" w:rsidR="00B97445" w:rsidRPr="001C217B" w:rsidRDefault="00B97445" w:rsidP="00B97445">
      <w:pPr>
        <w:spacing w:line="360" w:lineRule="auto"/>
        <w:jc w:val="left"/>
        <w:rPr>
          <w:b/>
          <w:sz w:val="28"/>
          <w:szCs w:val="28"/>
          <w:u w:val="single"/>
        </w:rPr>
      </w:pPr>
      <w:r w:rsidRPr="001C217B">
        <w:rPr>
          <w:b/>
          <w:sz w:val="28"/>
          <w:szCs w:val="28"/>
          <w:u w:val="single"/>
        </w:rPr>
        <w:t>Submission Date:</w:t>
      </w:r>
    </w:p>
    <w:p w14:paraId="12E8041F" w14:textId="393CAA7F" w:rsidR="00B97445" w:rsidRPr="001C217B" w:rsidRDefault="00B97445" w:rsidP="00B97445">
      <w:pPr>
        <w:spacing w:line="360" w:lineRule="auto"/>
        <w:jc w:val="left"/>
        <w:rPr>
          <w:bCs/>
          <w:sz w:val="28"/>
          <w:szCs w:val="28"/>
        </w:rPr>
      </w:pPr>
      <w:r w:rsidRPr="001C217B">
        <w:rPr>
          <w:bCs/>
          <w:sz w:val="28"/>
          <w:szCs w:val="28"/>
        </w:rPr>
        <w:t>1</w:t>
      </w:r>
      <w:r w:rsidR="004751DF">
        <w:rPr>
          <w:bCs/>
          <w:sz w:val="28"/>
          <w:szCs w:val="28"/>
        </w:rPr>
        <w:t>5</w:t>
      </w:r>
      <w:r w:rsidRPr="001C217B">
        <w:rPr>
          <w:bCs/>
          <w:sz w:val="28"/>
          <w:szCs w:val="28"/>
        </w:rPr>
        <w:t xml:space="preserve"> / </w:t>
      </w:r>
      <w:r w:rsidR="001937B9">
        <w:rPr>
          <w:bCs/>
          <w:sz w:val="28"/>
          <w:szCs w:val="28"/>
        </w:rPr>
        <w:t>06</w:t>
      </w:r>
      <w:r w:rsidRPr="001C217B">
        <w:rPr>
          <w:bCs/>
          <w:sz w:val="28"/>
          <w:szCs w:val="28"/>
        </w:rPr>
        <w:t xml:space="preserve"> / 2026</w:t>
      </w:r>
    </w:p>
    <w:p w14:paraId="69F2DE6B" w14:textId="77777777" w:rsidR="00B97445" w:rsidRPr="001C217B" w:rsidRDefault="00B97445" w:rsidP="00B97445">
      <w:pPr>
        <w:spacing w:line="360" w:lineRule="auto"/>
        <w:jc w:val="left"/>
        <w:rPr>
          <w:b/>
          <w:bCs/>
          <w:sz w:val="28"/>
          <w:szCs w:val="28"/>
          <w:u w:val="single"/>
        </w:rPr>
      </w:pPr>
      <w:r w:rsidRPr="001C217B">
        <w:rPr>
          <w:b/>
          <w:bCs/>
          <w:sz w:val="28"/>
          <w:szCs w:val="28"/>
          <w:u w:val="single"/>
        </w:rPr>
        <w:t xml:space="preserve">Issued by: </w:t>
      </w:r>
    </w:p>
    <w:p w14:paraId="254BA1D0" w14:textId="2A564B14" w:rsidR="00B97445" w:rsidRPr="002F76B0" w:rsidRDefault="002F76B0" w:rsidP="00B97445">
      <w:pPr>
        <w:spacing w:line="360" w:lineRule="auto"/>
        <w:jc w:val="left"/>
        <w:rPr>
          <w:sz w:val="28"/>
          <w:szCs w:val="28"/>
        </w:rPr>
      </w:pPr>
      <w:r w:rsidRPr="002F76B0">
        <w:rPr>
          <w:sz w:val="28"/>
          <w:szCs w:val="28"/>
        </w:rPr>
        <w:t>Dr. Giulio Napolitano</w:t>
      </w:r>
    </w:p>
    <w:p w14:paraId="00C5723B" w14:textId="77777777" w:rsidR="006274A6" w:rsidRDefault="006274A6" w:rsidP="00143406">
      <w:pPr>
        <w:spacing w:after="160" w:line="360" w:lineRule="auto"/>
        <w:rPr>
          <w:rFonts w:cs="Times New Roman"/>
        </w:rPr>
      </w:pPr>
      <w:r w:rsidRPr="00783291">
        <w:rPr>
          <w:rFonts w:cs="Times New Roman"/>
        </w:rPr>
        <w:br w:type="page"/>
      </w:r>
    </w:p>
    <w:p w14:paraId="1968B655" w14:textId="77777777" w:rsidR="001937B9" w:rsidRDefault="001937B9" w:rsidP="001937B9">
      <w:pPr>
        <w:spacing w:after="160"/>
        <w:jc w:val="left"/>
        <w:rPr>
          <w:rFonts w:eastAsiaTheme="majorEastAsia" w:cstheme="majorBidi"/>
          <w:b/>
          <w:color w:val="000000" w:themeColor="text1"/>
          <w:sz w:val="32"/>
          <w:szCs w:val="40"/>
        </w:rPr>
      </w:pPr>
      <w:r w:rsidRPr="00BB703A">
        <w:rPr>
          <w:rFonts w:eastAsiaTheme="majorEastAsia" w:cstheme="majorBidi"/>
          <w:b/>
          <w:color w:val="000000" w:themeColor="text1"/>
          <w:sz w:val="28"/>
          <w:szCs w:val="36"/>
        </w:rPr>
        <w:lastRenderedPageBreak/>
        <w:t>Learner declaration</w:t>
      </w:r>
    </w:p>
    <w:tbl>
      <w:tblPr>
        <w:tblW w:w="5000" w:type="pct"/>
        <w:tblCellMar>
          <w:top w:w="15" w:type="dxa"/>
          <w:left w:w="15" w:type="dxa"/>
          <w:bottom w:w="15" w:type="dxa"/>
          <w:right w:w="15" w:type="dxa"/>
        </w:tblCellMar>
        <w:tblLook w:val="04A0" w:firstRow="1" w:lastRow="0" w:firstColumn="1" w:lastColumn="0" w:noHBand="0" w:noVBand="1"/>
      </w:tblPr>
      <w:tblGrid>
        <w:gridCol w:w="7809"/>
        <w:gridCol w:w="1201"/>
      </w:tblGrid>
      <w:tr w:rsidR="001937B9" w:rsidRPr="00BB703A" w14:paraId="38805757" w14:textId="77777777" w:rsidTr="00615979">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127AB20" w14:textId="77777777" w:rsidR="001937B9" w:rsidRPr="00BB703A" w:rsidRDefault="001937B9" w:rsidP="00615979">
            <w:pPr>
              <w:jc w:val="left"/>
              <w:rPr>
                <w:rFonts w:eastAsiaTheme="majorEastAsia" w:cstheme="majorBidi"/>
                <w:b/>
                <w:bCs/>
                <w:color w:val="000000" w:themeColor="text1"/>
              </w:rPr>
            </w:pPr>
            <w:r w:rsidRPr="00BB703A">
              <w:rPr>
                <w:rFonts w:eastAsiaTheme="majorEastAsia" w:cstheme="majorBidi"/>
                <w:b/>
                <w:bCs/>
                <w:color w:val="000000" w:themeColor="text1"/>
              </w:rPr>
              <w:t>Item</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9DCD912" w14:textId="77777777" w:rsidR="001937B9" w:rsidRPr="00BB703A" w:rsidRDefault="001937B9" w:rsidP="00615979">
            <w:pPr>
              <w:jc w:val="left"/>
              <w:rPr>
                <w:rFonts w:eastAsiaTheme="majorEastAsia" w:cstheme="majorBidi"/>
                <w:b/>
                <w:bCs/>
                <w:color w:val="000000" w:themeColor="text1"/>
              </w:rPr>
            </w:pPr>
            <w:r w:rsidRPr="00BB703A">
              <w:rPr>
                <w:rFonts w:eastAsiaTheme="majorEastAsia" w:cstheme="majorBidi"/>
                <w:b/>
                <w:bCs/>
                <w:color w:val="000000" w:themeColor="text1"/>
              </w:rPr>
              <w:t>Response</w:t>
            </w:r>
          </w:p>
        </w:tc>
      </w:tr>
      <w:tr w:rsidR="001937B9" w:rsidRPr="00BB703A" w14:paraId="51C3EF53" w14:textId="77777777" w:rsidTr="00615979">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EA3693E" w14:textId="77777777" w:rsidR="001937B9" w:rsidRPr="00BB703A" w:rsidRDefault="001937B9" w:rsidP="00615979">
            <w:pPr>
              <w:jc w:val="left"/>
              <w:rPr>
                <w:rFonts w:eastAsiaTheme="majorEastAsia" w:cstheme="majorBidi"/>
                <w:color w:val="000000" w:themeColor="text1"/>
              </w:rPr>
            </w:pPr>
            <w:r w:rsidRPr="00BB703A">
              <w:rPr>
                <w:rFonts w:eastAsiaTheme="majorEastAsia" w:cstheme="majorBidi"/>
                <w:color w:val="000000" w:themeColor="text1"/>
              </w:rPr>
              <w:t>Word count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E0931AF" w14:textId="48E4CDF7" w:rsidR="001937B9" w:rsidRPr="00BB703A" w:rsidRDefault="00AA235D" w:rsidP="00615979">
            <w:pPr>
              <w:jc w:val="left"/>
              <w:rPr>
                <w:rFonts w:eastAsiaTheme="majorEastAsia" w:cstheme="majorBidi"/>
                <w:color w:val="000000" w:themeColor="text1"/>
              </w:rPr>
            </w:pPr>
            <w:r>
              <w:rPr>
                <w:rFonts w:eastAsiaTheme="majorEastAsia" w:cstheme="majorBidi"/>
                <w:color w:val="000000" w:themeColor="text1"/>
              </w:rPr>
              <w:t>28</w:t>
            </w:r>
            <w:r w:rsidR="000613E9">
              <w:rPr>
                <w:rFonts w:eastAsiaTheme="majorEastAsia" w:cstheme="majorBidi"/>
                <w:color w:val="000000" w:themeColor="text1"/>
              </w:rPr>
              <w:t>17</w:t>
            </w:r>
          </w:p>
        </w:tc>
      </w:tr>
      <w:tr w:rsidR="001937B9" w:rsidRPr="00BB703A" w14:paraId="7603C605" w14:textId="77777777" w:rsidTr="00615979">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4C11A71" w14:textId="77777777" w:rsidR="001937B9" w:rsidRPr="00BB703A" w:rsidRDefault="001937B9" w:rsidP="00615979">
            <w:pPr>
              <w:jc w:val="left"/>
              <w:rPr>
                <w:rFonts w:eastAsiaTheme="majorEastAsia" w:cstheme="majorBidi"/>
                <w:color w:val="000000" w:themeColor="text1"/>
              </w:rPr>
            </w:pPr>
            <w:r w:rsidRPr="00BB703A">
              <w:rPr>
                <w:rFonts w:eastAsiaTheme="majorEastAsia" w:cstheme="majorBidi"/>
                <w:color w:val="000000" w:themeColor="text1"/>
              </w:rPr>
              <w:t>Use of proof-reader/proof-reading service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F205257" w14:textId="77777777" w:rsidR="001937B9" w:rsidRPr="00BB703A" w:rsidRDefault="001937B9" w:rsidP="00615979">
            <w:pPr>
              <w:jc w:val="left"/>
              <w:rPr>
                <w:rFonts w:eastAsiaTheme="majorEastAsia" w:cstheme="majorBidi"/>
                <w:color w:val="000000" w:themeColor="text1"/>
              </w:rPr>
            </w:pPr>
            <w:r w:rsidRPr="00BB703A">
              <w:rPr>
                <w:rFonts w:eastAsiaTheme="majorEastAsia" w:cstheme="majorBidi"/>
                <w:color w:val="000000" w:themeColor="text1"/>
              </w:rPr>
              <w:t>NO</w:t>
            </w:r>
          </w:p>
        </w:tc>
      </w:tr>
      <w:tr w:rsidR="001937B9" w:rsidRPr="00BB703A" w14:paraId="0A833114" w14:textId="77777777" w:rsidTr="00615979">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9D095AC" w14:textId="77777777" w:rsidR="001937B9" w:rsidRPr="00BB703A" w:rsidRDefault="001937B9" w:rsidP="00615979">
            <w:pPr>
              <w:jc w:val="left"/>
              <w:rPr>
                <w:rFonts w:eastAsiaTheme="majorEastAsia" w:cstheme="majorBidi"/>
                <w:color w:val="000000" w:themeColor="text1"/>
              </w:rPr>
            </w:pPr>
            <w:r w:rsidRPr="00BB703A">
              <w:rPr>
                <w:rFonts w:eastAsiaTheme="majorEastAsia" w:cstheme="majorBidi"/>
                <w:color w:val="000000" w:themeColor="text1"/>
              </w:rPr>
              <w:t>If yes, specify which service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20A91AC" w14:textId="77777777" w:rsidR="001937B9" w:rsidRPr="00BB703A" w:rsidRDefault="001937B9" w:rsidP="00615979">
            <w:pPr>
              <w:jc w:val="left"/>
              <w:rPr>
                <w:rFonts w:eastAsiaTheme="majorEastAsia" w:cstheme="majorBidi"/>
                <w:color w:val="000000" w:themeColor="text1"/>
              </w:rPr>
            </w:pPr>
            <w:r>
              <w:rPr>
                <w:rFonts w:eastAsiaTheme="majorEastAsia" w:cstheme="majorBidi"/>
                <w:color w:val="000000" w:themeColor="text1"/>
              </w:rPr>
              <w:t>N/A</w:t>
            </w:r>
          </w:p>
        </w:tc>
      </w:tr>
      <w:tr w:rsidR="001937B9" w:rsidRPr="00BB703A" w14:paraId="632D79C7" w14:textId="77777777" w:rsidTr="00615979">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5FE8B94" w14:textId="77777777" w:rsidR="001937B9" w:rsidRPr="00BB703A" w:rsidRDefault="001937B9" w:rsidP="00615979">
            <w:pPr>
              <w:jc w:val="left"/>
              <w:rPr>
                <w:rFonts w:eastAsiaTheme="majorEastAsia" w:cstheme="majorBidi"/>
                <w:color w:val="000000" w:themeColor="text1"/>
              </w:rPr>
            </w:pPr>
            <w:r w:rsidRPr="00BB703A">
              <w:rPr>
                <w:rFonts w:eastAsiaTheme="majorEastAsia" w:cstheme="majorBidi"/>
                <w:color w:val="000000" w:themeColor="text1"/>
              </w:rPr>
              <w:t>I confirm that I submit this work as my own work and have cited all sources used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13D9942" w14:textId="77777777" w:rsidR="001937B9" w:rsidRPr="00BB703A" w:rsidRDefault="001937B9" w:rsidP="00615979">
            <w:pPr>
              <w:jc w:val="left"/>
              <w:rPr>
                <w:rFonts w:eastAsiaTheme="majorEastAsia" w:cstheme="majorBidi"/>
                <w:color w:val="000000" w:themeColor="text1"/>
              </w:rPr>
            </w:pPr>
            <w:r w:rsidRPr="00BB703A">
              <w:rPr>
                <w:rFonts w:eastAsiaTheme="majorEastAsia" w:cstheme="majorBidi"/>
                <w:color w:val="000000" w:themeColor="text1"/>
              </w:rPr>
              <w:t>YES</w:t>
            </w:r>
          </w:p>
        </w:tc>
      </w:tr>
      <w:tr w:rsidR="001937B9" w:rsidRPr="00BB703A" w14:paraId="5E4F7503" w14:textId="77777777" w:rsidTr="00615979">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2A5AA6C" w14:textId="77777777" w:rsidR="001937B9" w:rsidRPr="00BB703A" w:rsidRDefault="001937B9" w:rsidP="00615979">
            <w:pPr>
              <w:jc w:val="left"/>
              <w:rPr>
                <w:rFonts w:eastAsiaTheme="majorEastAsia" w:cstheme="majorBidi"/>
                <w:color w:val="000000" w:themeColor="text1"/>
              </w:rPr>
            </w:pPr>
            <w:r w:rsidRPr="00BB703A">
              <w:rPr>
                <w:rFonts w:eastAsiaTheme="majorEastAsia" w:cstheme="majorBidi"/>
                <w:color w:val="000000" w:themeColor="text1"/>
              </w:rPr>
              <w:t>I confirm that I have followed guidance on the acceptable use of AI tools for this assignment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887D6FE" w14:textId="77777777" w:rsidR="001937B9" w:rsidRPr="00BB703A" w:rsidRDefault="001937B9" w:rsidP="00615979">
            <w:pPr>
              <w:jc w:val="left"/>
              <w:rPr>
                <w:rFonts w:eastAsiaTheme="majorEastAsia" w:cstheme="majorBidi"/>
                <w:color w:val="000000" w:themeColor="text1"/>
              </w:rPr>
            </w:pPr>
            <w:r w:rsidRPr="00BB703A">
              <w:rPr>
                <w:rFonts w:eastAsiaTheme="majorEastAsia" w:cstheme="majorBidi"/>
                <w:color w:val="000000" w:themeColor="text1"/>
              </w:rPr>
              <w:t>YES</w:t>
            </w:r>
          </w:p>
        </w:tc>
      </w:tr>
      <w:tr w:rsidR="001937B9" w:rsidRPr="00BB703A" w14:paraId="0BAB81E2" w14:textId="77777777" w:rsidTr="00615979">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948CA69" w14:textId="77777777" w:rsidR="001937B9" w:rsidRPr="00BB703A" w:rsidRDefault="001937B9" w:rsidP="00615979">
            <w:pPr>
              <w:jc w:val="left"/>
              <w:rPr>
                <w:rFonts w:eastAsiaTheme="majorEastAsia" w:cstheme="majorBidi"/>
                <w:color w:val="000000" w:themeColor="text1"/>
              </w:rPr>
            </w:pPr>
            <w:r w:rsidRPr="00BB703A">
              <w:rPr>
                <w:rFonts w:eastAsiaTheme="majorEastAsia" w:cstheme="majorBidi"/>
                <w:color w:val="000000" w:themeColor="text1"/>
              </w:rPr>
              <w:t>Where use of appropriately cited AI tools is permitted, I confirm that I have cited in accordance with the UCA Harvard Referencing Standard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889DB35" w14:textId="77777777" w:rsidR="001937B9" w:rsidRPr="00BB703A" w:rsidRDefault="001937B9" w:rsidP="00615979">
            <w:pPr>
              <w:jc w:val="left"/>
              <w:rPr>
                <w:rFonts w:eastAsiaTheme="majorEastAsia" w:cstheme="majorBidi"/>
                <w:color w:val="000000" w:themeColor="text1"/>
              </w:rPr>
            </w:pPr>
            <w:r w:rsidRPr="00BB703A">
              <w:rPr>
                <w:rFonts w:eastAsiaTheme="majorEastAsia" w:cstheme="majorBidi"/>
                <w:color w:val="000000" w:themeColor="text1"/>
              </w:rPr>
              <w:t>YES</w:t>
            </w:r>
          </w:p>
        </w:tc>
      </w:tr>
    </w:tbl>
    <w:p w14:paraId="4DA277B8" w14:textId="77777777" w:rsidR="001937B9" w:rsidRDefault="001937B9" w:rsidP="001937B9">
      <w:pPr>
        <w:spacing w:after="160"/>
        <w:jc w:val="left"/>
        <w:rPr>
          <w:rFonts w:eastAsiaTheme="majorEastAsia" w:cstheme="majorBidi"/>
          <w:b/>
          <w:color w:val="000000" w:themeColor="text1"/>
          <w:sz w:val="32"/>
          <w:szCs w:val="40"/>
        </w:rPr>
      </w:pPr>
    </w:p>
    <w:tbl>
      <w:tblPr>
        <w:tblW w:w="5000" w:type="pct"/>
        <w:tblCellMar>
          <w:top w:w="15" w:type="dxa"/>
          <w:left w:w="15" w:type="dxa"/>
          <w:bottom w:w="15" w:type="dxa"/>
          <w:right w:w="15" w:type="dxa"/>
        </w:tblCellMar>
        <w:tblLook w:val="04A0" w:firstRow="1" w:lastRow="0" w:firstColumn="1" w:lastColumn="0" w:noHBand="0" w:noVBand="1"/>
      </w:tblPr>
      <w:tblGrid>
        <w:gridCol w:w="5329"/>
        <w:gridCol w:w="3681"/>
      </w:tblGrid>
      <w:tr w:rsidR="001937B9" w:rsidRPr="00D94928" w14:paraId="67173D4D" w14:textId="77777777" w:rsidTr="00615979">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CD7A5A8" w14:textId="77777777" w:rsidR="001937B9" w:rsidRPr="00D94928" w:rsidRDefault="001937B9" w:rsidP="00615979">
            <w:pPr>
              <w:spacing w:after="160"/>
              <w:jc w:val="left"/>
              <w:rPr>
                <w:rFonts w:eastAsiaTheme="majorEastAsia" w:cstheme="majorBidi"/>
                <w:b/>
                <w:bCs/>
                <w:color w:val="000000" w:themeColor="text1"/>
                <w:szCs w:val="32"/>
              </w:rPr>
            </w:pPr>
            <w:r w:rsidRPr="00D94928">
              <w:rPr>
                <w:rFonts w:eastAsiaTheme="majorEastAsia" w:cstheme="majorBidi"/>
                <w:b/>
                <w:bCs/>
                <w:color w:val="000000" w:themeColor="text1"/>
                <w:szCs w:val="32"/>
              </w:rPr>
              <w:t>Student signature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7FB19BD" w14:textId="77777777" w:rsidR="001937B9" w:rsidRPr="00D94928" w:rsidRDefault="001937B9" w:rsidP="00615979">
            <w:pPr>
              <w:spacing w:after="160"/>
              <w:jc w:val="left"/>
              <w:rPr>
                <w:rFonts w:eastAsiaTheme="majorEastAsia" w:cstheme="majorBidi"/>
                <w:b/>
                <w:bCs/>
                <w:color w:val="000000" w:themeColor="text1"/>
                <w:szCs w:val="32"/>
              </w:rPr>
            </w:pPr>
            <w:r w:rsidRPr="00D94928">
              <w:rPr>
                <w:rFonts w:eastAsiaTheme="majorEastAsia" w:cstheme="majorBidi"/>
                <w:b/>
                <w:bCs/>
                <w:color w:val="000000" w:themeColor="text1"/>
                <w:szCs w:val="32"/>
              </w:rPr>
              <w:t>Date</w:t>
            </w:r>
          </w:p>
        </w:tc>
      </w:tr>
      <w:tr w:rsidR="001937B9" w:rsidRPr="00D94928" w14:paraId="489BF7BF" w14:textId="77777777" w:rsidTr="00615979">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197A46B" w14:textId="77777777" w:rsidR="001937B9" w:rsidRPr="00D94928" w:rsidRDefault="001937B9" w:rsidP="00615979">
            <w:pPr>
              <w:jc w:val="left"/>
              <w:rPr>
                <w:rFonts w:eastAsiaTheme="majorEastAsia" w:cstheme="majorBidi"/>
                <w:b/>
                <w:bCs/>
                <w:color w:val="000000" w:themeColor="text1"/>
              </w:rPr>
            </w:pPr>
            <w:r w:rsidRPr="00D94928">
              <w:rPr>
                <w:noProof/>
              </w:rPr>
              <w:drawing>
                <wp:inline distT="0" distB="0" distL="0" distR="0" wp14:anchorId="227C370A" wp14:editId="125831EF">
                  <wp:extent cx="1295138" cy="495300"/>
                  <wp:effectExtent l="0" t="0" r="0" b="0"/>
                  <wp:docPr id="10798497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59284" name="Picture 542859284"/>
                          <pic:cNvPicPr/>
                        </pic:nvPicPr>
                        <pic:blipFill rotWithShape="1">
                          <a:blip r:embed="rId10" cstate="print">
                            <a:extLst>
                              <a:ext uri="{28A0092B-C50C-407E-A947-70E740481C1C}">
                                <a14:useLocalDpi xmlns:a14="http://schemas.microsoft.com/office/drawing/2010/main" val="0"/>
                              </a:ext>
                            </a:extLst>
                          </a:blip>
                          <a:srcRect t="16857" b="16493"/>
                          <a:stretch>
                            <a:fillRect/>
                          </a:stretch>
                        </pic:blipFill>
                        <pic:spPr bwMode="auto">
                          <a:xfrm>
                            <a:off x="0" y="0"/>
                            <a:ext cx="1318583" cy="504266"/>
                          </a:xfrm>
                          <a:prstGeom prst="rect">
                            <a:avLst/>
                          </a:prstGeom>
                          <a:ln>
                            <a:noFill/>
                          </a:ln>
                          <a:extLst>
                            <a:ext uri="{53640926-AAD7-44D8-BBD7-CCE9431645EC}">
                              <a14:shadowObscured xmlns:a14="http://schemas.microsoft.com/office/drawing/2010/main"/>
                            </a:ext>
                          </a:extLst>
                        </pic:spPr>
                      </pic:pic>
                    </a:graphicData>
                  </a:graphic>
                </wp:inline>
              </w:drawing>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18B507F" w14:textId="4588D687" w:rsidR="001937B9" w:rsidRPr="00D94928" w:rsidRDefault="001937B9" w:rsidP="00615979">
            <w:pPr>
              <w:spacing w:line="360" w:lineRule="auto"/>
              <w:jc w:val="left"/>
              <w:rPr>
                <w:bCs/>
              </w:rPr>
            </w:pPr>
            <w:r w:rsidRPr="00D94928">
              <w:rPr>
                <w:bCs/>
              </w:rPr>
              <w:t>1</w:t>
            </w:r>
            <w:r>
              <w:rPr>
                <w:bCs/>
              </w:rPr>
              <w:t>5</w:t>
            </w:r>
            <w:r w:rsidRPr="00D94928">
              <w:rPr>
                <w:bCs/>
              </w:rPr>
              <w:t xml:space="preserve"> / </w:t>
            </w:r>
            <w:r>
              <w:rPr>
                <w:bCs/>
              </w:rPr>
              <w:t>06</w:t>
            </w:r>
            <w:r w:rsidRPr="00D94928">
              <w:rPr>
                <w:bCs/>
              </w:rPr>
              <w:t xml:space="preserve"> / 2026</w:t>
            </w:r>
          </w:p>
        </w:tc>
      </w:tr>
    </w:tbl>
    <w:p w14:paraId="3E13267C" w14:textId="3A8301B8" w:rsidR="001937B9" w:rsidRDefault="001937B9" w:rsidP="00143406">
      <w:pPr>
        <w:spacing w:after="160" w:line="360" w:lineRule="auto"/>
        <w:rPr>
          <w:rFonts w:eastAsiaTheme="majorEastAsia" w:cs="Times New Roman"/>
          <w:b/>
          <w:color w:val="000000" w:themeColor="text1"/>
          <w:sz w:val="32"/>
          <w:szCs w:val="40"/>
        </w:rPr>
      </w:pPr>
    </w:p>
    <w:p w14:paraId="4EE5D033" w14:textId="77777777" w:rsidR="001937B9" w:rsidRDefault="001937B9">
      <w:pPr>
        <w:spacing w:after="160"/>
        <w:jc w:val="left"/>
        <w:rPr>
          <w:rFonts w:eastAsiaTheme="majorEastAsia" w:cs="Times New Roman"/>
          <w:b/>
          <w:color w:val="000000" w:themeColor="text1"/>
          <w:sz w:val="32"/>
          <w:szCs w:val="40"/>
        </w:rPr>
      </w:pPr>
      <w:r>
        <w:rPr>
          <w:rFonts w:eastAsiaTheme="majorEastAsia" w:cs="Times New Roman"/>
          <w:b/>
          <w:color w:val="000000" w:themeColor="text1"/>
          <w:sz w:val="32"/>
          <w:szCs w:val="40"/>
        </w:rPr>
        <w:br w:type="page"/>
      </w:r>
    </w:p>
    <w:p w14:paraId="31044188" w14:textId="0FB25FBB" w:rsidR="00FC3058" w:rsidRPr="00B903F0" w:rsidRDefault="00FC3058" w:rsidP="00FC3058">
      <w:pPr>
        <w:rPr>
          <w:rFonts w:cstheme="majorBidi"/>
          <w:b/>
          <w:bCs/>
          <w:sz w:val="28"/>
          <w:szCs w:val="28"/>
        </w:rPr>
      </w:pPr>
      <w:r w:rsidRPr="00B903F0">
        <w:rPr>
          <w:b/>
          <w:bCs/>
          <w:sz w:val="28"/>
          <w:szCs w:val="28"/>
        </w:rPr>
        <w:lastRenderedPageBreak/>
        <w:t>Table of Contents</w:t>
      </w:r>
    </w:p>
    <w:sdt>
      <w:sdtPr>
        <w:rPr>
          <w:rFonts w:cs="Times New Roman"/>
          <w:b/>
        </w:rPr>
        <w:id w:val="-1623925492"/>
        <w:docPartObj>
          <w:docPartGallery w:val="Table of Contents"/>
          <w:docPartUnique/>
        </w:docPartObj>
      </w:sdtPr>
      <w:sdtEndPr>
        <w:rPr>
          <w:b w:val="0"/>
          <w:bCs/>
          <w:noProof/>
        </w:rPr>
      </w:sdtEndPr>
      <w:sdtContent>
        <w:p w14:paraId="77E9991D" w14:textId="77316919" w:rsidR="00FE2D71" w:rsidRDefault="00783291">
          <w:pPr>
            <w:pStyle w:val="TOC1"/>
            <w:rPr>
              <w:rFonts w:asciiTheme="minorHAnsi" w:eastAsiaTheme="minorEastAsia" w:hAnsiTheme="minorHAnsi"/>
              <w:noProof/>
            </w:rPr>
          </w:pPr>
          <w:r w:rsidRPr="00783291">
            <w:rPr>
              <w:rFonts w:cs="Times New Roman"/>
            </w:rPr>
            <w:fldChar w:fldCharType="begin"/>
          </w:r>
          <w:r w:rsidRPr="00783291">
            <w:rPr>
              <w:rFonts w:cs="Times New Roman"/>
            </w:rPr>
            <w:instrText xml:space="preserve"> TOC \o "1-3" \h \z \u </w:instrText>
          </w:r>
          <w:r w:rsidRPr="00783291">
            <w:rPr>
              <w:rFonts w:cs="Times New Roman"/>
            </w:rPr>
            <w:fldChar w:fldCharType="separate"/>
          </w:r>
          <w:hyperlink w:anchor="_Toc232402488" w:history="1">
            <w:r w:rsidR="00FE2D71" w:rsidRPr="00A80316">
              <w:rPr>
                <w:rStyle w:val="Hyperlink"/>
                <w:rFonts w:cs="Times New Roman"/>
                <w:noProof/>
              </w:rPr>
              <w:t>Executive Summary</w:t>
            </w:r>
            <w:r w:rsidR="00FE2D71">
              <w:rPr>
                <w:noProof/>
                <w:webHidden/>
              </w:rPr>
              <w:tab/>
            </w:r>
            <w:r w:rsidR="00FE2D71">
              <w:rPr>
                <w:noProof/>
                <w:webHidden/>
              </w:rPr>
              <w:fldChar w:fldCharType="begin"/>
            </w:r>
            <w:r w:rsidR="00FE2D71">
              <w:rPr>
                <w:noProof/>
                <w:webHidden/>
              </w:rPr>
              <w:instrText xml:space="preserve"> PAGEREF _Toc232402488 \h </w:instrText>
            </w:r>
            <w:r w:rsidR="00FE2D71">
              <w:rPr>
                <w:noProof/>
                <w:webHidden/>
              </w:rPr>
            </w:r>
            <w:r w:rsidR="00FE2D71">
              <w:rPr>
                <w:noProof/>
                <w:webHidden/>
              </w:rPr>
              <w:fldChar w:fldCharType="separate"/>
            </w:r>
            <w:r w:rsidR="00FE2D71">
              <w:rPr>
                <w:noProof/>
                <w:webHidden/>
              </w:rPr>
              <w:t>5</w:t>
            </w:r>
            <w:r w:rsidR="00FE2D71">
              <w:rPr>
                <w:noProof/>
                <w:webHidden/>
              </w:rPr>
              <w:fldChar w:fldCharType="end"/>
            </w:r>
          </w:hyperlink>
        </w:p>
        <w:p w14:paraId="57A3E605" w14:textId="53369D82" w:rsidR="00FE2D71" w:rsidRDefault="00FE2D71">
          <w:pPr>
            <w:pStyle w:val="TOC1"/>
            <w:rPr>
              <w:rFonts w:asciiTheme="minorHAnsi" w:eastAsiaTheme="minorEastAsia" w:hAnsiTheme="minorHAnsi"/>
              <w:noProof/>
            </w:rPr>
          </w:pPr>
          <w:hyperlink w:anchor="_Toc232402489" w:history="1">
            <w:r w:rsidRPr="00A80316">
              <w:rPr>
                <w:rStyle w:val="Hyperlink"/>
                <w:rFonts w:cs="Times New Roman"/>
                <w:noProof/>
              </w:rPr>
              <w:t>Introduction</w:t>
            </w:r>
            <w:r>
              <w:rPr>
                <w:noProof/>
                <w:webHidden/>
              </w:rPr>
              <w:tab/>
            </w:r>
            <w:r>
              <w:rPr>
                <w:noProof/>
                <w:webHidden/>
              </w:rPr>
              <w:fldChar w:fldCharType="begin"/>
            </w:r>
            <w:r>
              <w:rPr>
                <w:noProof/>
                <w:webHidden/>
              </w:rPr>
              <w:instrText xml:space="preserve"> PAGEREF _Toc232402489 \h </w:instrText>
            </w:r>
            <w:r>
              <w:rPr>
                <w:noProof/>
                <w:webHidden/>
              </w:rPr>
            </w:r>
            <w:r>
              <w:rPr>
                <w:noProof/>
                <w:webHidden/>
              </w:rPr>
              <w:fldChar w:fldCharType="separate"/>
            </w:r>
            <w:r>
              <w:rPr>
                <w:noProof/>
                <w:webHidden/>
              </w:rPr>
              <w:t>6</w:t>
            </w:r>
            <w:r>
              <w:rPr>
                <w:noProof/>
                <w:webHidden/>
              </w:rPr>
              <w:fldChar w:fldCharType="end"/>
            </w:r>
          </w:hyperlink>
        </w:p>
        <w:p w14:paraId="45BC2AA7" w14:textId="0E479791" w:rsidR="00FE2D71" w:rsidRDefault="00FE2D71">
          <w:pPr>
            <w:pStyle w:val="TOC1"/>
            <w:rPr>
              <w:rFonts w:asciiTheme="minorHAnsi" w:eastAsiaTheme="minorEastAsia" w:hAnsiTheme="minorHAnsi"/>
              <w:noProof/>
            </w:rPr>
          </w:pPr>
          <w:hyperlink w:anchor="_Toc232402490" w:history="1">
            <w:r w:rsidRPr="00A80316">
              <w:rPr>
                <w:rStyle w:val="Hyperlink"/>
                <w:rFonts w:cs="Times New Roman"/>
                <w:noProof/>
              </w:rPr>
              <w:t>Overview of Ethical and Legal Issues</w:t>
            </w:r>
            <w:r>
              <w:rPr>
                <w:noProof/>
                <w:webHidden/>
              </w:rPr>
              <w:tab/>
            </w:r>
            <w:r>
              <w:rPr>
                <w:noProof/>
                <w:webHidden/>
              </w:rPr>
              <w:fldChar w:fldCharType="begin"/>
            </w:r>
            <w:r>
              <w:rPr>
                <w:noProof/>
                <w:webHidden/>
              </w:rPr>
              <w:instrText xml:space="preserve"> PAGEREF _Toc232402490 \h </w:instrText>
            </w:r>
            <w:r>
              <w:rPr>
                <w:noProof/>
                <w:webHidden/>
              </w:rPr>
            </w:r>
            <w:r>
              <w:rPr>
                <w:noProof/>
                <w:webHidden/>
              </w:rPr>
              <w:fldChar w:fldCharType="separate"/>
            </w:r>
            <w:r>
              <w:rPr>
                <w:noProof/>
                <w:webHidden/>
              </w:rPr>
              <w:t>7</w:t>
            </w:r>
            <w:r>
              <w:rPr>
                <w:noProof/>
                <w:webHidden/>
              </w:rPr>
              <w:fldChar w:fldCharType="end"/>
            </w:r>
          </w:hyperlink>
        </w:p>
        <w:p w14:paraId="5EBD2487" w14:textId="4B5CFD11" w:rsidR="00FE2D71" w:rsidRDefault="00FE2D71">
          <w:pPr>
            <w:pStyle w:val="TOC1"/>
            <w:rPr>
              <w:rFonts w:asciiTheme="minorHAnsi" w:eastAsiaTheme="minorEastAsia" w:hAnsiTheme="minorHAnsi"/>
              <w:noProof/>
            </w:rPr>
          </w:pPr>
          <w:hyperlink w:anchor="_Toc232402491" w:history="1">
            <w:r w:rsidRPr="00A80316">
              <w:rPr>
                <w:rStyle w:val="Hyperlink"/>
                <w:rFonts w:cs="Times New Roman"/>
                <w:bCs/>
                <w:noProof/>
              </w:rPr>
              <w:t>In-Depth Ethical Analysis</w:t>
            </w:r>
            <w:r>
              <w:rPr>
                <w:noProof/>
                <w:webHidden/>
              </w:rPr>
              <w:tab/>
            </w:r>
            <w:r>
              <w:rPr>
                <w:noProof/>
                <w:webHidden/>
              </w:rPr>
              <w:fldChar w:fldCharType="begin"/>
            </w:r>
            <w:r>
              <w:rPr>
                <w:noProof/>
                <w:webHidden/>
              </w:rPr>
              <w:instrText xml:space="preserve"> PAGEREF _Toc232402491 \h </w:instrText>
            </w:r>
            <w:r>
              <w:rPr>
                <w:noProof/>
                <w:webHidden/>
              </w:rPr>
            </w:r>
            <w:r>
              <w:rPr>
                <w:noProof/>
                <w:webHidden/>
              </w:rPr>
              <w:fldChar w:fldCharType="separate"/>
            </w:r>
            <w:r>
              <w:rPr>
                <w:noProof/>
                <w:webHidden/>
              </w:rPr>
              <w:t>9</w:t>
            </w:r>
            <w:r>
              <w:rPr>
                <w:noProof/>
                <w:webHidden/>
              </w:rPr>
              <w:fldChar w:fldCharType="end"/>
            </w:r>
          </w:hyperlink>
        </w:p>
        <w:p w14:paraId="192F4369" w14:textId="4D75AB0F" w:rsidR="00FE2D71" w:rsidRDefault="00FE2D71">
          <w:pPr>
            <w:pStyle w:val="TOC1"/>
            <w:rPr>
              <w:rFonts w:asciiTheme="minorHAnsi" w:eastAsiaTheme="minorEastAsia" w:hAnsiTheme="minorHAnsi"/>
              <w:noProof/>
            </w:rPr>
          </w:pPr>
          <w:hyperlink w:anchor="_Toc232402492" w:history="1">
            <w:r w:rsidRPr="00A80316">
              <w:rPr>
                <w:rStyle w:val="Hyperlink"/>
                <w:rFonts w:cs="Times New Roman"/>
                <w:noProof/>
              </w:rPr>
              <w:t>In-Depth Legal Analysis (EU Jurisdiction)</w:t>
            </w:r>
            <w:r>
              <w:rPr>
                <w:noProof/>
                <w:webHidden/>
              </w:rPr>
              <w:tab/>
            </w:r>
            <w:r>
              <w:rPr>
                <w:noProof/>
                <w:webHidden/>
              </w:rPr>
              <w:fldChar w:fldCharType="begin"/>
            </w:r>
            <w:r>
              <w:rPr>
                <w:noProof/>
                <w:webHidden/>
              </w:rPr>
              <w:instrText xml:space="preserve"> PAGEREF _Toc232402492 \h </w:instrText>
            </w:r>
            <w:r>
              <w:rPr>
                <w:noProof/>
                <w:webHidden/>
              </w:rPr>
            </w:r>
            <w:r>
              <w:rPr>
                <w:noProof/>
                <w:webHidden/>
              </w:rPr>
              <w:fldChar w:fldCharType="separate"/>
            </w:r>
            <w:r>
              <w:rPr>
                <w:noProof/>
                <w:webHidden/>
              </w:rPr>
              <w:t>11</w:t>
            </w:r>
            <w:r>
              <w:rPr>
                <w:noProof/>
                <w:webHidden/>
              </w:rPr>
              <w:fldChar w:fldCharType="end"/>
            </w:r>
          </w:hyperlink>
        </w:p>
        <w:p w14:paraId="4539C9FE" w14:textId="715F9266" w:rsidR="00FE2D71" w:rsidRDefault="00FE2D71">
          <w:pPr>
            <w:pStyle w:val="TOC1"/>
            <w:rPr>
              <w:rFonts w:asciiTheme="minorHAnsi" w:eastAsiaTheme="minorEastAsia" w:hAnsiTheme="minorHAnsi"/>
              <w:noProof/>
            </w:rPr>
          </w:pPr>
          <w:hyperlink w:anchor="_Toc232402493" w:history="1">
            <w:r w:rsidRPr="00A80316">
              <w:rPr>
                <w:rStyle w:val="Hyperlink"/>
                <w:rFonts w:cs="Times New Roman"/>
                <w:noProof/>
              </w:rPr>
              <w:t>Mitigation Strategies</w:t>
            </w:r>
            <w:r>
              <w:rPr>
                <w:noProof/>
                <w:webHidden/>
              </w:rPr>
              <w:tab/>
            </w:r>
            <w:r>
              <w:rPr>
                <w:noProof/>
                <w:webHidden/>
              </w:rPr>
              <w:fldChar w:fldCharType="begin"/>
            </w:r>
            <w:r>
              <w:rPr>
                <w:noProof/>
                <w:webHidden/>
              </w:rPr>
              <w:instrText xml:space="preserve"> PAGEREF _Toc232402493 \h </w:instrText>
            </w:r>
            <w:r>
              <w:rPr>
                <w:noProof/>
                <w:webHidden/>
              </w:rPr>
            </w:r>
            <w:r>
              <w:rPr>
                <w:noProof/>
                <w:webHidden/>
              </w:rPr>
              <w:fldChar w:fldCharType="separate"/>
            </w:r>
            <w:r>
              <w:rPr>
                <w:noProof/>
                <w:webHidden/>
              </w:rPr>
              <w:t>13</w:t>
            </w:r>
            <w:r>
              <w:rPr>
                <w:noProof/>
                <w:webHidden/>
              </w:rPr>
              <w:fldChar w:fldCharType="end"/>
            </w:r>
          </w:hyperlink>
        </w:p>
        <w:p w14:paraId="5506ED9D" w14:textId="26F2E924" w:rsidR="00FE2D71" w:rsidRDefault="00FE2D71">
          <w:pPr>
            <w:pStyle w:val="TOC1"/>
            <w:rPr>
              <w:rFonts w:asciiTheme="minorHAnsi" w:eastAsiaTheme="minorEastAsia" w:hAnsiTheme="minorHAnsi"/>
              <w:noProof/>
            </w:rPr>
          </w:pPr>
          <w:hyperlink w:anchor="_Toc232402494" w:history="1">
            <w:r w:rsidRPr="00A80316">
              <w:rPr>
                <w:rStyle w:val="Hyperlink"/>
                <w:rFonts w:cs="Times New Roman"/>
                <w:noProof/>
              </w:rPr>
              <w:t>Recommendations</w:t>
            </w:r>
            <w:r>
              <w:rPr>
                <w:noProof/>
                <w:webHidden/>
              </w:rPr>
              <w:tab/>
            </w:r>
            <w:r>
              <w:rPr>
                <w:noProof/>
                <w:webHidden/>
              </w:rPr>
              <w:fldChar w:fldCharType="begin"/>
            </w:r>
            <w:r>
              <w:rPr>
                <w:noProof/>
                <w:webHidden/>
              </w:rPr>
              <w:instrText xml:space="preserve"> PAGEREF _Toc232402494 \h </w:instrText>
            </w:r>
            <w:r>
              <w:rPr>
                <w:noProof/>
                <w:webHidden/>
              </w:rPr>
            </w:r>
            <w:r>
              <w:rPr>
                <w:noProof/>
                <w:webHidden/>
              </w:rPr>
              <w:fldChar w:fldCharType="separate"/>
            </w:r>
            <w:r>
              <w:rPr>
                <w:noProof/>
                <w:webHidden/>
              </w:rPr>
              <w:t>14</w:t>
            </w:r>
            <w:r>
              <w:rPr>
                <w:noProof/>
                <w:webHidden/>
              </w:rPr>
              <w:fldChar w:fldCharType="end"/>
            </w:r>
          </w:hyperlink>
        </w:p>
        <w:p w14:paraId="05D67FCC" w14:textId="64CBA22F" w:rsidR="00FE2D71" w:rsidRDefault="00FE2D71">
          <w:pPr>
            <w:pStyle w:val="TOC1"/>
            <w:rPr>
              <w:rFonts w:asciiTheme="minorHAnsi" w:eastAsiaTheme="minorEastAsia" w:hAnsiTheme="minorHAnsi"/>
              <w:noProof/>
            </w:rPr>
          </w:pPr>
          <w:hyperlink w:anchor="_Toc232402495" w:history="1">
            <w:r w:rsidRPr="00A80316">
              <w:rPr>
                <w:rStyle w:val="Hyperlink"/>
                <w:noProof/>
              </w:rPr>
              <w:t>Concluding Remarks</w:t>
            </w:r>
            <w:r>
              <w:rPr>
                <w:noProof/>
                <w:webHidden/>
              </w:rPr>
              <w:tab/>
            </w:r>
            <w:r>
              <w:rPr>
                <w:noProof/>
                <w:webHidden/>
              </w:rPr>
              <w:fldChar w:fldCharType="begin"/>
            </w:r>
            <w:r>
              <w:rPr>
                <w:noProof/>
                <w:webHidden/>
              </w:rPr>
              <w:instrText xml:space="preserve"> PAGEREF _Toc232402495 \h </w:instrText>
            </w:r>
            <w:r>
              <w:rPr>
                <w:noProof/>
                <w:webHidden/>
              </w:rPr>
            </w:r>
            <w:r>
              <w:rPr>
                <w:noProof/>
                <w:webHidden/>
              </w:rPr>
              <w:fldChar w:fldCharType="separate"/>
            </w:r>
            <w:r>
              <w:rPr>
                <w:noProof/>
                <w:webHidden/>
              </w:rPr>
              <w:t>15</w:t>
            </w:r>
            <w:r>
              <w:rPr>
                <w:noProof/>
                <w:webHidden/>
              </w:rPr>
              <w:fldChar w:fldCharType="end"/>
            </w:r>
          </w:hyperlink>
        </w:p>
        <w:p w14:paraId="10F16DD5" w14:textId="3FBD91A9" w:rsidR="00FE2D71" w:rsidRDefault="00FE2D71">
          <w:pPr>
            <w:pStyle w:val="TOC1"/>
            <w:rPr>
              <w:rFonts w:asciiTheme="minorHAnsi" w:eastAsiaTheme="minorEastAsia" w:hAnsiTheme="minorHAnsi"/>
              <w:noProof/>
            </w:rPr>
          </w:pPr>
          <w:hyperlink w:anchor="_Toc232402496" w:history="1">
            <w:r w:rsidRPr="00A80316">
              <w:rPr>
                <w:rStyle w:val="Hyperlink"/>
                <w:noProof/>
              </w:rPr>
              <w:t>Acknowledgement</w:t>
            </w:r>
            <w:r>
              <w:rPr>
                <w:noProof/>
                <w:webHidden/>
              </w:rPr>
              <w:tab/>
            </w:r>
            <w:r>
              <w:rPr>
                <w:noProof/>
                <w:webHidden/>
              </w:rPr>
              <w:fldChar w:fldCharType="begin"/>
            </w:r>
            <w:r>
              <w:rPr>
                <w:noProof/>
                <w:webHidden/>
              </w:rPr>
              <w:instrText xml:space="preserve"> PAGEREF _Toc232402496 \h </w:instrText>
            </w:r>
            <w:r>
              <w:rPr>
                <w:noProof/>
                <w:webHidden/>
              </w:rPr>
            </w:r>
            <w:r>
              <w:rPr>
                <w:noProof/>
                <w:webHidden/>
              </w:rPr>
              <w:fldChar w:fldCharType="separate"/>
            </w:r>
            <w:r>
              <w:rPr>
                <w:noProof/>
                <w:webHidden/>
              </w:rPr>
              <w:t>16</w:t>
            </w:r>
            <w:r>
              <w:rPr>
                <w:noProof/>
                <w:webHidden/>
              </w:rPr>
              <w:fldChar w:fldCharType="end"/>
            </w:r>
          </w:hyperlink>
        </w:p>
        <w:p w14:paraId="190F4B1D" w14:textId="50C28A43" w:rsidR="00FE2D71" w:rsidRDefault="00FE2D71">
          <w:pPr>
            <w:pStyle w:val="TOC1"/>
            <w:rPr>
              <w:rFonts w:asciiTheme="minorHAnsi" w:eastAsiaTheme="minorEastAsia" w:hAnsiTheme="minorHAnsi"/>
              <w:noProof/>
            </w:rPr>
          </w:pPr>
          <w:hyperlink w:anchor="_Toc232402497" w:history="1">
            <w:r w:rsidRPr="00A80316">
              <w:rPr>
                <w:rStyle w:val="Hyperlink"/>
                <w:rFonts w:cs="Times New Roman"/>
                <w:noProof/>
              </w:rPr>
              <w:t>References</w:t>
            </w:r>
            <w:r>
              <w:rPr>
                <w:noProof/>
                <w:webHidden/>
              </w:rPr>
              <w:tab/>
            </w:r>
            <w:r>
              <w:rPr>
                <w:noProof/>
                <w:webHidden/>
              </w:rPr>
              <w:fldChar w:fldCharType="begin"/>
            </w:r>
            <w:r>
              <w:rPr>
                <w:noProof/>
                <w:webHidden/>
              </w:rPr>
              <w:instrText xml:space="preserve"> PAGEREF _Toc232402497 \h </w:instrText>
            </w:r>
            <w:r>
              <w:rPr>
                <w:noProof/>
                <w:webHidden/>
              </w:rPr>
            </w:r>
            <w:r>
              <w:rPr>
                <w:noProof/>
                <w:webHidden/>
              </w:rPr>
              <w:fldChar w:fldCharType="separate"/>
            </w:r>
            <w:r>
              <w:rPr>
                <w:noProof/>
                <w:webHidden/>
              </w:rPr>
              <w:t>17</w:t>
            </w:r>
            <w:r>
              <w:rPr>
                <w:noProof/>
                <w:webHidden/>
              </w:rPr>
              <w:fldChar w:fldCharType="end"/>
            </w:r>
          </w:hyperlink>
        </w:p>
        <w:p w14:paraId="7E084539" w14:textId="7AC15CFE" w:rsidR="00783291" w:rsidRPr="00783291" w:rsidRDefault="00783291" w:rsidP="00D711A1">
          <w:pPr>
            <w:pStyle w:val="TOC1"/>
            <w:rPr>
              <w:rFonts w:cs="Times New Roman"/>
            </w:rPr>
          </w:pPr>
          <w:r w:rsidRPr="00783291">
            <w:rPr>
              <w:rFonts w:cs="Times New Roman"/>
              <w:b/>
              <w:bCs/>
              <w:noProof/>
            </w:rPr>
            <w:fldChar w:fldCharType="end"/>
          </w:r>
        </w:p>
      </w:sdtContent>
    </w:sdt>
    <w:p w14:paraId="244F2BFD" w14:textId="77777777" w:rsidR="00783291" w:rsidRPr="00783291" w:rsidRDefault="00783291" w:rsidP="00783291">
      <w:pPr>
        <w:rPr>
          <w:rFonts w:cs="Times New Roman"/>
        </w:rPr>
      </w:pPr>
    </w:p>
    <w:p w14:paraId="1731C02F" w14:textId="77777777" w:rsidR="00283C68" w:rsidRPr="00783291" w:rsidRDefault="00283C68" w:rsidP="00283C68">
      <w:pPr>
        <w:rPr>
          <w:rFonts w:cs="Times New Roman"/>
        </w:rPr>
      </w:pPr>
    </w:p>
    <w:p w14:paraId="7344C195" w14:textId="77777777" w:rsidR="00283C68" w:rsidRPr="00783291" w:rsidRDefault="00283C68">
      <w:pPr>
        <w:spacing w:after="160"/>
        <w:jc w:val="left"/>
        <w:rPr>
          <w:rFonts w:cs="Times New Roman"/>
        </w:rPr>
      </w:pPr>
      <w:r w:rsidRPr="00783291">
        <w:rPr>
          <w:rFonts w:cs="Times New Roman"/>
        </w:rPr>
        <w:br w:type="page"/>
      </w:r>
    </w:p>
    <w:p w14:paraId="73E34089" w14:textId="77777777" w:rsidR="00283C68" w:rsidRPr="00B903F0" w:rsidRDefault="00283C68" w:rsidP="00CE198F">
      <w:pPr>
        <w:spacing w:line="360" w:lineRule="auto"/>
        <w:jc w:val="center"/>
        <w:rPr>
          <w:rFonts w:cs="Times New Roman"/>
          <w:b/>
          <w:sz w:val="28"/>
          <w:szCs w:val="28"/>
        </w:rPr>
      </w:pPr>
      <w:r w:rsidRPr="00B903F0">
        <w:rPr>
          <w:rFonts w:cs="Times New Roman"/>
          <w:b/>
          <w:sz w:val="28"/>
          <w:szCs w:val="28"/>
        </w:rPr>
        <w:lastRenderedPageBreak/>
        <w:t>Statement of compliance with academic ethics and the avoidance of plagiarism</w:t>
      </w:r>
    </w:p>
    <w:p w14:paraId="55689E5E" w14:textId="521062C1" w:rsidR="00283C68" w:rsidRPr="00783291" w:rsidRDefault="00283C68" w:rsidP="00676D0A">
      <w:pPr>
        <w:spacing w:before="240" w:line="360" w:lineRule="auto"/>
        <w:rPr>
          <w:rFonts w:cs="Times New Roman"/>
        </w:rPr>
      </w:pPr>
      <w:r w:rsidRPr="00783291">
        <w:rPr>
          <w:rFonts w:cs="Times New Roman"/>
        </w:rPr>
        <w:t>I honestly declare that this dissertation is entirely my own work and none of its part has been copied from printed or electronic sources, translated from foreign sources and reproduced from essays of other researchers or students. Wherever I have been based on ideas or other people texts I clearly declare it through the good use of references following academic ethics.</w:t>
      </w:r>
    </w:p>
    <w:p w14:paraId="189EC8A7" w14:textId="77777777" w:rsidR="00A30862" w:rsidRDefault="00A30862" w:rsidP="005C2E2A">
      <w:pPr>
        <w:spacing w:line="360" w:lineRule="auto"/>
        <w:rPr>
          <w:rFonts w:cs="Times New Roman"/>
        </w:rPr>
      </w:pPr>
    </w:p>
    <w:p w14:paraId="2990564A" w14:textId="41B35A5F" w:rsidR="00283C68" w:rsidRPr="00783291" w:rsidRDefault="00283C68" w:rsidP="005C2E2A">
      <w:pPr>
        <w:spacing w:line="360" w:lineRule="auto"/>
        <w:rPr>
          <w:rFonts w:cs="Times New Roman"/>
        </w:rPr>
      </w:pPr>
      <w:r w:rsidRPr="00783291">
        <w:rPr>
          <w:rFonts w:cs="Times New Roman"/>
        </w:rPr>
        <w:t>(In the case that is proved that part of the essay does not constitute an original work, but a copy of an already published essay or from another source, the student will be expelled permanently from the postgraduate program).</w:t>
      </w:r>
    </w:p>
    <w:p w14:paraId="214B1C11" w14:textId="77777777" w:rsidR="00283C68" w:rsidRPr="00783291" w:rsidRDefault="00283C68" w:rsidP="005C2E2A">
      <w:pPr>
        <w:spacing w:line="360" w:lineRule="auto"/>
        <w:rPr>
          <w:rFonts w:cs="Times New Roman"/>
          <w:b/>
        </w:rPr>
      </w:pPr>
    </w:p>
    <w:p w14:paraId="59808114" w14:textId="77777777" w:rsidR="00283C68" w:rsidRPr="00783291" w:rsidRDefault="00283C68" w:rsidP="005C2E2A">
      <w:pPr>
        <w:spacing w:line="360" w:lineRule="auto"/>
        <w:rPr>
          <w:rFonts w:cs="Times New Roman"/>
        </w:rPr>
      </w:pPr>
    </w:p>
    <w:p w14:paraId="31E4D25B" w14:textId="0F86413E" w:rsidR="00283C68" w:rsidRPr="00783291" w:rsidRDefault="00283C68" w:rsidP="005C2E2A">
      <w:pPr>
        <w:spacing w:line="360" w:lineRule="auto"/>
        <w:rPr>
          <w:rFonts w:cs="Times New Roman"/>
        </w:rPr>
      </w:pPr>
      <w:r w:rsidRPr="00783291">
        <w:rPr>
          <w:rFonts w:cs="Times New Roman"/>
        </w:rPr>
        <w:t>Name and Surname:</w:t>
      </w:r>
      <w:r w:rsidRPr="00783291">
        <w:rPr>
          <w:rFonts w:cs="Times New Roman"/>
        </w:rPr>
        <w:tab/>
      </w:r>
      <w:r w:rsidRPr="00783291">
        <w:rPr>
          <w:rFonts w:cs="Times New Roman"/>
        </w:rPr>
        <w:tab/>
      </w:r>
      <w:r w:rsidRPr="00783291">
        <w:rPr>
          <w:rFonts w:cs="Times New Roman"/>
        </w:rPr>
        <w:tab/>
      </w:r>
      <w:r w:rsidRPr="00783291">
        <w:rPr>
          <w:rFonts w:cs="Times New Roman"/>
        </w:rPr>
        <w:tab/>
      </w:r>
      <w:r w:rsidRPr="00783291">
        <w:rPr>
          <w:rFonts w:cs="Times New Roman"/>
        </w:rPr>
        <w:tab/>
      </w:r>
      <w:r w:rsidRPr="00783291">
        <w:rPr>
          <w:rFonts w:cs="Times New Roman"/>
        </w:rPr>
        <w:tab/>
      </w:r>
    </w:p>
    <w:p w14:paraId="3266AABA" w14:textId="1DD17EFC" w:rsidR="00283C68" w:rsidRPr="00783291" w:rsidRDefault="00283C68" w:rsidP="005C2E2A">
      <w:pPr>
        <w:spacing w:line="360" w:lineRule="auto"/>
        <w:rPr>
          <w:rFonts w:cs="Times New Roman"/>
          <w:u w:val="dotted"/>
        </w:rPr>
      </w:pPr>
      <w:r w:rsidRPr="00783291">
        <w:rPr>
          <w:rFonts w:cs="Times New Roman"/>
          <w:u w:val="dotted"/>
        </w:rPr>
        <w:t>AMAAN MOHAMMED KHALANDER</w:t>
      </w:r>
    </w:p>
    <w:p w14:paraId="358CFE92" w14:textId="7441F31D" w:rsidR="00283C68" w:rsidRPr="00783291" w:rsidRDefault="00283C68" w:rsidP="005C2E2A">
      <w:pPr>
        <w:spacing w:line="360" w:lineRule="auto"/>
        <w:rPr>
          <w:rFonts w:cs="Times New Roman"/>
          <w:u w:val="single"/>
        </w:rPr>
      </w:pPr>
      <w:r w:rsidRPr="00783291">
        <w:rPr>
          <w:rFonts w:cs="Times New Roman"/>
          <w:noProof/>
        </w:rPr>
        <w:drawing>
          <wp:inline distT="0" distB="0" distL="0" distR="0" wp14:anchorId="1F8444EF" wp14:editId="6C09E3E0">
            <wp:extent cx="1295400" cy="486508"/>
            <wp:effectExtent l="0" t="0" r="0" b="8890"/>
            <wp:docPr id="5428592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59284" name="Picture 542859284"/>
                    <pic:cNvPicPr/>
                  </pic:nvPicPr>
                  <pic:blipFill rotWithShape="1">
                    <a:blip r:embed="rId10" cstate="print">
                      <a:extLst>
                        <a:ext uri="{28A0092B-C50C-407E-A947-70E740481C1C}">
                          <a14:useLocalDpi xmlns:a14="http://schemas.microsoft.com/office/drawing/2010/main" val="0"/>
                        </a:ext>
                      </a:extLst>
                    </a:blip>
                    <a:srcRect t="16857" b="16493"/>
                    <a:stretch>
                      <a:fillRect/>
                    </a:stretch>
                  </pic:blipFill>
                  <pic:spPr bwMode="auto">
                    <a:xfrm>
                      <a:off x="0" y="0"/>
                      <a:ext cx="1311764" cy="492654"/>
                    </a:xfrm>
                    <a:prstGeom prst="rect">
                      <a:avLst/>
                    </a:prstGeom>
                    <a:ln>
                      <a:noFill/>
                    </a:ln>
                    <a:extLst>
                      <a:ext uri="{53640926-AAD7-44D8-BBD7-CCE9431645EC}">
                        <a14:shadowObscured xmlns:a14="http://schemas.microsoft.com/office/drawing/2010/main"/>
                      </a:ext>
                    </a:extLst>
                  </pic:spPr>
                </pic:pic>
              </a:graphicData>
            </a:graphic>
          </wp:inline>
        </w:drawing>
      </w:r>
    </w:p>
    <w:p w14:paraId="7D0F01D9" w14:textId="31210FA0" w:rsidR="00283C68" w:rsidRPr="00783291" w:rsidRDefault="00283C68" w:rsidP="005C2E2A">
      <w:pPr>
        <w:spacing w:line="360" w:lineRule="auto"/>
        <w:rPr>
          <w:rFonts w:cs="Times New Roman"/>
        </w:rPr>
      </w:pPr>
      <w:r w:rsidRPr="00783291">
        <w:rPr>
          <w:rFonts w:cs="Times New Roman"/>
        </w:rPr>
        <w:t xml:space="preserve">Date: </w:t>
      </w:r>
      <w:r w:rsidR="00A60A7C">
        <w:rPr>
          <w:rFonts w:cs="Times New Roman"/>
          <w:u w:val="dotted"/>
        </w:rPr>
        <w:t>15</w:t>
      </w:r>
      <w:r w:rsidR="003E0B6C" w:rsidRPr="00783291">
        <w:rPr>
          <w:rFonts w:cs="Times New Roman"/>
          <w:u w:val="dotted"/>
        </w:rPr>
        <w:t xml:space="preserve"> / </w:t>
      </w:r>
      <w:r w:rsidR="00A60A7C">
        <w:rPr>
          <w:rFonts w:cs="Times New Roman"/>
          <w:u w:val="dotted"/>
        </w:rPr>
        <w:t>June</w:t>
      </w:r>
      <w:r w:rsidR="003E0B6C" w:rsidRPr="00783291">
        <w:rPr>
          <w:rFonts w:cs="Times New Roman"/>
          <w:u w:val="dotted"/>
        </w:rPr>
        <w:t xml:space="preserve"> / 2026</w:t>
      </w:r>
    </w:p>
    <w:p w14:paraId="7E2C3CB7" w14:textId="675A5C20" w:rsidR="00DC0E3A" w:rsidRPr="00783291" w:rsidRDefault="00DC0E3A" w:rsidP="00E20047">
      <w:pPr>
        <w:jc w:val="center"/>
        <w:rPr>
          <w:rFonts w:cs="Times New Roman"/>
        </w:rPr>
      </w:pPr>
    </w:p>
    <w:p w14:paraId="108D2DB7" w14:textId="77777777" w:rsidR="00DC0E3A" w:rsidRPr="00783291" w:rsidRDefault="00DC0E3A">
      <w:pPr>
        <w:spacing w:after="160"/>
        <w:jc w:val="left"/>
        <w:rPr>
          <w:rFonts w:cs="Times New Roman"/>
        </w:rPr>
      </w:pPr>
      <w:r w:rsidRPr="00783291">
        <w:rPr>
          <w:rFonts w:cs="Times New Roman"/>
        </w:rPr>
        <w:br w:type="page"/>
      </w:r>
    </w:p>
    <w:p w14:paraId="62413165" w14:textId="77777777" w:rsidR="00791E6C" w:rsidRPr="00783291" w:rsidRDefault="00791E6C" w:rsidP="00791E6C">
      <w:pPr>
        <w:pStyle w:val="Heading1"/>
        <w:spacing w:before="0"/>
        <w:rPr>
          <w:rFonts w:cs="Times New Roman"/>
        </w:rPr>
      </w:pPr>
      <w:bookmarkStart w:id="0" w:name="_Toc232402488"/>
      <w:r w:rsidRPr="00783291">
        <w:rPr>
          <w:rFonts w:cs="Times New Roman"/>
        </w:rPr>
        <w:lastRenderedPageBreak/>
        <w:t>Executive Summary</w:t>
      </w:r>
      <w:bookmarkEnd w:id="0"/>
    </w:p>
    <w:p w14:paraId="7A10D870" w14:textId="77777777" w:rsidR="00791E6C" w:rsidRPr="00783291" w:rsidRDefault="00791E6C" w:rsidP="00791E6C">
      <w:pPr>
        <w:spacing w:before="240" w:line="360" w:lineRule="auto"/>
        <w:rPr>
          <w:rFonts w:cs="Times New Roman"/>
        </w:rPr>
      </w:pPr>
      <w:r w:rsidRPr="000E7D63">
        <w:rPr>
          <w:rFonts w:cs="Times New Roman"/>
        </w:rPr>
        <w:t>Paracelsus proposed services create major ethical and legal exposure because they combine genetic data, health inference, personality profiling, aptitude prediction, and psychological interpretation</w:t>
      </w:r>
      <w:r w:rsidRPr="00783291">
        <w:rPr>
          <w:rFonts w:cs="Times New Roman"/>
        </w:rPr>
        <w:t xml:space="preserve">. </w:t>
      </w:r>
      <w:r w:rsidRPr="004D7A41">
        <w:rPr>
          <w:rFonts w:cs="Times New Roman"/>
        </w:rPr>
        <w:t>In the EU, genetic and health data are special-category data under GDPR Article 9 and Recital 34, and employee consent is especially fragile because the imbalance of power can make voluntary participation difficult to treat as freely given</w:t>
      </w:r>
      <w:r>
        <w:rPr>
          <w:rFonts w:cs="Times New Roman"/>
        </w:rPr>
        <w:t>.</w:t>
      </w:r>
    </w:p>
    <w:p w14:paraId="734C3E57" w14:textId="77777777" w:rsidR="00791E6C" w:rsidRPr="00783291" w:rsidRDefault="00791E6C" w:rsidP="00791E6C">
      <w:pPr>
        <w:spacing w:before="240" w:line="360" w:lineRule="auto"/>
        <w:rPr>
          <w:rFonts w:cs="Times New Roman"/>
        </w:rPr>
      </w:pPr>
      <w:r w:rsidRPr="00783291">
        <w:rPr>
          <w:rFonts w:cs="Times New Roman"/>
        </w:rPr>
        <w:t xml:space="preserve">The strongest product case is </w:t>
      </w:r>
      <w:proofErr w:type="spellStart"/>
      <w:r w:rsidRPr="00783291">
        <w:rPr>
          <w:rFonts w:cs="Times New Roman"/>
        </w:rPr>
        <w:t>GeneGuard</w:t>
      </w:r>
      <w:proofErr w:type="spellEnd"/>
      <w:r w:rsidRPr="00783291">
        <w:rPr>
          <w:rFonts w:cs="Times New Roman"/>
        </w:rPr>
        <w:t xml:space="preserve">, provided it is positioned conservatively as a probabilistic risk-support tool with clear explanations and clinician-aligned communication. </w:t>
      </w:r>
      <w:proofErr w:type="spellStart"/>
      <w:r w:rsidRPr="00783291">
        <w:rPr>
          <w:rFonts w:cs="Times New Roman"/>
        </w:rPr>
        <w:t>PolyRisk</w:t>
      </w:r>
      <w:proofErr w:type="spellEnd"/>
      <w:r w:rsidRPr="00783291">
        <w:rPr>
          <w:rFonts w:cs="Times New Roman"/>
        </w:rPr>
        <w:t xml:space="preserve"> may also be viable, but only if </w:t>
      </w:r>
      <w:r>
        <w:rPr>
          <w:rFonts w:cs="Times New Roman"/>
        </w:rPr>
        <w:t>Paracelsus</w:t>
      </w:r>
      <w:r w:rsidRPr="00783291">
        <w:rPr>
          <w:rFonts w:cs="Times New Roman"/>
        </w:rPr>
        <w:t xml:space="preserve"> can demonstrate robust ancestry-stratified validation and avoid overstating accuracy across populations, because polygenic tools have been shown to perform less well outside European ancestry samples.</w:t>
      </w:r>
    </w:p>
    <w:p w14:paraId="4F0080F9" w14:textId="77777777" w:rsidR="00791E6C" w:rsidRPr="00783291" w:rsidRDefault="00791E6C" w:rsidP="00791E6C">
      <w:pPr>
        <w:spacing w:before="240" w:line="360" w:lineRule="auto"/>
        <w:rPr>
          <w:rFonts w:cs="Times New Roman"/>
        </w:rPr>
      </w:pPr>
      <w:proofErr w:type="spellStart"/>
      <w:r w:rsidRPr="00783291">
        <w:rPr>
          <w:rFonts w:cs="Times New Roman"/>
        </w:rPr>
        <w:t>PersonaMap</w:t>
      </w:r>
      <w:proofErr w:type="spellEnd"/>
      <w:r w:rsidRPr="00783291">
        <w:rPr>
          <w:rFonts w:cs="Times New Roman"/>
        </w:rPr>
        <w:t xml:space="preserve"> is ethically questionable and legally risky if used to infer personality traits from genetic data, while </w:t>
      </w:r>
      <w:proofErr w:type="spellStart"/>
      <w:r w:rsidRPr="00783291">
        <w:rPr>
          <w:rFonts w:cs="Times New Roman"/>
        </w:rPr>
        <w:t>AptiCore</w:t>
      </w:r>
      <w:proofErr w:type="spellEnd"/>
      <w:r w:rsidRPr="00783291">
        <w:rPr>
          <w:rFonts w:cs="Times New Roman"/>
        </w:rPr>
        <w:t xml:space="preserve"> and </w:t>
      </w:r>
      <w:proofErr w:type="spellStart"/>
      <w:r w:rsidRPr="00783291">
        <w:rPr>
          <w:rFonts w:cs="Times New Roman"/>
        </w:rPr>
        <w:t>PsycheDecode</w:t>
      </w:r>
      <w:proofErr w:type="spellEnd"/>
      <w:r w:rsidRPr="00783291">
        <w:rPr>
          <w:rFonts w:cs="Times New Roman"/>
        </w:rPr>
        <w:t xml:space="preserve"> are the most problematic, especially in B2B settings where they could influence employment-related decisions. </w:t>
      </w:r>
      <w:r w:rsidRPr="00F65678">
        <w:rPr>
          <w:rFonts w:cs="Times New Roman"/>
        </w:rPr>
        <w:t>Under the EU AI Act, employment-related uses such as recruitment, task allocation, monitoring, and performance evaluation may trigger high-risk obligations, while workplace emotion-related inference raises additional compliance concerns</w:t>
      </w:r>
      <w:r>
        <w:rPr>
          <w:rFonts w:cs="Times New Roman"/>
        </w:rPr>
        <w:t>.</w:t>
      </w:r>
    </w:p>
    <w:p w14:paraId="6160A38D" w14:textId="20D3F8ED" w:rsidR="00791E6C" w:rsidRPr="00783291" w:rsidRDefault="00791E6C" w:rsidP="00791E6C">
      <w:pPr>
        <w:spacing w:before="240" w:line="360" w:lineRule="auto"/>
        <w:rPr>
          <w:rFonts w:cs="Times New Roman"/>
        </w:rPr>
      </w:pPr>
      <w:r w:rsidRPr="00783291">
        <w:rPr>
          <w:rFonts w:cs="Times New Roman"/>
        </w:rPr>
        <w:t xml:space="preserve">The recommended strategy is to retain </w:t>
      </w:r>
      <w:proofErr w:type="spellStart"/>
      <w:r w:rsidRPr="00783291">
        <w:rPr>
          <w:rFonts w:cs="Times New Roman"/>
        </w:rPr>
        <w:t>GeneGuard</w:t>
      </w:r>
      <w:proofErr w:type="spellEnd"/>
      <w:r w:rsidRPr="00783291">
        <w:rPr>
          <w:rFonts w:cs="Times New Roman"/>
        </w:rPr>
        <w:t xml:space="preserve">, constrain </w:t>
      </w:r>
      <w:proofErr w:type="spellStart"/>
      <w:r w:rsidRPr="00783291">
        <w:rPr>
          <w:rFonts w:cs="Times New Roman"/>
        </w:rPr>
        <w:t>PolyRisk</w:t>
      </w:r>
      <w:proofErr w:type="spellEnd"/>
      <w:r w:rsidRPr="00783291">
        <w:rPr>
          <w:rFonts w:cs="Times New Roman"/>
        </w:rPr>
        <w:t xml:space="preserve">, heavily redesign or pause </w:t>
      </w:r>
      <w:proofErr w:type="spellStart"/>
      <w:r w:rsidRPr="00783291">
        <w:rPr>
          <w:rFonts w:cs="Times New Roman"/>
        </w:rPr>
        <w:t>PersonaMap</w:t>
      </w:r>
      <w:proofErr w:type="spellEnd"/>
      <w:r w:rsidRPr="00783291">
        <w:rPr>
          <w:rFonts w:cs="Times New Roman"/>
        </w:rPr>
        <w:t xml:space="preserve">, and withdraw </w:t>
      </w:r>
      <w:proofErr w:type="spellStart"/>
      <w:r w:rsidRPr="00783291">
        <w:rPr>
          <w:rFonts w:cs="Times New Roman"/>
        </w:rPr>
        <w:t>AptiCore</w:t>
      </w:r>
      <w:proofErr w:type="spellEnd"/>
      <w:r w:rsidRPr="00783291">
        <w:rPr>
          <w:rFonts w:cs="Times New Roman"/>
        </w:rPr>
        <w:t xml:space="preserve"> and </w:t>
      </w:r>
      <w:proofErr w:type="spellStart"/>
      <w:r w:rsidRPr="00783291">
        <w:rPr>
          <w:rFonts w:cs="Times New Roman"/>
        </w:rPr>
        <w:t>PsycheDecode</w:t>
      </w:r>
      <w:proofErr w:type="spellEnd"/>
      <w:r w:rsidRPr="00783291">
        <w:rPr>
          <w:rFonts w:cs="Times New Roman"/>
        </w:rPr>
        <w:t xml:space="preserve"> from employer-facing use. A strong governance model covering DPIAs, bias testing, model documentation, audits, transparency reporting, and an internal ethics board is essential if </w:t>
      </w:r>
      <w:r>
        <w:rPr>
          <w:rFonts w:cs="Times New Roman"/>
        </w:rPr>
        <w:t>Paracelsus</w:t>
      </w:r>
      <w:r w:rsidRPr="00783291">
        <w:rPr>
          <w:rFonts w:cs="Times New Roman"/>
        </w:rPr>
        <w:t xml:space="preserve"> wants to operate credibly in the EU</w:t>
      </w:r>
      <w:r w:rsidR="004075CE">
        <w:rPr>
          <w:rFonts w:cs="Times New Roman"/>
        </w:rPr>
        <w:t>.</w:t>
      </w:r>
    </w:p>
    <w:p w14:paraId="20F1406C" w14:textId="77777777" w:rsidR="00791E6C" w:rsidRDefault="00791E6C" w:rsidP="00CE198F">
      <w:pPr>
        <w:pStyle w:val="Heading1"/>
        <w:spacing w:before="0"/>
        <w:rPr>
          <w:rFonts w:cs="Times New Roman"/>
        </w:rPr>
      </w:pPr>
    </w:p>
    <w:p w14:paraId="3BBC1243" w14:textId="77777777" w:rsidR="00791E6C" w:rsidRDefault="00791E6C" w:rsidP="00791E6C"/>
    <w:p w14:paraId="05DD5023" w14:textId="77777777" w:rsidR="00791E6C" w:rsidRDefault="00791E6C" w:rsidP="00791E6C"/>
    <w:p w14:paraId="49F13C9E" w14:textId="77777777" w:rsidR="00791E6C" w:rsidRDefault="00791E6C" w:rsidP="00791E6C"/>
    <w:p w14:paraId="50CB294E" w14:textId="77777777" w:rsidR="00791E6C" w:rsidRDefault="00791E6C" w:rsidP="00791E6C"/>
    <w:p w14:paraId="19EBD269" w14:textId="77777777" w:rsidR="00791E6C" w:rsidRDefault="00791E6C" w:rsidP="00791E6C"/>
    <w:p w14:paraId="53944759" w14:textId="77777777" w:rsidR="00791E6C" w:rsidRDefault="00791E6C" w:rsidP="00791E6C"/>
    <w:p w14:paraId="6AC0D3CC" w14:textId="77777777" w:rsidR="00791E6C" w:rsidRDefault="00791E6C" w:rsidP="00791E6C"/>
    <w:p w14:paraId="3CCC8AA2" w14:textId="592FFC5C" w:rsidR="00DC0E3A" w:rsidRPr="00783291" w:rsidRDefault="00EC6B34" w:rsidP="00CE198F">
      <w:pPr>
        <w:pStyle w:val="Heading1"/>
        <w:spacing w:before="0"/>
        <w:rPr>
          <w:rFonts w:cs="Times New Roman"/>
        </w:rPr>
      </w:pPr>
      <w:bookmarkStart w:id="1" w:name="_Toc232402489"/>
      <w:r w:rsidRPr="00783291">
        <w:rPr>
          <w:rFonts w:cs="Times New Roman"/>
        </w:rPr>
        <w:lastRenderedPageBreak/>
        <w:t>Introduction</w:t>
      </w:r>
      <w:bookmarkEnd w:id="1"/>
    </w:p>
    <w:p w14:paraId="35589A72" w14:textId="2BB0C80E" w:rsidR="00143406" w:rsidRDefault="001310DD" w:rsidP="00D62F24">
      <w:pPr>
        <w:spacing w:before="240" w:line="360" w:lineRule="auto"/>
        <w:rPr>
          <w:rFonts w:cs="Times New Roman"/>
        </w:rPr>
      </w:pPr>
      <w:r>
        <w:rPr>
          <w:rFonts w:cs="Times New Roman"/>
        </w:rPr>
        <w:t>Paracelsus</w:t>
      </w:r>
      <w:r w:rsidR="00143406" w:rsidRPr="00783291">
        <w:rPr>
          <w:rFonts w:cs="Times New Roman"/>
        </w:rPr>
        <w:t xml:space="preserve"> is a fictitious biotech sequencing company planning to launch five AI-driven genetic services that predict disease risk, personality tendencies, aptitude, and psychological traits. This report examines the ethical and legal implications of these services in the European Union, focusing on privacy, fairness, autonomy, transparency, and accountability. It also evaluates the GDPR and the EU AI Act, before recommending practical mitigation measures and governance steps to support compliant and responsible deployment</w:t>
      </w:r>
      <w:r>
        <w:rPr>
          <w:rFonts w:cs="Times New Roman"/>
        </w:rPr>
        <w:t>.</w:t>
      </w:r>
    </w:p>
    <w:p w14:paraId="26493FA7" w14:textId="77777777" w:rsidR="001310DD" w:rsidRDefault="001310DD" w:rsidP="00D62F24">
      <w:pPr>
        <w:spacing w:line="360" w:lineRule="auto"/>
        <w:rPr>
          <w:rFonts w:cs="Times New Roman"/>
        </w:rPr>
      </w:pPr>
    </w:p>
    <w:p w14:paraId="3850E49E" w14:textId="63743569" w:rsidR="001310DD" w:rsidRPr="00783291" w:rsidRDefault="000C6548" w:rsidP="00D62F24">
      <w:pPr>
        <w:spacing w:line="360" w:lineRule="auto"/>
        <w:rPr>
          <w:rFonts w:cs="Times New Roman"/>
        </w:rPr>
      </w:pPr>
      <w:r w:rsidRPr="000C6548">
        <w:rPr>
          <w:rFonts w:cs="Times New Roman"/>
        </w:rPr>
        <w:t xml:space="preserve">Paracelsus operates in a domain where technical capability alone does not justify deployment, because genetic AI can shape decisions about health, identity, and opportunity in ways that are difficult to reverse. </w:t>
      </w:r>
      <w:proofErr w:type="spellStart"/>
      <w:r w:rsidRPr="000C6548">
        <w:rPr>
          <w:rFonts w:cs="Times New Roman"/>
        </w:rPr>
        <w:t>Floridi</w:t>
      </w:r>
      <w:proofErr w:type="spellEnd"/>
      <w:r w:rsidRPr="000C6548">
        <w:rPr>
          <w:rFonts w:cs="Times New Roman"/>
        </w:rPr>
        <w:t xml:space="preserve"> and Cowls (2019) argue that AI systems must be evaluated against five core principles, namely beneficence, non-maleficence, autonomy, justice, and explicability, and that all five must be satisfied simultaneously rather than traded off against one another. This makes the Paracelsus portfolio particularly challenging to assess, given that different products satisfy these principles to very different degrees.</w:t>
      </w:r>
      <w:r>
        <w:rPr>
          <w:rFonts w:cs="Times New Roman"/>
        </w:rPr>
        <w:t xml:space="preserve"> </w:t>
      </w:r>
      <w:r w:rsidR="001310DD" w:rsidRPr="001310DD">
        <w:rPr>
          <w:rFonts w:cs="Times New Roman"/>
        </w:rPr>
        <w:t xml:space="preserve">In the European Union, this matters especially because </w:t>
      </w:r>
      <w:r w:rsidR="00611010" w:rsidRPr="00611010">
        <w:rPr>
          <w:rFonts w:cs="Times New Roman"/>
        </w:rPr>
        <w:t>genetic and health data are treated as special-category data under GDPR Article 9 and Recital 34 (European Union, 2016), and AI systems used for profiling or employment-related decisions may trigger additional duties under the EU AI Act (European Union, 2024).</w:t>
      </w:r>
      <w:r w:rsidR="00611010">
        <w:rPr>
          <w:rFonts w:cs="Times New Roman"/>
        </w:rPr>
        <w:t xml:space="preserve"> </w:t>
      </w:r>
      <w:r w:rsidR="001310DD" w:rsidRPr="001310DD">
        <w:rPr>
          <w:rFonts w:cs="Times New Roman"/>
        </w:rPr>
        <w:t>This report therefore assesses not only whether the proposed products are lawful, but also whether they are ethically defensible in light of autonomy, fairness, transparency, accountability, and the likely real-world effects on consumers and employees.</w:t>
      </w:r>
    </w:p>
    <w:p w14:paraId="5E6F1A8C" w14:textId="5128D1BE" w:rsidR="004E6049" w:rsidRPr="00783291" w:rsidRDefault="004E6049" w:rsidP="00D62F24">
      <w:pPr>
        <w:spacing w:line="360" w:lineRule="auto"/>
        <w:rPr>
          <w:rFonts w:cs="Times New Roman"/>
        </w:rPr>
      </w:pPr>
    </w:p>
    <w:p w14:paraId="260357D7" w14:textId="77777777" w:rsidR="004E6049" w:rsidRPr="00783291" w:rsidRDefault="004E6049" w:rsidP="00D62F24">
      <w:pPr>
        <w:spacing w:after="160" w:line="360" w:lineRule="auto"/>
        <w:rPr>
          <w:rFonts w:cs="Times New Roman"/>
        </w:rPr>
      </w:pPr>
      <w:r w:rsidRPr="00783291">
        <w:rPr>
          <w:rFonts w:cs="Times New Roman"/>
        </w:rPr>
        <w:br w:type="page"/>
      </w:r>
    </w:p>
    <w:p w14:paraId="7EEC7A9D" w14:textId="48F42ECA" w:rsidR="004E6049" w:rsidRPr="00783291" w:rsidRDefault="00EC6B34" w:rsidP="00CE198F">
      <w:pPr>
        <w:pStyle w:val="Heading1"/>
        <w:spacing w:before="0"/>
        <w:rPr>
          <w:rFonts w:cs="Times New Roman"/>
        </w:rPr>
      </w:pPr>
      <w:bookmarkStart w:id="2" w:name="_Toc26094236"/>
      <w:bookmarkStart w:id="3" w:name="_Toc232402490"/>
      <w:r w:rsidRPr="00783291">
        <w:rPr>
          <w:rFonts w:cs="Times New Roman"/>
        </w:rPr>
        <w:lastRenderedPageBreak/>
        <w:t>Overview of Ethical and Legal Issues</w:t>
      </w:r>
      <w:bookmarkEnd w:id="2"/>
      <w:bookmarkEnd w:id="3"/>
    </w:p>
    <w:p w14:paraId="70653FFE" w14:textId="44A068F7" w:rsidR="00143406" w:rsidRPr="00783291" w:rsidRDefault="001310DD" w:rsidP="00676D0A">
      <w:pPr>
        <w:spacing w:before="240" w:line="360" w:lineRule="auto"/>
        <w:rPr>
          <w:rFonts w:cs="Times New Roman"/>
        </w:rPr>
      </w:pPr>
      <w:r>
        <w:rPr>
          <w:rFonts w:cs="Times New Roman"/>
        </w:rPr>
        <w:t>Paracelsus</w:t>
      </w:r>
      <w:r w:rsidR="00143406" w:rsidRPr="00783291">
        <w:rPr>
          <w:rFonts w:cs="Times New Roman"/>
        </w:rPr>
        <w:t xml:space="preserve"> will process exceptionally sensitive personal data, including genetic, health, and inferred psychological information. </w:t>
      </w:r>
      <w:r w:rsidR="001936FC" w:rsidRPr="001936FC">
        <w:rPr>
          <w:rFonts w:cs="Times New Roman"/>
        </w:rPr>
        <w:t>This creates privacy risks because genetic data are inherently identifying, long-lived, and potentially informative about relatives as well as the individual, so a breach can have broader and more permanent consequences than an ordinary data leak (Aicardi et al., 2016).</w:t>
      </w:r>
    </w:p>
    <w:p w14:paraId="369C85C9" w14:textId="77777777" w:rsidR="00143406" w:rsidRPr="00783291" w:rsidRDefault="00143406" w:rsidP="00143406">
      <w:pPr>
        <w:spacing w:line="360" w:lineRule="auto"/>
        <w:rPr>
          <w:rFonts w:cs="Times New Roman"/>
        </w:rPr>
      </w:pPr>
    </w:p>
    <w:p w14:paraId="04DA6CA8" w14:textId="5E9296B2" w:rsidR="00143406" w:rsidRDefault="00CE198F" w:rsidP="00143406">
      <w:pPr>
        <w:spacing w:line="360" w:lineRule="auto"/>
        <w:rPr>
          <w:rFonts w:cs="Times New Roman"/>
        </w:rPr>
      </w:pPr>
      <w:r w:rsidRPr="00CE198F">
        <w:rPr>
          <w:rFonts w:cs="Times New Roman"/>
        </w:rPr>
        <w:t>The stakeholder map is broader than customers and employers. Individual consumers may benefit from earlier risk awareness, but they may also experience anxiety, confusion, or false certainty if probabilistic outputs are presented too confidently. Employees are exposed to a much sharper imbalance of power, because even “voluntary” participation can be shaped by managerial pressure, fear of exclusion, or concern that non-participation may be viewed negatively. Employers may receive only aggregated results, but aggregated insights can still lead to proxy discrimination, subtle workforce sorting, or function creep if the data are later reused for purposes that employees did not expect.</w:t>
      </w:r>
    </w:p>
    <w:p w14:paraId="70271DBD" w14:textId="77777777" w:rsidR="00CE198F" w:rsidRDefault="00CE198F" w:rsidP="00143406">
      <w:pPr>
        <w:spacing w:line="360" w:lineRule="auto"/>
        <w:rPr>
          <w:rFonts w:cs="Times New Roman"/>
        </w:rPr>
      </w:pPr>
    </w:p>
    <w:p w14:paraId="2970AD97" w14:textId="497A9B30" w:rsidR="00CE198F" w:rsidRDefault="00CE198F" w:rsidP="00143406">
      <w:pPr>
        <w:spacing w:line="360" w:lineRule="auto"/>
        <w:rPr>
          <w:rFonts w:cs="Times New Roman"/>
        </w:rPr>
      </w:pPr>
      <w:r w:rsidRPr="00CE198F">
        <w:rPr>
          <w:rFonts w:cs="Times New Roman"/>
        </w:rPr>
        <w:t xml:space="preserve">The five products are ethically unequal. </w:t>
      </w:r>
      <w:proofErr w:type="spellStart"/>
      <w:r w:rsidRPr="00CE198F">
        <w:rPr>
          <w:rFonts w:cs="Times New Roman"/>
        </w:rPr>
        <w:t>GeneGuard</w:t>
      </w:r>
      <w:proofErr w:type="spellEnd"/>
      <w:r w:rsidRPr="00CE198F">
        <w:rPr>
          <w:rFonts w:cs="Times New Roman"/>
        </w:rPr>
        <w:t xml:space="preserve"> is the most defensible because it can be framed as health-supportive risk information, whereas </w:t>
      </w:r>
      <w:proofErr w:type="spellStart"/>
      <w:r w:rsidRPr="00CE198F">
        <w:rPr>
          <w:rFonts w:cs="Times New Roman"/>
        </w:rPr>
        <w:t>PolyRisk</w:t>
      </w:r>
      <w:proofErr w:type="spellEnd"/>
      <w:r w:rsidRPr="00CE198F">
        <w:rPr>
          <w:rFonts w:cs="Times New Roman"/>
        </w:rPr>
        <w:t xml:space="preserve"> raises fairness concerns if its accuracy differs across ancestry groups. </w:t>
      </w:r>
      <w:proofErr w:type="spellStart"/>
      <w:r w:rsidRPr="00CE198F">
        <w:rPr>
          <w:rFonts w:cs="Times New Roman"/>
        </w:rPr>
        <w:t>PersonaMap</w:t>
      </w:r>
      <w:proofErr w:type="spellEnd"/>
      <w:r w:rsidRPr="00CE198F">
        <w:rPr>
          <w:rFonts w:cs="Times New Roman"/>
        </w:rPr>
        <w:t xml:space="preserve">, </w:t>
      </w:r>
      <w:proofErr w:type="spellStart"/>
      <w:r w:rsidRPr="00CE198F">
        <w:rPr>
          <w:rFonts w:cs="Times New Roman"/>
        </w:rPr>
        <w:t>AptiCore</w:t>
      </w:r>
      <w:proofErr w:type="spellEnd"/>
      <w:r w:rsidRPr="00CE198F">
        <w:rPr>
          <w:rFonts w:cs="Times New Roman"/>
        </w:rPr>
        <w:t xml:space="preserve">, and </w:t>
      </w:r>
      <w:proofErr w:type="spellStart"/>
      <w:r w:rsidRPr="00CE198F">
        <w:rPr>
          <w:rFonts w:cs="Times New Roman"/>
        </w:rPr>
        <w:t>PsycheDecode</w:t>
      </w:r>
      <w:proofErr w:type="spellEnd"/>
      <w:r w:rsidRPr="00CE198F">
        <w:rPr>
          <w:rFonts w:cs="Times New Roman"/>
        </w:rPr>
        <w:t xml:space="preserve"> are more problematic because they extend from disease-related inference into personality, aptitude, and psychological profiling, which increases the danger of stigma, over-interpretation, and misuse in contexts such as employment or education. In other words, the ethical risk increases as the product moves further away from health support and closer to social classification.</w:t>
      </w:r>
    </w:p>
    <w:p w14:paraId="4F66D93F" w14:textId="77777777" w:rsidR="00CE198F" w:rsidRPr="00783291" w:rsidRDefault="00CE198F" w:rsidP="00143406">
      <w:pPr>
        <w:spacing w:line="360" w:lineRule="auto"/>
        <w:rPr>
          <w:rFonts w:cs="Times New Roman"/>
        </w:rPr>
      </w:pPr>
    </w:p>
    <w:p w14:paraId="2617BC9A" w14:textId="1715E439" w:rsidR="00417C2C" w:rsidRPr="00783291" w:rsidRDefault="00143406" w:rsidP="00143406">
      <w:pPr>
        <w:spacing w:line="360" w:lineRule="auto"/>
        <w:rPr>
          <w:rFonts w:cs="Times New Roman"/>
        </w:rPr>
      </w:pPr>
      <w:r w:rsidRPr="00783291">
        <w:rPr>
          <w:rFonts w:cs="Times New Roman"/>
        </w:rPr>
        <w:t>Bias and fairness are central concerns because AI systems trained on skewed genetic datasets can reproduce unequal performance across ancestry groups.</w:t>
      </w:r>
      <w:r w:rsidR="00844E01">
        <w:rPr>
          <w:rFonts w:cs="Times New Roman"/>
        </w:rPr>
        <w:t xml:space="preserve"> </w:t>
      </w:r>
      <w:r w:rsidR="00D37624" w:rsidRPr="00D37624">
        <w:rPr>
          <w:rFonts w:cs="Times New Roman"/>
        </w:rPr>
        <w:t>Research on polygenic risk scores shows that current models often perform best in individuals of European ancestry and can worsen health disparities if deployed without careful recalibration and population-specific validation (Martin et al., 2019)</w:t>
      </w:r>
      <w:r w:rsidR="00D37624">
        <w:rPr>
          <w:rFonts w:cs="Times New Roman"/>
        </w:rPr>
        <w:t>.</w:t>
      </w:r>
      <w:r w:rsidR="00417C2C">
        <w:rPr>
          <w:rFonts w:cs="Times New Roman"/>
        </w:rPr>
        <w:t xml:space="preserve"> </w:t>
      </w:r>
      <w:r w:rsidR="00417C2C" w:rsidRPr="00417C2C">
        <w:rPr>
          <w:rFonts w:cs="Times New Roman"/>
        </w:rPr>
        <w:t xml:space="preserve">That means </w:t>
      </w:r>
      <w:proofErr w:type="spellStart"/>
      <w:r w:rsidR="00417C2C" w:rsidRPr="00417C2C">
        <w:rPr>
          <w:rFonts w:cs="Times New Roman"/>
        </w:rPr>
        <w:t>PolyRisk</w:t>
      </w:r>
      <w:proofErr w:type="spellEnd"/>
      <w:r w:rsidR="00417C2C" w:rsidRPr="00417C2C">
        <w:rPr>
          <w:rFonts w:cs="Times New Roman"/>
        </w:rPr>
        <w:t xml:space="preserve"> is not just a technical product issue; it is a distributive justice issue. The WHO (2021) reinforces this concern, noting that AI health tools must be evaluated not only for average performance but for whether they widen or narrow existing disparities across populations, making equitable validation a precondition for responsible deployment.</w:t>
      </w:r>
    </w:p>
    <w:p w14:paraId="12D994C1" w14:textId="77777777" w:rsidR="00143406" w:rsidRDefault="00143406" w:rsidP="00143406">
      <w:pPr>
        <w:spacing w:line="360" w:lineRule="auto"/>
        <w:rPr>
          <w:rFonts w:cs="Times New Roman"/>
        </w:rPr>
      </w:pPr>
      <w:r w:rsidRPr="00783291">
        <w:rPr>
          <w:rFonts w:cs="Times New Roman"/>
        </w:rPr>
        <w:lastRenderedPageBreak/>
        <w:t xml:space="preserve">Accountability and transparency are also essential because customers and regulators need to understand what each system does, what it cannot do, and who is responsible when outputs are inaccurate or harmful. Products like </w:t>
      </w:r>
      <w:proofErr w:type="spellStart"/>
      <w:r w:rsidRPr="00783291">
        <w:rPr>
          <w:rFonts w:cs="Times New Roman"/>
        </w:rPr>
        <w:t>PersonaMap</w:t>
      </w:r>
      <w:proofErr w:type="spellEnd"/>
      <w:r w:rsidRPr="00783291">
        <w:rPr>
          <w:rFonts w:cs="Times New Roman"/>
        </w:rPr>
        <w:t xml:space="preserve">, </w:t>
      </w:r>
      <w:proofErr w:type="spellStart"/>
      <w:r w:rsidRPr="00783291">
        <w:rPr>
          <w:rFonts w:cs="Times New Roman"/>
        </w:rPr>
        <w:t>AptiCore</w:t>
      </w:r>
      <w:proofErr w:type="spellEnd"/>
      <w:r w:rsidRPr="00783291">
        <w:rPr>
          <w:rFonts w:cs="Times New Roman"/>
        </w:rPr>
        <w:t xml:space="preserve">, and </w:t>
      </w:r>
      <w:proofErr w:type="spellStart"/>
      <w:r w:rsidRPr="00783291">
        <w:rPr>
          <w:rFonts w:cs="Times New Roman"/>
        </w:rPr>
        <w:t>PsycheDecode</w:t>
      </w:r>
      <w:proofErr w:type="spellEnd"/>
      <w:r w:rsidRPr="00783291">
        <w:rPr>
          <w:rFonts w:cs="Times New Roman"/>
        </w:rPr>
        <w:t xml:space="preserve"> are particularly sensitive because they move from health prediction into identity, capability, and behaviour inference, which increases the risk of overclaiming scientific certainty and creating unjustified trust in the outputs.</w:t>
      </w:r>
    </w:p>
    <w:p w14:paraId="3AF2BE89" w14:textId="77777777" w:rsidR="00CE198F" w:rsidRDefault="00CE198F" w:rsidP="00143406">
      <w:pPr>
        <w:spacing w:line="360" w:lineRule="auto"/>
        <w:rPr>
          <w:rFonts w:cs="Times New Roman"/>
        </w:rPr>
      </w:pPr>
    </w:p>
    <w:p w14:paraId="2BB2BB68" w14:textId="77777777" w:rsidR="00CE198F" w:rsidRPr="00783291" w:rsidRDefault="00CE198F" w:rsidP="00143406">
      <w:pPr>
        <w:spacing w:line="360" w:lineRule="auto"/>
        <w:rPr>
          <w:rFonts w:cs="Times New Roman"/>
        </w:rPr>
      </w:pPr>
    </w:p>
    <w:p w14:paraId="3F6A2EF4" w14:textId="77777777" w:rsidR="00143406" w:rsidRPr="00783291" w:rsidRDefault="00143406" w:rsidP="00143406">
      <w:pPr>
        <w:rPr>
          <w:rFonts w:cs="Times New Roman"/>
        </w:rPr>
      </w:pPr>
    </w:p>
    <w:p w14:paraId="53C8DE00" w14:textId="77777777" w:rsidR="004E6049" w:rsidRPr="00783291" w:rsidRDefault="004E6049" w:rsidP="00EC6B34">
      <w:pPr>
        <w:spacing w:after="160"/>
        <w:rPr>
          <w:rFonts w:eastAsiaTheme="majorEastAsia" w:cs="Times New Roman"/>
          <w:b/>
          <w:color w:val="000000" w:themeColor="text1"/>
          <w:sz w:val="32"/>
          <w:szCs w:val="40"/>
        </w:rPr>
      </w:pPr>
      <w:r w:rsidRPr="00783291">
        <w:rPr>
          <w:rFonts w:cs="Times New Roman"/>
        </w:rPr>
        <w:br w:type="page"/>
      </w:r>
    </w:p>
    <w:p w14:paraId="004A77E0" w14:textId="72B246E7" w:rsidR="00DD3A59" w:rsidRPr="00783291" w:rsidRDefault="00EC6B34" w:rsidP="00CE198F">
      <w:pPr>
        <w:pStyle w:val="Heading1"/>
        <w:tabs>
          <w:tab w:val="left" w:pos="3120"/>
        </w:tabs>
        <w:spacing w:before="0"/>
        <w:rPr>
          <w:rFonts w:cs="Times New Roman"/>
          <w:bCs/>
        </w:rPr>
      </w:pPr>
      <w:bookmarkStart w:id="4" w:name="_Toc232402491"/>
      <w:r w:rsidRPr="00783291">
        <w:rPr>
          <w:rFonts w:cs="Times New Roman"/>
          <w:bCs/>
        </w:rPr>
        <w:lastRenderedPageBreak/>
        <w:t>In-Depth Ethical Analysis</w:t>
      </w:r>
      <w:bookmarkEnd w:id="4"/>
    </w:p>
    <w:p w14:paraId="4742D6E8" w14:textId="23F7E360" w:rsidR="00143406" w:rsidRDefault="00143406" w:rsidP="00D62F24">
      <w:pPr>
        <w:spacing w:before="240" w:line="360" w:lineRule="auto"/>
        <w:rPr>
          <w:rFonts w:cs="Times New Roman"/>
        </w:rPr>
      </w:pPr>
      <w:r w:rsidRPr="00783291">
        <w:rPr>
          <w:rFonts w:cs="Times New Roman"/>
        </w:rPr>
        <w:t xml:space="preserve">From a deontological perspective, </w:t>
      </w:r>
      <w:r w:rsidR="001310DD">
        <w:rPr>
          <w:rFonts w:cs="Times New Roman"/>
        </w:rPr>
        <w:t>Paracelsus</w:t>
      </w:r>
      <w:r w:rsidRPr="00783291">
        <w:rPr>
          <w:rFonts w:cs="Times New Roman"/>
        </w:rPr>
        <w:t xml:space="preserve"> must treat users as ends in themselves, not as raw material for commercial profiling. That principle is strained by services that infer personality, aptitude, or psychological traits from genetic data, because those outputs can reduce a person to a set of probabilistic labels rather than respect them as autonomous agents with contextual, social, and moral complexity.</w:t>
      </w:r>
    </w:p>
    <w:p w14:paraId="01C7033F" w14:textId="5A9C9CF1" w:rsidR="00CE198F" w:rsidRDefault="00D37624" w:rsidP="0081534D">
      <w:pPr>
        <w:spacing w:before="240" w:after="240" w:line="360" w:lineRule="auto"/>
        <w:rPr>
          <w:rFonts w:cs="Times New Roman"/>
        </w:rPr>
      </w:pPr>
      <w:r w:rsidRPr="00D37624">
        <w:rPr>
          <w:rFonts w:cs="Times New Roman"/>
        </w:rPr>
        <w:t xml:space="preserve">A useful ethical framework here is </w:t>
      </w:r>
      <w:proofErr w:type="spellStart"/>
      <w:r w:rsidRPr="00D37624">
        <w:rPr>
          <w:rFonts w:cs="Times New Roman"/>
        </w:rPr>
        <w:t>principlism</w:t>
      </w:r>
      <w:proofErr w:type="spellEnd"/>
      <w:r w:rsidRPr="00D37624">
        <w:rPr>
          <w:rFonts w:cs="Times New Roman"/>
        </w:rPr>
        <w:t xml:space="preserve"> (Beauchamp and Childress, 2019). Respect for autonomy requires that users understand what the system can and cannot tell them, while beneficence requires Paracelsus to produce genuine value rather than commercial novelty. Non-maleficence is especially important because inaccurate or overconfident genetic interpretation can cause distress, unnecessary follow-up testing, or harmful lifestyle decisions based on misunderstood risk. Justice is central to </w:t>
      </w:r>
      <w:proofErr w:type="spellStart"/>
      <w:r w:rsidRPr="00D37624">
        <w:rPr>
          <w:rFonts w:cs="Times New Roman"/>
        </w:rPr>
        <w:t>PolyRisk</w:t>
      </w:r>
      <w:proofErr w:type="spellEnd"/>
      <w:r w:rsidRPr="00D37624">
        <w:rPr>
          <w:rFonts w:cs="Times New Roman"/>
        </w:rPr>
        <w:t xml:space="preserve"> because a model that performs better for some ancestry groups than others does not merely reflect technical imperfection; it risks reproducing existing health inequalities (Beauchamp and Childress, 2019).</w:t>
      </w:r>
    </w:p>
    <w:p w14:paraId="4966A26F" w14:textId="3AB7ADD8" w:rsidR="00CE198F" w:rsidRPr="00783291" w:rsidRDefault="00CE198F" w:rsidP="0081534D">
      <w:pPr>
        <w:spacing w:after="240" w:line="360" w:lineRule="auto"/>
        <w:rPr>
          <w:rFonts w:cs="Times New Roman"/>
        </w:rPr>
      </w:pPr>
      <w:r w:rsidRPr="00CE198F">
        <w:rPr>
          <w:rFonts w:cs="Times New Roman"/>
        </w:rPr>
        <w:t>Deontological ethics also supports a strict limit on the most speculative products. If</w:t>
      </w:r>
      <w:r>
        <w:rPr>
          <w:rFonts w:cs="Times New Roman"/>
        </w:rPr>
        <w:t xml:space="preserve"> </w:t>
      </w:r>
      <w:r w:rsidRPr="00CE198F">
        <w:rPr>
          <w:rFonts w:cs="Times New Roman"/>
        </w:rPr>
        <w:t xml:space="preserve">Paracelsus sells personality or aptitude inference as though it were settled science, it risks treating individuals as instruments for prediction and sorting rather than as persons with context, agency, and dignity. That problem is especially serious for employer-facing use, because even aggregate outputs can shape how people are perceived inside a workplace. A company could justify </w:t>
      </w:r>
      <w:proofErr w:type="spellStart"/>
      <w:r w:rsidRPr="00CE198F">
        <w:rPr>
          <w:rFonts w:cs="Times New Roman"/>
        </w:rPr>
        <w:t>GeneGuard</w:t>
      </w:r>
      <w:proofErr w:type="spellEnd"/>
      <w:r w:rsidRPr="00CE198F">
        <w:rPr>
          <w:rFonts w:cs="Times New Roman"/>
        </w:rPr>
        <w:t xml:space="preserve"> under a beneficence-based argument, but that same argument is far weaker for </w:t>
      </w:r>
      <w:proofErr w:type="spellStart"/>
      <w:r w:rsidRPr="00CE198F">
        <w:rPr>
          <w:rFonts w:cs="Times New Roman"/>
        </w:rPr>
        <w:t>PsycheDecode</w:t>
      </w:r>
      <w:proofErr w:type="spellEnd"/>
      <w:r w:rsidRPr="00CE198F">
        <w:rPr>
          <w:rFonts w:cs="Times New Roman"/>
        </w:rPr>
        <w:t xml:space="preserve"> or </w:t>
      </w:r>
      <w:proofErr w:type="spellStart"/>
      <w:r w:rsidRPr="00CE198F">
        <w:rPr>
          <w:rFonts w:cs="Times New Roman"/>
        </w:rPr>
        <w:t>AptiCore</w:t>
      </w:r>
      <w:proofErr w:type="spellEnd"/>
      <w:r w:rsidRPr="00CE198F">
        <w:rPr>
          <w:rFonts w:cs="Times New Roman"/>
        </w:rPr>
        <w:t>, where the practical benefit is uncertain and the possibility of harm is much clearer</w:t>
      </w:r>
      <w:r>
        <w:rPr>
          <w:rFonts w:cs="Times New Roman"/>
        </w:rPr>
        <w:t>.</w:t>
      </w:r>
    </w:p>
    <w:p w14:paraId="011EF063" w14:textId="72F011DF" w:rsidR="00143406" w:rsidRPr="00783291" w:rsidRDefault="00143406" w:rsidP="0081534D">
      <w:pPr>
        <w:spacing w:after="240" w:line="360" w:lineRule="auto"/>
        <w:rPr>
          <w:rFonts w:cs="Times New Roman"/>
        </w:rPr>
      </w:pPr>
      <w:r w:rsidRPr="00783291">
        <w:rPr>
          <w:rFonts w:cs="Times New Roman"/>
        </w:rPr>
        <w:t xml:space="preserve">Biomedical ethics provides a more practical framework. </w:t>
      </w:r>
      <w:proofErr w:type="spellStart"/>
      <w:r w:rsidR="00736368" w:rsidRPr="00736368">
        <w:rPr>
          <w:rFonts w:cs="Times New Roman"/>
        </w:rPr>
        <w:t>GeneGuard</w:t>
      </w:r>
      <w:proofErr w:type="spellEnd"/>
      <w:r w:rsidR="00736368" w:rsidRPr="00736368">
        <w:rPr>
          <w:rFonts w:cs="Times New Roman"/>
        </w:rPr>
        <w:t xml:space="preserve"> may support beneficence by helping users understand disease risk, but non-maleficence requires careful communication to avoid panic, false reassurance, or unnecessary downstream spending. A realistic harm scenario would be a user interpreting a high-risk result as a diagnosis and making major life or treatment decisions on the basis of a probabilistic estimate. Beauchamp and Childress (2019) stress that disclosure of probabilistic medical information must be accompanied by adequate explanation of uncertainty and appropriate referral pathways, precisely to prevent this kind of interpretive harm.</w:t>
      </w:r>
    </w:p>
    <w:p w14:paraId="53DAAB1E" w14:textId="08618125" w:rsidR="00143406" w:rsidRPr="00783291" w:rsidRDefault="00143406" w:rsidP="0081534D">
      <w:pPr>
        <w:spacing w:after="240" w:line="360" w:lineRule="auto"/>
        <w:rPr>
          <w:rFonts w:cs="Times New Roman"/>
        </w:rPr>
      </w:pPr>
      <w:r w:rsidRPr="00783291">
        <w:rPr>
          <w:rFonts w:cs="Times New Roman"/>
        </w:rPr>
        <w:lastRenderedPageBreak/>
        <w:t xml:space="preserve">Fairness concerns are especially serious for </w:t>
      </w:r>
      <w:proofErr w:type="spellStart"/>
      <w:r w:rsidRPr="00783291">
        <w:rPr>
          <w:rFonts w:cs="Times New Roman"/>
        </w:rPr>
        <w:t>PolyRisk</w:t>
      </w:r>
      <w:proofErr w:type="spellEnd"/>
      <w:r w:rsidRPr="00783291">
        <w:rPr>
          <w:rFonts w:cs="Times New Roman"/>
        </w:rPr>
        <w:t>.</w:t>
      </w:r>
      <w:r w:rsidR="00305C1F">
        <w:rPr>
          <w:rFonts w:cs="Times New Roman"/>
        </w:rPr>
        <w:t xml:space="preserve"> </w:t>
      </w:r>
      <w:r w:rsidR="00305C1F" w:rsidRPr="00305C1F">
        <w:rPr>
          <w:rFonts w:cs="Times New Roman"/>
        </w:rPr>
        <w:t>The ethical issue is not simply whether the model is accurate, but whether the benefits and burdens are distributed fairly across populations, since ancestry-skewed training data can systematically privilege some users over others</w:t>
      </w:r>
      <w:r w:rsidRPr="00783291">
        <w:rPr>
          <w:rFonts w:cs="Times New Roman"/>
        </w:rPr>
        <w:t>.</w:t>
      </w:r>
      <w:r w:rsidR="00305C1F">
        <w:rPr>
          <w:rFonts w:cs="Times New Roman"/>
        </w:rPr>
        <w:t xml:space="preserve"> </w:t>
      </w:r>
      <w:r w:rsidR="00736368" w:rsidRPr="00736368">
        <w:rPr>
          <w:rFonts w:cs="Times New Roman"/>
        </w:rPr>
        <w:t xml:space="preserve">That is why deploying </w:t>
      </w:r>
      <w:proofErr w:type="spellStart"/>
      <w:r w:rsidR="00736368" w:rsidRPr="00736368">
        <w:rPr>
          <w:rFonts w:cs="Times New Roman"/>
        </w:rPr>
        <w:t>PolyRisk</w:t>
      </w:r>
      <w:proofErr w:type="spellEnd"/>
      <w:r w:rsidR="00736368" w:rsidRPr="00736368">
        <w:rPr>
          <w:rFonts w:cs="Times New Roman"/>
        </w:rPr>
        <w:t xml:space="preserve"> without subgroup validation would be ethically indefensible even if the model performs well on average (Martin et al., 2019). </w:t>
      </w:r>
      <w:proofErr w:type="spellStart"/>
      <w:r w:rsidR="00736368" w:rsidRPr="00736368">
        <w:rPr>
          <w:rFonts w:cs="Times New Roman"/>
        </w:rPr>
        <w:t>Floridi</w:t>
      </w:r>
      <w:proofErr w:type="spellEnd"/>
      <w:r w:rsidR="00736368" w:rsidRPr="00736368">
        <w:rPr>
          <w:rFonts w:cs="Times New Roman"/>
        </w:rPr>
        <w:t xml:space="preserve"> and Cowls (2019) similarly argue that justice in AI requires not merely avoiding overt discrimination but actively ensuring that benefits are distributed fairly, which means ancestry-stratified validation is not optional but a minimum ethical requirement for any polygenic service.</w:t>
      </w:r>
    </w:p>
    <w:p w14:paraId="6CC4D145" w14:textId="42C8FEF7" w:rsidR="00143406" w:rsidRDefault="00A11000" w:rsidP="0081534D">
      <w:pPr>
        <w:spacing w:after="240" w:line="360" w:lineRule="auto"/>
        <w:rPr>
          <w:rFonts w:cs="Times New Roman"/>
        </w:rPr>
      </w:pPr>
      <w:r w:rsidRPr="00A11000">
        <w:rPr>
          <w:rFonts w:cs="Times New Roman"/>
        </w:rPr>
        <w:t>Utilitarian reasoning can support some Paracelsus services if they produce meaningful health gains at scale, but the utility case collapses where outputs are weak, confusing, or socially harmful (</w:t>
      </w:r>
      <w:proofErr w:type="spellStart"/>
      <w:r w:rsidRPr="00A11000">
        <w:rPr>
          <w:rFonts w:cs="Times New Roman"/>
        </w:rPr>
        <w:t>Floridi</w:t>
      </w:r>
      <w:proofErr w:type="spellEnd"/>
      <w:r w:rsidRPr="00A11000">
        <w:rPr>
          <w:rFonts w:cs="Times New Roman"/>
        </w:rPr>
        <w:t xml:space="preserve"> and Cowls, 2019).</w:t>
      </w:r>
      <w:r>
        <w:rPr>
          <w:rFonts w:cs="Times New Roman"/>
        </w:rPr>
        <w:t xml:space="preserve"> </w:t>
      </w:r>
      <w:proofErr w:type="spellStart"/>
      <w:r w:rsidR="00143406" w:rsidRPr="00783291">
        <w:rPr>
          <w:rFonts w:cs="Times New Roman"/>
        </w:rPr>
        <w:t>PsycheDecode</w:t>
      </w:r>
      <w:proofErr w:type="spellEnd"/>
      <w:r w:rsidR="00143406" w:rsidRPr="00783291">
        <w:rPr>
          <w:rFonts w:cs="Times New Roman"/>
        </w:rPr>
        <w:t xml:space="preserve"> and </w:t>
      </w:r>
      <w:proofErr w:type="spellStart"/>
      <w:r w:rsidR="00143406" w:rsidRPr="00783291">
        <w:rPr>
          <w:rFonts w:cs="Times New Roman"/>
        </w:rPr>
        <w:t>AptiCore</w:t>
      </w:r>
      <w:proofErr w:type="spellEnd"/>
      <w:r w:rsidR="00143406" w:rsidRPr="00783291">
        <w:rPr>
          <w:rFonts w:cs="Times New Roman"/>
        </w:rPr>
        <w:t xml:space="preserve"> are ethically hardest to defend because they can generate self-fulfilling labels about capability or mentality, especially if employers begin to treat aggregated outputs as quasi-scientific workplace intelligence</w:t>
      </w:r>
      <w:r w:rsidR="00CE198F">
        <w:rPr>
          <w:rFonts w:cs="Times New Roman"/>
        </w:rPr>
        <w:t>.</w:t>
      </w:r>
    </w:p>
    <w:p w14:paraId="2DD7A83B" w14:textId="37906C79" w:rsidR="00CE198F" w:rsidRPr="00783291" w:rsidRDefault="00CE198F" w:rsidP="0081534D">
      <w:pPr>
        <w:spacing w:after="240" w:line="360" w:lineRule="auto"/>
        <w:rPr>
          <w:rFonts w:cs="Times New Roman"/>
        </w:rPr>
      </w:pPr>
      <w:r w:rsidRPr="00CE198F">
        <w:rPr>
          <w:rFonts w:cs="Times New Roman"/>
        </w:rPr>
        <w:t xml:space="preserve">A realistic harm scenario is not limited to technical failure. A user may interpret a high-risk score as a diagnosis, or an employer may treat aggregate aptitude profiles as a legitimate basis for workforce planning, even where the product was not designed for that purpose. These are classic examples of overreach and misplaced trust. From a utilitarian perspective, a product only creates net benefit if its gains are real, its harms are limited, and its use is predictable; for </w:t>
      </w:r>
      <w:r w:rsidR="00BD7FAD">
        <w:rPr>
          <w:rFonts w:cs="Times New Roman"/>
        </w:rPr>
        <w:t>Paracelsus</w:t>
      </w:r>
      <w:r w:rsidRPr="00CE198F">
        <w:rPr>
          <w:rFonts w:cs="Times New Roman"/>
        </w:rPr>
        <w:t xml:space="preserve">, that standard is most plausible for </w:t>
      </w:r>
      <w:proofErr w:type="spellStart"/>
      <w:r w:rsidRPr="00CE198F">
        <w:rPr>
          <w:rFonts w:cs="Times New Roman"/>
        </w:rPr>
        <w:t>GeneGuard</w:t>
      </w:r>
      <w:proofErr w:type="spellEnd"/>
      <w:r w:rsidRPr="00CE198F">
        <w:rPr>
          <w:rFonts w:cs="Times New Roman"/>
        </w:rPr>
        <w:t xml:space="preserve">, conditional for </w:t>
      </w:r>
      <w:proofErr w:type="spellStart"/>
      <w:r w:rsidRPr="00CE198F">
        <w:rPr>
          <w:rFonts w:cs="Times New Roman"/>
        </w:rPr>
        <w:t>PolyRisk</w:t>
      </w:r>
      <w:proofErr w:type="spellEnd"/>
      <w:r w:rsidRPr="00CE198F">
        <w:rPr>
          <w:rFonts w:cs="Times New Roman"/>
        </w:rPr>
        <w:t>, and weak for the remaining services</w:t>
      </w:r>
    </w:p>
    <w:p w14:paraId="551BB42D" w14:textId="567DB52E" w:rsidR="00703590" w:rsidRPr="00783291" w:rsidRDefault="00703590" w:rsidP="00D62F24">
      <w:pPr>
        <w:spacing w:line="360" w:lineRule="auto"/>
        <w:rPr>
          <w:rFonts w:cs="Times New Roman"/>
        </w:rPr>
      </w:pPr>
    </w:p>
    <w:p w14:paraId="2F9C92BC" w14:textId="77777777" w:rsidR="00703590" w:rsidRPr="00783291" w:rsidRDefault="00703590" w:rsidP="00D62F24">
      <w:pPr>
        <w:spacing w:after="160" w:line="360" w:lineRule="auto"/>
        <w:rPr>
          <w:rFonts w:cs="Times New Roman"/>
        </w:rPr>
      </w:pPr>
      <w:r w:rsidRPr="00783291">
        <w:rPr>
          <w:rFonts w:cs="Times New Roman"/>
        </w:rPr>
        <w:br w:type="page"/>
      </w:r>
    </w:p>
    <w:p w14:paraId="2D182D2C" w14:textId="43E1224F" w:rsidR="00EC6B34" w:rsidRPr="00783291" w:rsidRDefault="00EC6B34" w:rsidP="00CE198F">
      <w:pPr>
        <w:pStyle w:val="Heading1"/>
        <w:spacing w:before="0"/>
        <w:rPr>
          <w:rFonts w:cs="Times New Roman"/>
        </w:rPr>
      </w:pPr>
      <w:bookmarkStart w:id="5" w:name="_Toc232402492"/>
      <w:r w:rsidRPr="00783291">
        <w:rPr>
          <w:rFonts w:cs="Times New Roman"/>
        </w:rPr>
        <w:lastRenderedPageBreak/>
        <w:t>In-Depth Legal Analysis (EU Jurisdiction)</w:t>
      </w:r>
      <w:bookmarkEnd w:id="5"/>
    </w:p>
    <w:p w14:paraId="275AE178" w14:textId="659C29C4" w:rsidR="00CE198F" w:rsidRDefault="00736EC3" w:rsidP="00676D0A">
      <w:pPr>
        <w:spacing w:before="240" w:line="360" w:lineRule="auto"/>
        <w:rPr>
          <w:rFonts w:cs="Times New Roman"/>
        </w:rPr>
      </w:pPr>
      <w:r w:rsidRPr="00736EC3">
        <w:rPr>
          <w:rFonts w:cs="Times New Roman"/>
        </w:rPr>
        <w:t>Under GDPR, Paracelsus must identify both a lawful basis under Article 6 and a specific Article 9 condition for processing genetic and health data, which are special categories of personal data (European Union, 2016).</w:t>
      </w:r>
      <w:r>
        <w:rPr>
          <w:rFonts w:cs="Times New Roman"/>
        </w:rPr>
        <w:t xml:space="preserve"> </w:t>
      </w:r>
      <w:r w:rsidR="00CE198F" w:rsidRPr="00CE198F">
        <w:rPr>
          <w:rFonts w:cs="Times New Roman"/>
        </w:rPr>
        <w:t>For consumer use, explicit consent may be available, but it must be freely given, informed, specific, and easy to withdraw in practice. That means the company cannot hide broad secondary uses inside a general privacy policy, and it cannot bundle unrelated purposes into a single vague permission request</w:t>
      </w:r>
      <w:r w:rsidR="00CE198F">
        <w:rPr>
          <w:rFonts w:cs="Times New Roman"/>
        </w:rPr>
        <w:t>.</w:t>
      </w:r>
    </w:p>
    <w:p w14:paraId="24456C30" w14:textId="0DEE0176" w:rsidR="00802BE8" w:rsidRDefault="00802BE8" w:rsidP="00676D0A">
      <w:pPr>
        <w:spacing w:before="240" w:line="360" w:lineRule="auto"/>
        <w:rPr>
          <w:rFonts w:cs="Times New Roman"/>
        </w:rPr>
      </w:pPr>
      <w:r w:rsidRPr="00802BE8">
        <w:rPr>
          <w:rFonts w:cs="Times New Roman"/>
        </w:rPr>
        <w:t>Because</w:t>
      </w:r>
      <w:r>
        <w:rPr>
          <w:rFonts w:cs="Times New Roman"/>
        </w:rPr>
        <w:t xml:space="preserve"> Paracelsus </w:t>
      </w:r>
      <w:r w:rsidRPr="00802BE8">
        <w:rPr>
          <w:rFonts w:cs="Times New Roman"/>
        </w:rPr>
        <w:t>processes genetic and health data at scale, a Data Protection Impact Assessment should be treated as an essential pre-launch control rather than a formality. A DPIA would help identify risks to individuals, test whether consent is genuinely valid, document safeguards, and show that the company has considered the consequences of profiling before deployment. This is particularly important where sensitive data, predictive modelling, and possible cross-context reuse are involved</w:t>
      </w:r>
      <w:r>
        <w:rPr>
          <w:rFonts w:cs="Times New Roman"/>
        </w:rPr>
        <w:t>.</w:t>
      </w:r>
    </w:p>
    <w:p w14:paraId="79FA0E7A" w14:textId="5134CC0A" w:rsidR="00CE198F" w:rsidRDefault="00CE198F" w:rsidP="00305C1F">
      <w:pPr>
        <w:spacing w:before="240" w:line="360" w:lineRule="auto"/>
        <w:rPr>
          <w:rFonts w:cs="Times New Roman"/>
        </w:rPr>
      </w:pPr>
      <w:r w:rsidRPr="00CE198F">
        <w:rPr>
          <w:rFonts w:cs="Times New Roman"/>
        </w:rPr>
        <w:t xml:space="preserve">The employee scenario is legally more fragile. </w:t>
      </w:r>
      <w:r w:rsidR="00736EC3" w:rsidRPr="00736EC3">
        <w:rPr>
          <w:rFonts w:cs="Times New Roman"/>
        </w:rPr>
        <w:t xml:space="preserve">The EDPB makes clear that consent in employment is usually not freely given because of the imbalance of power between employer and employee (European Data Protection Board, 2020), </w:t>
      </w:r>
      <w:r w:rsidR="007D5394" w:rsidRPr="007D5394">
        <w:rPr>
          <w:rFonts w:cs="Times New Roman"/>
        </w:rPr>
        <w:t>so Paracelsus should not rely on employee consent as its main legal basis for workplace deployment. Even if only aggregated findings</w:t>
      </w:r>
      <w:r w:rsidR="007D5394">
        <w:rPr>
          <w:rFonts w:cs="Times New Roman"/>
        </w:rPr>
        <w:t xml:space="preserve"> </w:t>
      </w:r>
      <w:r w:rsidRPr="00CE198F">
        <w:rPr>
          <w:rFonts w:cs="Times New Roman"/>
        </w:rPr>
        <w:t>are shared with employers, the initial processing of highly sensitive genetic data still occurs, and that may create legal exposure if participation is not genuinely voluntary or if employees fear consequences for refusing. In practice, this makes B2B deployment much more difficult to defend than a direct-to-consumer model.</w:t>
      </w:r>
    </w:p>
    <w:p w14:paraId="17E8E0A4" w14:textId="2B909611" w:rsidR="00CE198F" w:rsidRPr="00783291" w:rsidRDefault="00CE198F" w:rsidP="00305C1F">
      <w:pPr>
        <w:spacing w:before="240" w:line="360" w:lineRule="auto"/>
        <w:rPr>
          <w:rFonts w:cs="Times New Roman"/>
        </w:rPr>
      </w:pPr>
      <w:r w:rsidRPr="00CE198F">
        <w:rPr>
          <w:rFonts w:cs="Times New Roman"/>
        </w:rPr>
        <w:t xml:space="preserve">The EU AI Act further raises the compliance burden. </w:t>
      </w:r>
      <w:r w:rsidR="00736EC3" w:rsidRPr="00736EC3">
        <w:rPr>
          <w:rFonts w:cs="Times New Roman"/>
        </w:rPr>
        <w:t xml:space="preserve">Annex III identifies employment-related AI uses, including recruitment, task allocation, monitoring, and performance evaluation, as high-risk contexts (European Union, 2024), which means </w:t>
      </w:r>
      <w:proofErr w:type="spellStart"/>
      <w:r w:rsidR="00736EC3" w:rsidRPr="00736EC3">
        <w:rPr>
          <w:rFonts w:cs="Times New Roman"/>
        </w:rPr>
        <w:t>AptiCore</w:t>
      </w:r>
      <w:proofErr w:type="spellEnd"/>
      <w:r w:rsidR="00736EC3" w:rsidRPr="00736EC3">
        <w:rPr>
          <w:rFonts w:cs="Times New Roman"/>
        </w:rPr>
        <w:t xml:space="preserve"> is especially exposed if it is used for career guidance or workplace decision support.</w:t>
      </w:r>
      <w:r w:rsidRPr="00CE198F">
        <w:rPr>
          <w:rFonts w:cs="Times New Roman"/>
        </w:rPr>
        <w:t xml:space="preserve"> </w:t>
      </w:r>
      <w:proofErr w:type="spellStart"/>
      <w:r w:rsidRPr="00CE198F">
        <w:rPr>
          <w:rFonts w:cs="Times New Roman"/>
        </w:rPr>
        <w:t>PsycheDecode</w:t>
      </w:r>
      <w:proofErr w:type="spellEnd"/>
      <w:r w:rsidRPr="00CE198F">
        <w:rPr>
          <w:rFonts w:cs="Times New Roman"/>
        </w:rPr>
        <w:t xml:space="preserve"> is even more sensitive because psychological or emotional inference in workplace settings can drift into prohibited or heavily restricted territory, particularly if the output is used to judge suitability, stability, or performance. That means </w:t>
      </w:r>
      <w:r w:rsidR="00BD7FAD">
        <w:rPr>
          <w:rFonts w:cs="Times New Roman"/>
        </w:rPr>
        <w:t>Paracelsus</w:t>
      </w:r>
      <w:r w:rsidRPr="00CE198F">
        <w:rPr>
          <w:rFonts w:cs="Times New Roman"/>
        </w:rPr>
        <w:t xml:space="preserve"> cannot treat legal compliance as a box-ticking exercise; it needs product restrictions that reflect the actual risk profile of each service.</w:t>
      </w:r>
    </w:p>
    <w:p w14:paraId="5F6EEF1E" w14:textId="77777777" w:rsidR="00143406" w:rsidRPr="00783291" w:rsidRDefault="00143406" w:rsidP="00CE198F">
      <w:pPr>
        <w:spacing w:line="360" w:lineRule="auto"/>
        <w:rPr>
          <w:rFonts w:cs="Times New Roman"/>
        </w:rPr>
      </w:pPr>
    </w:p>
    <w:p w14:paraId="0D2A4A41" w14:textId="3A1FE63D" w:rsidR="00736368" w:rsidRDefault="00736368" w:rsidP="00CE198F">
      <w:pPr>
        <w:spacing w:line="360" w:lineRule="auto"/>
        <w:rPr>
          <w:rFonts w:cs="Times New Roman"/>
        </w:rPr>
      </w:pPr>
      <w:r w:rsidRPr="00736368">
        <w:rPr>
          <w:rFonts w:cs="Times New Roman"/>
        </w:rPr>
        <w:lastRenderedPageBreak/>
        <w:t>The current legal framework is strong on data protection and risk classification, but it does not fully resolve scientific validity, manipulative product framing, or the ethics of inferential profiling. That means legal compliance alone is not enough; Paracelsus must apply a higher internal standard than the minimum required by law. Aicardi et al. (2016) note that digital health data governance has consistently lagged behind technological capability, leaving gaps that companies must fill through internal policy rather than waiting for regulatory reform. This is especially relevant to Paracelsus, whose services span a spectrum from clinically grounded disease-risk tools to speculative psychological profiling, requiring differentiated governance responses rather than a uniform compliance approach.</w:t>
      </w:r>
    </w:p>
    <w:p w14:paraId="096FFFE4" w14:textId="78434148" w:rsidR="00CE198F" w:rsidRPr="00783291" w:rsidRDefault="00CE198F" w:rsidP="00305C1F">
      <w:pPr>
        <w:spacing w:before="240" w:line="360" w:lineRule="auto"/>
        <w:rPr>
          <w:rFonts w:cs="Times New Roman"/>
        </w:rPr>
      </w:pPr>
      <w:r w:rsidRPr="00CE198F">
        <w:rPr>
          <w:rFonts w:cs="Times New Roman"/>
        </w:rPr>
        <w:t>There is also a gap between formal compliance and substantive legitimacy. GDPR and the AI Act regulate data handling, risk classification, and governance, but they do not fully solve scientific uncertainty, misleading marketing, or the social consequences of turning probabilistic inference into business tools. That is important because a model can be lawful and still be ethically weak if it encourages overconfidence or produces unequal outcomes across populations. For this reason, the safest legal strategy is also the most ethically cautious strategy: limit deployment, narrow use cases, and avoid unsupported claims.</w:t>
      </w:r>
    </w:p>
    <w:p w14:paraId="62337768" w14:textId="77777777" w:rsidR="00143406" w:rsidRPr="00783291" w:rsidRDefault="00143406" w:rsidP="00143406">
      <w:pPr>
        <w:spacing w:line="360" w:lineRule="auto"/>
        <w:rPr>
          <w:rFonts w:cs="Times New Roman"/>
        </w:rPr>
      </w:pPr>
    </w:p>
    <w:p w14:paraId="78501349" w14:textId="2AFA541D" w:rsidR="00703590" w:rsidRPr="00783291" w:rsidRDefault="00703590" w:rsidP="00703590">
      <w:pPr>
        <w:rPr>
          <w:rFonts w:cs="Times New Roman"/>
        </w:rPr>
      </w:pPr>
    </w:p>
    <w:p w14:paraId="6079A4D7" w14:textId="77777777" w:rsidR="00703590" w:rsidRPr="00783291" w:rsidRDefault="00703590">
      <w:pPr>
        <w:spacing w:after="160"/>
        <w:jc w:val="left"/>
        <w:rPr>
          <w:rFonts w:cs="Times New Roman"/>
        </w:rPr>
      </w:pPr>
      <w:r w:rsidRPr="00783291">
        <w:rPr>
          <w:rFonts w:cs="Times New Roman"/>
        </w:rPr>
        <w:br w:type="page"/>
      </w:r>
    </w:p>
    <w:p w14:paraId="7E05115E" w14:textId="7F7E46A2" w:rsidR="00EC6B34" w:rsidRPr="00783291" w:rsidRDefault="00EC6B34" w:rsidP="00CE198F">
      <w:pPr>
        <w:pStyle w:val="Heading1"/>
        <w:spacing w:before="0"/>
        <w:rPr>
          <w:rFonts w:cs="Times New Roman"/>
        </w:rPr>
      </w:pPr>
      <w:bookmarkStart w:id="6" w:name="_Toc232402493"/>
      <w:r w:rsidRPr="00783291">
        <w:rPr>
          <w:rFonts w:cs="Times New Roman"/>
        </w:rPr>
        <w:lastRenderedPageBreak/>
        <w:t>Mitigation Strategies</w:t>
      </w:r>
      <w:bookmarkEnd w:id="6"/>
    </w:p>
    <w:p w14:paraId="673AF068" w14:textId="7F015185" w:rsidR="00143406" w:rsidRDefault="00BD7FAD" w:rsidP="00D62F24">
      <w:pPr>
        <w:spacing w:before="240" w:line="360" w:lineRule="auto"/>
        <w:rPr>
          <w:rFonts w:cs="Times New Roman"/>
        </w:rPr>
      </w:pPr>
      <w:r>
        <w:rPr>
          <w:rFonts w:cs="Times New Roman"/>
        </w:rPr>
        <w:t>Paracelsus</w:t>
      </w:r>
      <w:r w:rsidR="00CE198F" w:rsidRPr="00CE198F">
        <w:rPr>
          <w:rFonts w:cs="Times New Roman"/>
        </w:rPr>
        <w:t xml:space="preserve"> should adopt a tiered product strategy rather than a one-size-fits-all launch model. </w:t>
      </w:r>
      <w:proofErr w:type="spellStart"/>
      <w:r w:rsidR="00CE198F" w:rsidRPr="00CE198F">
        <w:rPr>
          <w:rFonts w:cs="Times New Roman"/>
        </w:rPr>
        <w:t>GeneGuard</w:t>
      </w:r>
      <w:proofErr w:type="spellEnd"/>
      <w:r w:rsidR="00CE198F" w:rsidRPr="00CE198F">
        <w:rPr>
          <w:rFonts w:cs="Times New Roman"/>
        </w:rPr>
        <w:t xml:space="preserve"> can be retained, but only with conservative health framing, plain-language uncertainty statements, and referral guidance that prevents users from treating predictions as diagnoses. </w:t>
      </w:r>
      <w:proofErr w:type="spellStart"/>
      <w:r w:rsidR="00CE198F" w:rsidRPr="00CE198F">
        <w:rPr>
          <w:rFonts w:cs="Times New Roman"/>
        </w:rPr>
        <w:t>PolyRisk</w:t>
      </w:r>
      <w:proofErr w:type="spellEnd"/>
      <w:r w:rsidR="00CE198F" w:rsidRPr="00CE198F">
        <w:rPr>
          <w:rFonts w:cs="Times New Roman"/>
        </w:rPr>
        <w:t xml:space="preserve"> should be limited to validated populations and supported by ancestry-stratified testing, periodic recalibration, and a published explanation of when the model is unreliable. </w:t>
      </w:r>
      <w:proofErr w:type="spellStart"/>
      <w:r w:rsidR="00CE198F" w:rsidRPr="00CE198F">
        <w:rPr>
          <w:rFonts w:cs="Times New Roman"/>
        </w:rPr>
        <w:t>PersonaMap</w:t>
      </w:r>
      <w:proofErr w:type="spellEnd"/>
      <w:r w:rsidR="00CE198F" w:rsidRPr="00CE198F">
        <w:rPr>
          <w:rFonts w:cs="Times New Roman"/>
        </w:rPr>
        <w:t xml:space="preserve"> should either be redesigned into a low-stakes exploratory product or paused until </w:t>
      </w:r>
      <w:r>
        <w:rPr>
          <w:rFonts w:cs="Times New Roman"/>
        </w:rPr>
        <w:t>Paracelsus</w:t>
      </w:r>
      <w:r w:rsidR="00CE198F" w:rsidRPr="00CE198F">
        <w:rPr>
          <w:rFonts w:cs="Times New Roman"/>
        </w:rPr>
        <w:t xml:space="preserve"> can justify its scientific basis more convincingly</w:t>
      </w:r>
      <w:r w:rsidR="004075CE">
        <w:rPr>
          <w:rFonts w:cs="Times New Roman"/>
        </w:rPr>
        <w:t>.</w:t>
      </w:r>
    </w:p>
    <w:p w14:paraId="0FA7146D" w14:textId="77777777" w:rsidR="00CE198F" w:rsidRDefault="00CE198F" w:rsidP="00D62F24">
      <w:pPr>
        <w:spacing w:line="360" w:lineRule="auto"/>
        <w:rPr>
          <w:rFonts w:cs="Times New Roman"/>
        </w:rPr>
      </w:pPr>
    </w:p>
    <w:p w14:paraId="542F6036" w14:textId="03F2D1FD" w:rsidR="00CE198F" w:rsidRPr="00783291" w:rsidRDefault="00CE198F" w:rsidP="00D62F24">
      <w:pPr>
        <w:spacing w:line="360" w:lineRule="auto"/>
        <w:rPr>
          <w:rFonts w:cs="Times New Roman"/>
        </w:rPr>
      </w:pPr>
      <w:proofErr w:type="spellStart"/>
      <w:r w:rsidRPr="00CE198F">
        <w:rPr>
          <w:rFonts w:cs="Times New Roman"/>
        </w:rPr>
        <w:t>AptiCore</w:t>
      </w:r>
      <w:proofErr w:type="spellEnd"/>
      <w:r w:rsidRPr="00CE198F">
        <w:rPr>
          <w:rFonts w:cs="Times New Roman"/>
        </w:rPr>
        <w:t xml:space="preserve"> should be removed from employer-facing use unless it is fundamentally redesigned to avoid recruitment, promotion, task allocation, or capability ranking. Even then, the company should assume a high-risk compliance burden because employment contexts amplify bias and consent problems. </w:t>
      </w:r>
      <w:proofErr w:type="spellStart"/>
      <w:r w:rsidRPr="00CE198F">
        <w:rPr>
          <w:rFonts w:cs="Times New Roman"/>
        </w:rPr>
        <w:t>PsycheDecode</w:t>
      </w:r>
      <w:proofErr w:type="spellEnd"/>
      <w:r w:rsidRPr="00CE198F">
        <w:rPr>
          <w:rFonts w:cs="Times New Roman"/>
        </w:rPr>
        <w:t xml:space="preserve"> should be excluded from B2B deployment altogether, because psychological or emotional inference is difficult to justify ethically and creates substantial legal exposure when used in workplace settings.</w:t>
      </w:r>
    </w:p>
    <w:p w14:paraId="523D70D3" w14:textId="77777777" w:rsidR="00143406" w:rsidRPr="00783291" w:rsidRDefault="00143406" w:rsidP="00D62F24">
      <w:pPr>
        <w:spacing w:line="360" w:lineRule="auto"/>
        <w:rPr>
          <w:rFonts w:cs="Times New Roman"/>
        </w:rPr>
      </w:pPr>
    </w:p>
    <w:p w14:paraId="0D7743D7" w14:textId="42B1E9E0" w:rsidR="00143406" w:rsidRPr="00783291" w:rsidRDefault="00CE198F" w:rsidP="00D62F24">
      <w:pPr>
        <w:spacing w:line="360" w:lineRule="auto"/>
        <w:rPr>
          <w:rFonts w:cs="Times New Roman"/>
        </w:rPr>
      </w:pPr>
      <w:r w:rsidRPr="00CE198F">
        <w:rPr>
          <w:rFonts w:cs="Times New Roman"/>
        </w:rPr>
        <w:t xml:space="preserve">At the technical level, </w:t>
      </w:r>
      <w:r w:rsidR="00BD7FAD">
        <w:rPr>
          <w:rFonts w:cs="Times New Roman"/>
        </w:rPr>
        <w:t>Paracelsus</w:t>
      </w:r>
      <w:r w:rsidRPr="00CE198F">
        <w:rPr>
          <w:rFonts w:cs="Times New Roman"/>
        </w:rPr>
        <w:t xml:space="preserve"> should use privacy by design measures such as encryption, </w:t>
      </w:r>
      <w:proofErr w:type="spellStart"/>
      <w:r w:rsidRPr="00CE198F">
        <w:rPr>
          <w:rFonts w:cs="Times New Roman"/>
        </w:rPr>
        <w:t>pseudonymisation</w:t>
      </w:r>
      <w:proofErr w:type="spellEnd"/>
      <w:r w:rsidRPr="00CE198F">
        <w:rPr>
          <w:rFonts w:cs="Times New Roman"/>
        </w:rPr>
        <w:t xml:space="preserve">, role-based access control, strict retention limits, and separation of raw genomic data from derived reports. It should also maintain model cards and data sheets that document training data provenance, demographic coverage, intended purpose, limitations, and known failure modes. </w:t>
      </w:r>
      <w:r w:rsidR="003D71C7" w:rsidRPr="003D71C7">
        <w:rPr>
          <w:rFonts w:cs="Times New Roman"/>
        </w:rPr>
        <w:t>External bias audits, incident response procedures, and a cross-functional ethics board with authority to pause launches would help move the company from minimal compliance to credible governance (World Health Organization, 2021).</w:t>
      </w:r>
    </w:p>
    <w:p w14:paraId="318DDE6D" w14:textId="77777777" w:rsidR="00143406" w:rsidRPr="00783291" w:rsidRDefault="00143406" w:rsidP="00D62F24">
      <w:pPr>
        <w:spacing w:line="360" w:lineRule="auto"/>
        <w:rPr>
          <w:rFonts w:cs="Times New Roman"/>
        </w:rPr>
      </w:pPr>
    </w:p>
    <w:p w14:paraId="46DFB346" w14:textId="0ABCDCC7" w:rsidR="00703590" w:rsidRPr="00783291" w:rsidRDefault="00703590" w:rsidP="00703590">
      <w:pPr>
        <w:rPr>
          <w:rFonts w:cs="Times New Roman"/>
        </w:rPr>
      </w:pPr>
    </w:p>
    <w:p w14:paraId="0A6E7AFD" w14:textId="77777777" w:rsidR="00703590" w:rsidRPr="00783291" w:rsidRDefault="00703590">
      <w:pPr>
        <w:spacing w:after="160"/>
        <w:jc w:val="left"/>
        <w:rPr>
          <w:rFonts w:cs="Times New Roman"/>
        </w:rPr>
      </w:pPr>
      <w:r w:rsidRPr="00783291">
        <w:rPr>
          <w:rFonts w:cs="Times New Roman"/>
        </w:rPr>
        <w:br w:type="page"/>
      </w:r>
    </w:p>
    <w:p w14:paraId="23783FE8" w14:textId="7244E6EB" w:rsidR="00EC6B34" w:rsidRDefault="00EC6B34" w:rsidP="00EC6B34">
      <w:pPr>
        <w:pStyle w:val="Heading1"/>
        <w:rPr>
          <w:rFonts w:cs="Times New Roman"/>
        </w:rPr>
      </w:pPr>
      <w:bookmarkStart w:id="7" w:name="_Toc232402494"/>
      <w:r w:rsidRPr="00783291">
        <w:rPr>
          <w:rFonts w:cs="Times New Roman"/>
        </w:rPr>
        <w:lastRenderedPageBreak/>
        <w:t>Recommendations</w:t>
      </w:r>
      <w:bookmarkEnd w:id="7"/>
    </w:p>
    <w:p w14:paraId="1DC3519B" w14:textId="28BE2B29" w:rsidR="00CE198F" w:rsidRPr="00CE198F" w:rsidRDefault="00CE198F" w:rsidP="00D62F24">
      <w:pPr>
        <w:spacing w:before="240" w:line="360" w:lineRule="auto"/>
      </w:pPr>
      <w:r w:rsidRPr="00CE198F">
        <w:t xml:space="preserve">In operational terms, </w:t>
      </w:r>
      <w:r w:rsidR="00BD7FAD">
        <w:t>Paracelsus</w:t>
      </w:r>
      <w:r w:rsidRPr="00CE198F">
        <w:t xml:space="preserve"> should implement a launch gate for every product, requiring legal review, ethics review, and technical bias testing before any public release. It should also publish a concise transparency notice for consumers that explains what each product does, what it does not do, and how users can challenge or withdraw their data use. For employer-facing products, the company should prohibit access to individual results, prevent secondary use, and ensure that aggregated reporting cannot be used for hidden personnel decisions.</w:t>
      </w:r>
    </w:p>
    <w:p w14:paraId="4C11F736" w14:textId="77777777" w:rsidR="00143406" w:rsidRPr="00783291" w:rsidRDefault="00143406" w:rsidP="00D62F24">
      <w:pPr>
        <w:pStyle w:val="ListParagraph"/>
        <w:numPr>
          <w:ilvl w:val="0"/>
          <w:numId w:val="2"/>
        </w:numPr>
        <w:spacing w:before="240" w:line="360" w:lineRule="auto"/>
        <w:rPr>
          <w:rFonts w:cs="Times New Roman"/>
        </w:rPr>
      </w:pPr>
      <w:r w:rsidRPr="00783291">
        <w:rPr>
          <w:rFonts w:cs="Times New Roman"/>
        </w:rPr>
        <w:t xml:space="preserve">Retain </w:t>
      </w:r>
      <w:proofErr w:type="spellStart"/>
      <w:r w:rsidRPr="00783291">
        <w:rPr>
          <w:rFonts w:cs="Times New Roman"/>
        </w:rPr>
        <w:t>GeneGuard</w:t>
      </w:r>
      <w:proofErr w:type="spellEnd"/>
      <w:r w:rsidRPr="00783291">
        <w:rPr>
          <w:rFonts w:cs="Times New Roman"/>
        </w:rPr>
        <w:t xml:space="preserve"> with tight clinical framing. Market it as a probabilistic risk-support tool, not a diagnostic product, and use plain-language explanations for uncertainty and limitations.</w:t>
      </w:r>
    </w:p>
    <w:p w14:paraId="52D0A35E" w14:textId="77777777" w:rsidR="00143406" w:rsidRPr="00783291" w:rsidRDefault="00143406" w:rsidP="00D62F24">
      <w:pPr>
        <w:pStyle w:val="ListParagraph"/>
        <w:numPr>
          <w:ilvl w:val="0"/>
          <w:numId w:val="2"/>
        </w:numPr>
        <w:spacing w:line="360" w:lineRule="auto"/>
        <w:rPr>
          <w:rFonts w:cs="Times New Roman"/>
        </w:rPr>
      </w:pPr>
      <w:r w:rsidRPr="00783291">
        <w:rPr>
          <w:rFonts w:cs="Times New Roman"/>
        </w:rPr>
        <w:t xml:space="preserve">Restrict </w:t>
      </w:r>
      <w:proofErr w:type="spellStart"/>
      <w:r w:rsidRPr="00783291">
        <w:rPr>
          <w:rFonts w:cs="Times New Roman"/>
        </w:rPr>
        <w:t>PolyRisk</w:t>
      </w:r>
      <w:proofErr w:type="spellEnd"/>
      <w:r w:rsidRPr="00783291">
        <w:rPr>
          <w:rFonts w:cs="Times New Roman"/>
        </w:rPr>
        <w:t xml:space="preserve"> to validated populations. Require ancestry-stratified performance testing, periodic recalibration, and disclosure of where the model is unreliable.</w:t>
      </w:r>
    </w:p>
    <w:p w14:paraId="1E4C0D35" w14:textId="77777777" w:rsidR="00143406" w:rsidRPr="00783291" w:rsidRDefault="00143406" w:rsidP="00D62F24">
      <w:pPr>
        <w:pStyle w:val="ListParagraph"/>
        <w:numPr>
          <w:ilvl w:val="0"/>
          <w:numId w:val="2"/>
        </w:numPr>
        <w:spacing w:line="360" w:lineRule="auto"/>
        <w:rPr>
          <w:rFonts w:cs="Times New Roman"/>
        </w:rPr>
      </w:pPr>
      <w:r w:rsidRPr="00783291">
        <w:rPr>
          <w:rFonts w:cs="Times New Roman"/>
        </w:rPr>
        <w:t xml:space="preserve">Redesign </w:t>
      </w:r>
      <w:proofErr w:type="spellStart"/>
      <w:r w:rsidRPr="00783291">
        <w:rPr>
          <w:rFonts w:cs="Times New Roman"/>
        </w:rPr>
        <w:t>PersonaMap</w:t>
      </w:r>
      <w:proofErr w:type="spellEnd"/>
      <w:r w:rsidRPr="00783291">
        <w:rPr>
          <w:rFonts w:cs="Times New Roman"/>
        </w:rPr>
        <w:t xml:space="preserve"> or suspend it. Do not present personality inference from genetic data as scientifically settled; if retained, it should be exploratory, user-controlled, and non-diagnostic.</w:t>
      </w:r>
    </w:p>
    <w:p w14:paraId="2449E0DE" w14:textId="77777777" w:rsidR="00143406" w:rsidRPr="00783291" w:rsidRDefault="00143406" w:rsidP="00D62F24">
      <w:pPr>
        <w:pStyle w:val="ListParagraph"/>
        <w:numPr>
          <w:ilvl w:val="0"/>
          <w:numId w:val="2"/>
        </w:numPr>
        <w:spacing w:line="360" w:lineRule="auto"/>
        <w:rPr>
          <w:rFonts w:cs="Times New Roman"/>
        </w:rPr>
      </w:pPr>
      <w:r w:rsidRPr="00783291">
        <w:rPr>
          <w:rFonts w:cs="Times New Roman"/>
        </w:rPr>
        <w:t xml:space="preserve">Withdraw </w:t>
      </w:r>
      <w:proofErr w:type="spellStart"/>
      <w:r w:rsidRPr="00783291">
        <w:rPr>
          <w:rFonts w:cs="Times New Roman"/>
        </w:rPr>
        <w:t>AptiCore</w:t>
      </w:r>
      <w:proofErr w:type="spellEnd"/>
      <w:r w:rsidRPr="00783291">
        <w:rPr>
          <w:rFonts w:cs="Times New Roman"/>
        </w:rPr>
        <w:t xml:space="preserve"> from employer use. Employment-related aptitude inference is too close to high-risk profiling and creates serious consent and fairness problems.</w:t>
      </w:r>
    </w:p>
    <w:p w14:paraId="772087D8" w14:textId="77777777" w:rsidR="00143406" w:rsidRPr="00783291" w:rsidRDefault="00143406" w:rsidP="00D62F24">
      <w:pPr>
        <w:pStyle w:val="ListParagraph"/>
        <w:numPr>
          <w:ilvl w:val="0"/>
          <w:numId w:val="2"/>
        </w:numPr>
        <w:spacing w:line="360" w:lineRule="auto"/>
        <w:rPr>
          <w:rFonts w:cs="Times New Roman"/>
        </w:rPr>
      </w:pPr>
      <w:r w:rsidRPr="00783291">
        <w:rPr>
          <w:rFonts w:cs="Times New Roman"/>
        </w:rPr>
        <w:t xml:space="preserve">Exclude </w:t>
      </w:r>
      <w:proofErr w:type="spellStart"/>
      <w:r w:rsidRPr="00783291">
        <w:rPr>
          <w:rFonts w:cs="Times New Roman"/>
        </w:rPr>
        <w:t>PsycheDecode</w:t>
      </w:r>
      <w:proofErr w:type="spellEnd"/>
      <w:r w:rsidRPr="00783291">
        <w:rPr>
          <w:rFonts w:cs="Times New Roman"/>
        </w:rPr>
        <w:t xml:space="preserve"> from B2B deployment. Psychological or emotional inference in the workplace is ethically fragile and legally exposed.</w:t>
      </w:r>
    </w:p>
    <w:p w14:paraId="7ABC8962" w14:textId="77777777" w:rsidR="00143406" w:rsidRPr="00783291" w:rsidRDefault="00143406" w:rsidP="00D62F24">
      <w:pPr>
        <w:pStyle w:val="ListParagraph"/>
        <w:numPr>
          <w:ilvl w:val="0"/>
          <w:numId w:val="2"/>
        </w:numPr>
        <w:spacing w:line="360" w:lineRule="auto"/>
        <w:rPr>
          <w:rFonts w:cs="Times New Roman"/>
        </w:rPr>
      </w:pPr>
      <w:r w:rsidRPr="00783291">
        <w:rPr>
          <w:rFonts w:cs="Times New Roman"/>
        </w:rPr>
        <w:t>Adopt consent and transparency redesign for consumers. Separate each product and purpose, make withdrawal easy, and explain results in a way ordinary users can understand.</w:t>
      </w:r>
    </w:p>
    <w:p w14:paraId="57EAA2CA" w14:textId="77777777" w:rsidR="00143406" w:rsidRDefault="00143406" w:rsidP="00D62F24">
      <w:pPr>
        <w:pStyle w:val="ListParagraph"/>
        <w:numPr>
          <w:ilvl w:val="0"/>
          <w:numId w:val="2"/>
        </w:numPr>
        <w:spacing w:line="360" w:lineRule="auto"/>
        <w:rPr>
          <w:rFonts w:cs="Times New Roman"/>
        </w:rPr>
      </w:pPr>
      <w:r w:rsidRPr="00783291">
        <w:rPr>
          <w:rFonts w:cs="Times New Roman"/>
        </w:rPr>
        <w:t>Create independent oversight. Use periodic ethics review, third-party audits, and public transparency reporting to demonstrate accountability and build trust.</w:t>
      </w:r>
    </w:p>
    <w:p w14:paraId="31BEF1E2" w14:textId="77777777" w:rsidR="009315DF" w:rsidRPr="009315DF" w:rsidRDefault="009315DF" w:rsidP="00D62F24">
      <w:pPr>
        <w:pStyle w:val="ListParagraph"/>
        <w:spacing w:line="360" w:lineRule="auto"/>
        <w:rPr>
          <w:rFonts w:cs="Times New Roman"/>
        </w:rPr>
      </w:pPr>
    </w:p>
    <w:p w14:paraId="201A731D" w14:textId="7C0083BF" w:rsidR="009315DF" w:rsidRPr="009315DF" w:rsidRDefault="009315DF" w:rsidP="00D62F24">
      <w:pPr>
        <w:spacing w:line="360" w:lineRule="auto"/>
        <w:rPr>
          <w:rFonts w:cs="Times New Roman"/>
        </w:rPr>
      </w:pPr>
      <w:r>
        <w:t xml:space="preserve">Paracelsus </w:t>
      </w:r>
      <w:r w:rsidRPr="009315DF">
        <w:rPr>
          <w:rFonts w:cs="Times New Roman"/>
        </w:rPr>
        <w:t>should also adopt a clear stakeholder communication plan before launch. Consumers need simple explanations of what the services can and cannot infer, while employees need explicit assurance that non-participation will not affect recruitment, promotion, or evaluation. This matters because trust in genetic AI depends not only on technical safeguards but also on whether people believe the company is being honest about uncertainty, limits, and downstream use. A short public transparency notice and an internal employee notice would strengthen both legal compliance and commercial credibility.</w:t>
      </w:r>
    </w:p>
    <w:p w14:paraId="59C9D32F" w14:textId="5D93209C" w:rsidR="00EC6B34" w:rsidRDefault="00DD3A59" w:rsidP="00CE198F">
      <w:pPr>
        <w:pStyle w:val="Heading1"/>
        <w:spacing w:before="0"/>
      </w:pPr>
      <w:r w:rsidRPr="00783291">
        <w:br w:type="page"/>
      </w:r>
      <w:bookmarkStart w:id="8" w:name="_Toc232402495"/>
      <w:r w:rsidR="00EC6B34" w:rsidRPr="00783291">
        <w:lastRenderedPageBreak/>
        <w:t>Concluding Remarks</w:t>
      </w:r>
      <w:bookmarkEnd w:id="8"/>
    </w:p>
    <w:p w14:paraId="38AD2873" w14:textId="65F596A5" w:rsidR="00CB3825" w:rsidRDefault="001310DD" w:rsidP="00676D0A">
      <w:pPr>
        <w:spacing w:before="240" w:line="360" w:lineRule="auto"/>
        <w:rPr>
          <w:rFonts w:cs="Times New Roman"/>
        </w:rPr>
      </w:pPr>
      <w:r>
        <w:rPr>
          <w:rFonts w:cs="Times New Roman"/>
        </w:rPr>
        <w:t>Paracelsus</w:t>
      </w:r>
      <w:r w:rsidR="00143406" w:rsidRPr="00783291">
        <w:rPr>
          <w:rFonts w:cs="Times New Roman"/>
        </w:rPr>
        <w:t xml:space="preserve"> can pursue responsible innovation in the EU only if it accepts that not every technically possible product is ethically or legally suitable for market. </w:t>
      </w:r>
      <w:proofErr w:type="spellStart"/>
      <w:r w:rsidR="00143406" w:rsidRPr="00783291">
        <w:rPr>
          <w:rFonts w:cs="Times New Roman"/>
        </w:rPr>
        <w:t>GeneGuard</w:t>
      </w:r>
      <w:proofErr w:type="spellEnd"/>
      <w:r w:rsidR="00143406" w:rsidRPr="00783291">
        <w:rPr>
          <w:rFonts w:cs="Times New Roman"/>
        </w:rPr>
        <w:t xml:space="preserve"> and a carefully governed </w:t>
      </w:r>
      <w:proofErr w:type="spellStart"/>
      <w:r w:rsidR="00143406" w:rsidRPr="00783291">
        <w:rPr>
          <w:rFonts w:cs="Times New Roman"/>
        </w:rPr>
        <w:t>PolyRisk</w:t>
      </w:r>
      <w:proofErr w:type="spellEnd"/>
      <w:r w:rsidR="00143406" w:rsidRPr="00783291">
        <w:rPr>
          <w:rFonts w:cs="Times New Roman"/>
        </w:rPr>
        <w:t xml:space="preserve"> are the most defensible offerings, while </w:t>
      </w:r>
      <w:proofErr w:type="spellStart"/>
      <w:r w:rsidR="00143406" w:rsidRPr="00783291">
        <w:rPr>
          <w:rFonts w:cs="Times New Roman"/>
        </w:rPr>
        <w:t>PersonaMap</w:t>
      </w:r>
      <w:proofErr w:type="spellEnd"/>
      <w:r w:rsidR="00143406" w:rsidRPr="00783291">
        <w:rPr>
          <w:rFonts w:cs="Times New Roman"/>
        </w:rPr>
        <w:t xml:space="preserve"> requires major redesign and </w:t>
      </w:r>
      <w:proofErr w:type="spellStart"/>
      <w:r w:rsidR="00143406" w:rsidRPr="00783291">
        <w:rPr>
          <w:rFonts w:cs="Times New Roman"/>
        </w:rPr>
        <w:t>AptiCore</w:t>
      </w:r>
      <w:proofErr w:type="spellEnd"/>
      <w:r w:rsidR="00143406" w:rsidRPr="00783291">
        <w:rPr>
          <w:rFonts w:cs="Times New Roman"/>
        </w:rPr>
        <w:t xml:space="preserve"> and </w:t>
      </w:r>
      <w:proofErr w:type="spellStart"/>
      <w:r w:rsidR="00143406" w:rsidRPr="00783291">
        <w:rPr>
          <w:rFonts w:cs="Times New Roman"/>
        </w:rPr>
        <w:t>PsycheDecode</w:t>
      </w:r>
      <w:proofErr w:type="spellEnd"/>
      <w:r w:rsidR="00143406" w:rsidRPr="00783291">
        <w:rPr>
          <w:rFonts w:cs="Times New Roman"/>
        </w:rPr>
        <w:t xml:space="preserve"> should be removed from employer-facing deployment</w:t>
      </w:r>
      <w:r w:rsidR="00CB3825">
        <w:rPr>
          <w:rFonts w:cs="Times New Roman"/>
        </w:rPr>
        <w:t>.</w:t>
      </w:r>
    </w:p>
    <w:p w14:paraId="041E7A29" w14:textId="77777777" w:rsidR="00CB3825" w:rsidRDefault="00143406" w:rsidP="00CB3825">
      <w:pPr>
        <w:spacing w:before="240" w:after="160" w:line="360" w:lineRule="auto"/>
        <w:rPr>
          <w:rFonts w:eastAsiaTheme="majorEastAsia" w:cs="Times New Roman"/>
          <w:color w:val="000000" w:themeColor="text1"/>
        </w:rPr>
      </w:pPr>
      <w:r w:rsidRPr="00783291">
        <w:rPr>
          <w:rFonts w:eastAsiaTheme="majorEastAsia" w:cs="Times New Roman"/>
          <w:color w:val="000000" w:themeColor="text1"/>
        </w:rPr>
        <w:t xml:space="preserve">The central lesson is that genetic AI is not just a data-processing problem; it is a fundamental-rights issue involving dignity, fairness, autonomy, and accountability. If </w:t>
      </w:r>
      <w:r w:rsidR="001310DD">
        <w:rPr>
          <w:rFonts w:eastAsiaTheme="majorEastAsia" w:cs="Times New Roman"/>
          <w:color w:val="000000" w:themeColor="text1"/>
        </w:rPr>
        <w:t>Paracelsus</w:t>
      </w:r>
      <w:r w:rsidRPr="00783291">
        <w:rPr>
          <w:rFonts w:eastAsiaTheme="majorEastAsia" w:cs="Times New Roman"/>
          <w:color w:val="000000" w:themeColor="text1"/>
        </w:rPr>
        <w:t xml:space="preserve"> builds its strategy around limitation, validation, transparency, and governance, it can create trust and reduce regulatory exposure while preserving the most credible parts of its portfolio</w:t>
      </w:r>
      <w:r w:rsidR="00CB3825">
        <w:rPr>
          <w:rFonts w:eastAsiaTheme="majorEastAsia" w:cs="Times New Roman"/>
          <w:color w:val="000000" w:themeColor="text1"/>
        </w:rPr>
        <w:t xml:space="preserve">. </w:t>
      </w:r>
    </w:p>
    <w:p w14:paraId="4B96B481" w14:textId="70A148B6" w:rsidR="005E3299" w:rsidRDefault="00CB3825" w:rsidP="005E3299">
      <w:pPr>
        <w:spacing w:before="240" w:line="360" w:lineRule="auto"/>
        <w:rPr>
          <w:rFonts w:eastAsiaTheme="majorEastAsia" w:cs="Times New Roman"/>
          <w:color w:val="000000" w:themeColor="text1"/>
        </w:rPr>
      </w:pPr>
      <w:r w:rsidRPr="00CB3825">
        <w:rPr>
          <w:rFonts w:eastAsiaTheme="majorEastAsia" w:cs="Times New Roman"/>
          <w:color w:val="000000" w:themeColor="text1"/>
        </w:rPr>
        <w:t xml:space="preserve">Overall, </w:t>
      </w:r>
      <w:r w:rsidR="005E3299" w:rsidRPr="005E3299">
        <w:rPr>
          <w:rFonts w:eastAsiaTheme="majorEastAsia" w:cs="Times New Roman"/>
          <w:color w:val="000000" w:themeColor="text1"/>
        </w:rPr>
        <w:t xml:space="preserve">the assessment shows that </w:t>
      </w:r>
      <w:r w:rsidR="004D663F">
        <w:rPr>
          <w:rFonts w:cs="Times New Roman"/>
        </w:rPr>
        <w:t xml:space="preserve">Paracelsus </w:t>
      </w:r>
      <w:r w:rsidR="005E3299" w:rsidRPr="005E3299">
        <w:rPr>
          <w:rFonts w:eastAsiaTheme="majorEastAsia" w:cs="Times New Roman"/>
          <w:color w:val="000000" w:themeColor="text1"/>
        </w:rPr>
        <w:t>should not treat all five products as equally viable. The safest path is to preserve the health-supportive products, tightly constrain any predictive risk scoring, and avoid moving into speculative personality or workplace profiling unless the legal basis, scientific validity, and ethical justification are all much stronger. Responsible innovation here means choosing the products that can be defended, rather than expanding the portfolio simply because the technology makes it possible</w:t>
      </w:r>
      <w:r w:rsidR="004075CE">
        <w:rPr>
          <w:rFonts w:eastAsiaTheme="majorEastAsia" w:cs="Times New Roman"/>
          <w:color w:val="000000" w:themeColor="text1"/>
        </w:rPr>
        <w:t>.</w:t>
      </w:r>
    </w:p>
    <w:p w14:paraId="283809E8" w14:textId="012C7C4A" w:rsidR="004C4953" w:rsidRDefault="004C4953" w:rsidP="005E3299">
      <w:pPr>
        <w:spacing w:before="240" w:line="360" w:lineRule="auto"/>
        <w:rPr>
          <w:rFonts w:eastAsiaTheme="majorEastAsia" w:cs="Times New Roman"/>
          <w:color w:val="000000" w:themeColor="text1"/>
        </w:rPr>
      </w:pPr>
    </w:p>
    <w:p w14:paraId="22A8C86D" w14:textId="77777777" w:rsidR="004C4953" w:rsidRDefault="004C4953">
      <w:pPr>
        <w:spacing w:after="160"/>
        <w:jc w:val="left"/>
        <w:rPr>
          <w:rFonts w:eastAsiaTheme="majorEastAsia" w:cs="Times New Roman"/>
          <w:color w:val="000000" w:themeColor="text1"/>
        </w:rPr>
      </w:pPr>
      <w:r>
        <w:rPr>
          <w:rFonts w:eastAsiaTheme="majorEastAsia" w:cs="Times New Roman"/>
          <w:color w:val="000000" w:themeColor="text1"/>
        </w:rPr>
        <w:br w:type="page"/>
      </w:r>
    </w:p>
    <w:p w14:paraId="42879EF2" w14:textId="77777777" w:rsidR="004C4953" w:rsidRDefault="004C4953" w:rsidP="004C4953">
      <w:pPr>
        <w:pStyle w:val="Heading1"/>
      </w:pPr>
      <w:bookmarkStart w:id="9" w:name="_Toc232402496"/>
      <w:r w:rsidRPr="005274DE">
        <w:lastRenderedPageBreak/>
        <w:t>Acknowledgement</w:t>
      </w:r>
      <w:bookmarkEnd w:id="9"/>
    </w:p>
    <w:p w14:paraId="34176939" w14:textId="225C5FCE" w:rsidR="004C4953" w:rsidRPr="004C4953" w:rsidRDefault="004C4953" w:rsidP="005E3299">
      <w:pPr>
        <w:spacing w:before="240" w:line="360" w:lineRule="auto"/>
      </w:pPr>
      <w:r w:rsidRPr="00524BE9">
        <w:t>Perplexity AI was used in the preparation of this report to support literature searching, identify potentially relevant academic sources, and assist with grammar correction and word-limit reduction during editing. All sources included in the reference list were checked by the author and cited as the original academic works rather than citing Perplexity AI as a source. The analysis, interpretation, discussion, and final written content submitted in this report are the author’s own work and responsibility.</w:t>
      </w:r>
    </w:p>
    <w:p w14:paraId="5A9CA161" w14:textId="5A932DB8" w:rsidR="00DD3A59" w:rsidRDefault="00EC6B34" w:rsidP="00DD3A59">
      <w:pPr>
        <w:pStyle w:val="Heading1"/>
        <w:pageBreakBefore/>
        <w:rPr>
          <w:rFonts w:cs="Times New Roman"/>
        </w:rPr>
      </w:pPr>
      <w:bookmarkStart w:id="10" w:name="_Toc232402497"/>
      <w:r w:rsidRPr="00783291">
        <w:rPr>
          <w:rFonts w:cs="Times New Roman"/>
        </w:rPr>
        <w:lastRenderedPageBreak/>
        <w:t>References</w:t>
      </w:r>
      <w:bookmarkEnd w:id="10"/>
    </w:p>
    <w:p w14:paraId="08F5CBF5" w14:textId="3D8A9487" w:rsidR="00262BD1" w:rsidRPr="00262BD1" w:rsidRDefault="00262BD1" w:rsidP="00262BD1">
      <w:pPr>
        <w:spacing w:before="240" w:line="360" w:lineRule="auto"/>
        <w:rPr>
          <w:rFonts w:cs="Times New Roman"/>
        </w:rPr>
      </w:pPr>
      <w:r w:rsidRPr="00262BD1">
        <w:rPr>
          <w:rFonts w:cs="Times New Roman"/>
        </w:rPr>
        <w:t xml:space="preserve">Aicardi, C. et al. (2016) 'Emerging ethical issues regarding digital health data. On the World Medical Association Draft Declaration on Ethical Considerations Regarding Health Databases and Biobanks', </w:t>
      </w:r>
      <w:r w:rsidRPr="00262BD1">
        <w:rPr>
          <w:rFonts w:cs="Times New Roman"/>
          <w:i/>
          <w:iCs/>
        </w:rPr>
        <w:t>Croatian Medical Journal</w:t>
      </w:r>
      <w:r w:rsidRPr="00262BD1">
        <w:rPr>
          <w:rFonts w:cs="Times New Roman"/>
        </w:rPr>
        <w:t xml:space="preserve">, 57(2), pp. 207–213. Available at: </w:t>
      </w:r>
      <w:hyperlink r:id="rId11" w:history="1">
        <w:r w:rsidRPr="00262BD1">
          <w:rPr>
            <w:rStyle w:val="Hyperlink"/>
            <w:rFonts w:cs="Times New Roman"/>
          </w:rPr>
          <w:t>https://doi.org/10.3325/cmj.2016.57.207</w:t>
        </w:r>
      </w:hyperlink>
      <w:r w:rsidRPr="00262BD1">
        <w:rPr>
          <w:rFonts w:cs="Times New Roman"/>
        </w:rPr>
        <w:t xml:space="preserve"> [Accessed: </w:t>
      </w:r>
      <w:r w:rsidR="004075CE">
        <w:rPr>
          <w:rFonts w:cs="Times New Roman"/>
        </w:rPr>
        <w:t>15</w:t>
      </w:r>
      <w:r w:rsidRPr="00262BD1">
        <w:rPr>
          <w:rFonts w:cs="Times New Roman"/>
        </w:rPr>
        <w:t xml:space="preserve"> </w:t>
      </w:r>
      <w:r w:rsidR="004075CE">
        <w:rPr>
          <w:rFonts w:cs="Times New Roman"/>
        </w:rPr>
        <w:t>June</w:t>
      </w:r>
      <w:r w:rsidRPr="00262BD1">
        <w:rPr>
          <w:rFonts w:cs="Times New Roman"/>
        </w:rPr>
        <w:t xml:space="preserve"> 2026].</w:t>
      </w:r>
    </w:p>
    <w:p w14:paraId="589E3ADD" w14:textId="02DFBE49" w:rsidR="00262BD1" w:rsidRPr="00262BD1" w:rsidRDefault="00262BD1" w:rsidP="00262BD1">
      <w:pPr>
        <w:spacing w:before="240" w:line="360" w:lineRule="auto"/>
        <w:rPr>
          <w:rFonts w:cs="Times New Roman"/>
        </w:rPr>
      </w:pPr>
      <w:r w:rsidRPr="00262BD1">
        <w:rPr>
          <w:rFonts w:cs="Times New Roman"/>
        </w:rPr>
        <w:t xml:space="preserve">Beauchamp, T.L. and Childress, J.F. (2019) </w:t>
      </w:r>
      <w:r w:rsidRPr="00262BD1">
        <w:rPr>
          <w:rFonts w:cs="Times New Roman"/>
          <w:i/>
          <w:iCs/>
        </w:rPr>
        <w:t>Principles of Biomedical Ethics</w:t>
      </w:r>
      <w:r w:rsidRPr="00262BD1">
        <w:rPr>
          <w:rFonts w:cs="Times New Roman"/>
        </w:rPr>
        <w:t xml:space="preserve">. 8th </w:t>
      </w:r>
      <w:proofErr w:type="spellStart"/>
      <w:r w:rsidRPr="00262BD1">
        <w:rPr>
          <w:rFonts w:cs="Times New Roman"/>
        </w:rPr>
        <w:t>edn</w:t>
      </w:r>
      <w:proofErr w:type="spellEnd"/>
      <w:r w:rsidR="00F5310F">
        <w:rPr>
          <w:rFonts w:cs="Times New Roman"/>
        </w:rPr>
        <w:t>,</w:t>
      </w:r>
      <w:r w:rsidRPr="00262BD1">
        <w:rPr>
          <w:rFonts w:cs="Times New Roman"/>
        </w:rPr>
        <w:t xml:space="preserve"> Oxford: Oxford University Press.</w:t>
      </w:r>
    </w:p>
    <w:p w14:paraId="4945075A" w14:textId="25D634B5" w:rsidR="00262BD1" w:rsidRPr="00262BD1" w:rsidRDefault="00262BD1" w:rsidP="00262BD1">
      <w:pPr>
        <w:spacing w:before="240" w:line="360" w:lineRule="auto"/>
        <w:rPr>
          <w:rFonts w:cs="Times New Roman"/>
        </w:rPr>
      </w:pPr>
      <w:r w:rsidRPr="00262BD1">
        <w:rPr>
          <w:rFonts w:cs="Times New Roman"/>
        </w:rPr>
        <w:t xml:space="preserve">European Data Protection Board (2020) </w:t>
      </w:r>
      <w:r w:rsidRPr="00262BD1">
        <w:rPr>
          <w:rFonts w:cs="Times New Roman"/>
          <w:i/>
          <w:iCs/>
        </w:rPr>
        <w:t>Guidelines 05/2020 on consent under Regulation 2016/679</w:t>
      </w:r>
      <w:r w:rsidRPr="00262BD1">
        <w:rPr>
          <w:rFonts w:cs="Times New Roman"/>
        </w:rPr>
        <w:t xml:space="preserve">. Brussels: EDPB. Available at: </w:t>
      </w:r>
      <w:hyperlink r:id="rId12" w:history="1">
        <w:r w:rsidRPr="00262BD1">
          <w:rPr>
            <w:rStyle w:val="Hyperlink"/>
            <w:rFonts w:cs="Times New Roman"/>
          </w:rPr>
          <w:t>https://www.edpb.europa.eu/our-work-tools/our-documents/guidelines/guidelines-052020-consent-under-regulation-2016679_en</w:t>
        </w:r>
      </w:hyperlink>
      <w:r w:rsidRPr="00262BD1">
        <w:rPr>
          <w:rFonts w:cs="Times New Roman"/>
        </w:rPr>
        <w:t xml:space="preserve"> [Accessed: </w:t>
      </w:r>
      <w:r w:rsidR="004075CE">
        <w:rPr>
          <w:rFonts w:cs="Times New Roman"/>
        </w:rPr>
        <w:t>15</w:t>
      </w:r>
      <w:r w:rsidRPr="00262BD1">
        <w:rPr>
          <w:rFonts w:cs="Times New Roman"/>
        </w:rPr>
        <w:t xml:space="preserve"> </w:t>
      </w:r>
      <w:r w:rsidR="004075CE">
        <w:rPr>
          <w:rFonts w:cs="Times New Roman"/>
        </w:rPr>
        <w:t>June</w:t>
      </w:r>
      <w:r w:rsidRPr="00262BD1">
        <w:rPr>
          <w:rFonts w:cs="Times New Roman"/>
        </w:rPr>
        <w:t xml:space="preserve"> 2026].</w:t>
      </w:r>
    </w:p>
    <w:p w14:paraId="7837E414" w14:textId="63BA74A4" w:rsidR="00262BD1" w:rsidRPr="00262BD1" w:rsidRDefault="00262BD1" w:rsidP="00262BD1">
      <w:pPr>
        <w:spacing w:before="240" w:line="360" w:lineRule="auto"/>
        <w:rPr>
          <w:rFonts w:cs="Times New Roman"/>
        </w:rPr>
      </w:pPr>
      <w:r w:rsidRPr="00262BD1">
        <w:rPr>
          <w:rFonts w:cs="Times New Roman"/>
        </w:rPr>
        <w:t xml:space="preserve">European Union (2016) </w:t>
      </w:r>
      <w:r w:rsidRPr="00262BD1">
        <w:rPr>
          <w:rFonts w:cs="Times New Roman"/>
          <w:i/>
          <w:iCs/>
        </w:rPr>
        <w:t>Regulation (EU) 2016/679 of the European Parliament and of the Council of 27 April 2016 on the protection of natural persons with regard to the processing of personal data (General Data Protection Regulation)</w:t>
      </w:r>
      <w:r w:rsidRPr="00262BD1">
        <w:rPr>
          <w:rFonts w:cs="Times New Roman"/>
        </w:rPr>
        <w:t xml:space="preserve">. Official Journal of the European Union. Available at: </w:t>
      </w:r>
      <w:hyperlink r:id="rId13" w:history="1">
        <w:r w:rsidRPr="00262BD1">
          <w:rPr>
            <w:rStyle w:val="Hyperlink"/>
            <w:rFonts w:cs="Times New Roman"/>
          </w:rPr>
          <w:t>https://gdpr-info.eu/art-9-gdpr/</w:t>
        </w:r>
      </w:hyperlink>
      <w:r w:rsidRPr="00262BD1">
        <w:rPr>
          <w:rFonts w:cs="Times New Roman"/>
        </w:rPr>
        <w:t xml:space="preserve"> [Accessed: </w:t>
      </w:r>
      <w:r w:rsidR="004075CE">
        <w:rPr>
          <w:rFonts w:cs="Times New Roman"/>
        </w:rPr>
        <w:t>15</w:t>
      </w:r>
      <w:r w:rsidRPr="00262BD1">
        <w:rPr>
          <w:rFonts w:cs="Times New Roman"/>
        </w:rPr>
        <w:t xml:space="preserve"> </w:t>
      </w:r>
      <w:r w:rsidR="004075CE">
        <w:rPr>
          <w:rFonts w:cs="Times New Roman"/>
        </w:rPr>
        <w:t>June</w:t>
      </w:r>
      <w:r w:rsidRPr="00262BD1">
        <w:rPr>
          <w:rFonts w:cs="Times New Roman"/>
        </w:rPr>
        <w:t xml:space="preserve"> 2026].</w:t>
      </w:r>
    </w:p>
    <w:p w14:paraId="1335D20C" w14:textId="12EC1D3B" w:rsidR="00262BD1" w:rsidRPr="00262BD1" w:rsidRDefault="00262BD1" w:rsidP="00262BD1">
      <w:pPr>
        <w:spacing w:before="240" w:line="360" w:lineRule="auto"/>
        <w:rPr>
          <w:rFonts w:cs="Times New Roman"/>
        </w:rPr>
      </w:pPr>
      <w:r w:rsidRPr="00262BD1">
        <w:rPr>
          <w:rFonts w:cs="Times New Roman"/>
        </w:rPr>
        <w:t xml:space="preserve">European Union (2024) </w:t>
      </w:r>
      <w:r w:rsidRPr="00262BD1">
        <w:rPr>
          <w:rFonts w:cs="Times New Roman"/>
          <w:i/>
          <w:iCs/>
        </w:rPr>
        <w:t>Regulation (EU) 2024/1689 of the European Parliament and of the Council of 13 June 2024 laying down harmonised rules on artificial intelligence (Artificial Intelligence Act)</w:t>
      </w:r>
      <w:r w:rsidRPr="00262BD1">
        <w:rPr>
          <w:rFonts w:cs="Times New Roman"/>
        </w:rPr>
        <w:t xml:space="preserve">. Official Journal of the European Union. Available at: </w:t>
      </w:r>
      <w:hyperlink r:id="rId14" w:history="1">
        <w:r w:rsidRPr="00262BD1">
          <w:rPr>
            <w:rStyle w:val="Hyperlink"/>
            <w:rFonts w:cs="Times New Roman"/>
          </w:rPr>
          <w:t>https://artificialintelligenceact.eu/annex/3/</w:t>
        </w:r>
      </w:hyperlink>
      <w:r w:rsidRPr="00262BD1">
        <w:rPr>
          <w:rFonts w:cs="Times New Roman"/>
        </w:rPr>
        <w:t xml:space="preserve"> [Accessed: </w:t>
      </w:r>
      <w:r w:rsidR="004075CE">
        <w:rPr>
          <w:rFonts w:cs="Times New Roman"/>
        </w:rPr>
        <w:t>15 June</w:t>
      </w:r>
      <w:r w:rsidRPr="00262BD1">
        <w:rPr>
          <w:rFonts w:cs="Times New Roman"/>
        </w:rPr>
        <w:t xml:space="preserve"> 2026].</w:t>
      </w:r>
    </w:p>
    <w:p w14:paraId="12C7D6BA" w14:textId="6F90D13C" w:rsidR="00262BD1" w:rsidRPr="00262BD1" w:rsidRDefault="00262BD1" w:rsidP="00262BD1">
      <w:pPr>
        <w:spacing w:before="240" w:line="360" w:lineRule="auto"/>
        <w:rPr>
          <w:rFonts w:cs="Times New Roman"/>
        </w:rPr>
      </w:pPr>
      <w:proofErr w:type="spellStart"/>
      <w:r w:rsidRPr="00262BD1">
        <w:rPr>
          <w:rFonts w:cs="Times New Roman"/>
        </w:rPr>
        <w:t>Floridi</w:t>
      </w:r>
      <w:proofErr w:type="spellEnd"/>
      <w:r w:rsidRPr="00262BD1">
        <w:rPr>
          <w:rFonts w:cs="Times New Roman"/>
        </w:rPr>
        <w:t xml:space="preserve">, L. and Cowls, J. (2019) 'A unified framework of five principles for AI in society', </w:t>
      </w:r>
      <w:r w:rsidRPr="00262BD1">
        <w:rPr>
          <w:rFonts w:cs="Times New Roman"/>
          <w:i/>
          <w:iCs/>
        </w:rPr>
        <w:t>Harvard Data Science Review</w:t>
      </w:r>
      <w:r w:rsidRPr="00262BD1">
        <w:rPr>
          <w:rFonts w:cs="Times New Roman"/>
        </w:rPr>
        <w:t xml:space="preserve">, 1(1). Available at: </w:t>
      </w:r>
      <w:hyperlink r:id="rId15" w:history="1">
        <w:r w:rsidRPr="00262BD1">
          <w:rPr>
            <w:rStyle w:val="Hyperlink"/>
            <w:rFonts w:cs="Times New Roman"/>
          </w:rPr>
          <w:t>https://doi.org/10.1162/99608f92.8cd550d1</w:t>
        </w:r>
      </w:hyperlink>
      <w:r w:rsidRPr="00262BD1">
        <w:rPr>
          <w:rFonts w:cs="Times New Roman"/>
        </w:rPr>
        <w:t xml:space="preserve"> [Accessed: </w:t>
      </w:r>
      <w:r w:rsidR="004075CE">
        <w:rPr>
          <w:rFonts w:cs="Times New Roman"/>
        </w:rPr>
        <w:t xml:space="preserve">15 June </w:t>
      </w:r>
      <w:r w:rsidRPr="00262BD1">
        <w:rPr>
          <w:rFonts w:cs="Times New Roman"/>
        </w:rPr>
        <w:t>2026].</w:t>
      </w:r>
    </w:p>
    <w:p w14:paraId="1785522C" w14:textId="5B6C4271" w:rsidR="00262BD1" w:rsidRPr="00262BD1" w:rsidRDefault="00262BD1" w:rsidP="00262BD1">
      <w:pPr>
        <w:spacing w:before="240" w:line="360" w:lineRule="auto"/>
        <w:rPr>
          <w:rFonts w:cs="Times New Roman"/>
        </w:rPr>
      </w:pPr>
      <w:r w:rsidRPr="00262BD1">
        <w:rPr>
          <w:rFonts w:cs="Times New Roman"/>
        </w:rPr>
        <w:t xml:space="preserve">Martin, A.R. et al. (2019) 'Clinical use of current polygenic risk scores may exacerbate health disparities', </w:t>
      </w:r>
      <w:r w:rsidRPr="00262BD1">
        <w:rPr>
          <w:rFonts w:cs="Times New Roman"/>
          <w:i/>
          <w:iCs/>
        </w:rPr>
        <w:t>Nature Genetics</w:t>
      </w:r>
      <w:r w:rsidRPr="00262BD1">
        <w:rPr>
          <w:rFonts w:cs="Times New Roman"/>
        </w:rPr>
        <w:t xml:space="preserve">, 51(4), pp. 584–591. Available at: </w:t>
      </w:r>
      <w:hyperlink r:id="rId16" w:history="1">
        <w:r w:rsidRPr="00262BD1">
          <w:rPr>
            <w:rStyle w:val="Hyperlink"/>
            <w:rFonts w:cs="Times New Roman"/>
          </w:rPr>
          <w:t>https://doi.org/10.1038/s41588-019-0379-x</w:t>
        </w:r>
      </w:hyperlink>
      <w:r w:rsidRPr="00262BD1">
        <w:rPr>
          <w:rFonts w:cs="Times New Roman"/>
        </w:rPr>
        <w:t xml:space="preserve"> [Accessed: </w:t>
      </w:r>
      <w:r w:rsidR="004075CE">
        <w:rPr>
          <w:rFonts w:cs="Times New Roman"/>
        </w:rPr>
        <w:t>15</w:t>
      </w:r>
      <w:r w:rsidRPr="00262BD1">
        <w:rPr>
          <w:rFonts w:cs="Times New Roman"/>
        </w:rPr>
        <w:t xml:space="preserve"> </w:t>
      </w:r>
      <w:r w:rsidR="004075CE">
        <w:rPr>
          <w:rFonts w:cs="Times New Roman"/>
        </w:rPr>
        <w:t>June</w:t>
      </w:r>
      <w:r w:rsidRPr="00262BD1">
        <w:rPr>
          <w:rFonts w:cs="Times New Roman"/>
        </w:rPr>
        <w:t xml:space="preserve"> 2026].</w:t>
      </w:r>
    </w:p>
    <w:p w14:paraId="70AE2917" w14:textId="11564078" w:rsidR="00262BD1" w:rsidRPr="00262BD1" w:rsidRDefault="00262BD1" w:rsidP="00262BD1">
      <w:pPr>
        <w:spacing w:before="240" w:line="360" w:lineRule="auto"/>
        <w:rPr>
          <w:rFonts w:cs="Times New Roman"/>
        </w:rPr>
      </w:pPr>
      <w:r w:rsidRPr="00262BD1">
        <w:rPr>
          <w:rFonts w:cs="Times New Roman"/>
        </w:rPr>
        <w:t xml:space="preserve">World Health Organization (2021) </w:t>
      </w:r>
      <w:r w:rsidRPr="00262BD1">
        <w:rPr>
          <w:rFonts w:cs="Times New Roman"/>
          <w:i/>
          <w:iCs/>
        </w:rPr>
        <w:t>Ethics and governance of artificial intelligence for health</w:t>
      </w:r>
      <w:r w:rsidRPr="00262BD1">
        <w:rPr>
          <w:rFonts w:cs="Times New Roman"/>
        </w:rPr>
        <w:t xml:space="preserve">. Geneva: WHO. Available at: </w:t>
      </w:r>
      <w:hyperlink r:id="rId17" w:history="1">
        <w:r w:rsidRPr="00262BD1">
          <w:rPr>
            <w:rStyle w:val="Hyperlink"/>
            <w:rFonts w:cs="Times New Roman"/>
          </w:rPr>
          <w:t>https://www.who.int/publications/i/item/9789240029200</w:t>
        </w:r>
      </w:hyperlink>
      <w:r w:rsidRPr="00262BD1">
        <w:rPr>
          <w:rFonts w:cs="Times New Roman"/>
        </w:rPr>
        <w:t xml:space="preserve"> [Accessed: </w:t>
      </w:r>
      <w:r w:rsidR="004075CE">
        <w:rPr>
          <w:rFonts w:cs="Times New Roman"/>
        </w:rPr>
        <w:t>15</w:t>
      </w:r>
      <w:r w:rsidRPr="00262BD1">
        <w:rPr>
          <w:rFonts w:cs="Times New Roman"/>
        </w:rPr>
        <w:t xml:space="preserve"> </w:t>
      </w:r>
      <w:r w:rsidR="004075CE">
        <w:rPr>
          <w:rFonts w:cs="Times New Roman"/>
        </w:rPr>
        <w:t>June</w:t>
      </w:r>
      <w:r w:rsidRPr="00262BD1">
        <w:rPr>
          <w:rFonts w:cs="Times New Roman"/>
        </w:rPr>
        <w:t xml:space="preserve"> 2026].</w:t>
      </w:r>
    </w:p>
    <w:sectPr w:rsidR="00262BD1" w:rsidRPr="00262BD1" w:rsidSect="00E20047">
      <w:footerReference w:type="default" r:id="rId18"/>
      <w:type w:val="continuous"/>
      <w:pgSz w:w="11906" w:h="16838" w:code="9"/>
      <w:pgMar w:top="1440" w:right="1440" w:bottom="1440" w:left="1440" w:header="720" w:footer="720" w:gutter="0"/>
      <w:pgBorders w:offsetFrom="page">
        <w:top w:val="thinThickMediumGap" w:sz="24" w:space="24" w:color="auto"/>
        <w:left w:val="thinThickMediumGap" w:sz="24" w:space="24" w:color="auto"/>
        <w:bottom w:val="thinThickMediumGap" w:sz="24" w:space="24" w:color="auto"/>
        <w:right w:val="thinThickMediumGap" w:sz="24" w:space="24" w:color="auto"/>
      </w:pgBorder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629D95" w14:textId="77777777" w:rsidR="002F7D68" w:rsidRDefault="002F7D68" w:rsidP="008F1E77">
      <w:pPr>
        <w:spacing w:line="240" w:lineRule="auto"/>
      </w:pPr>
      <w:r>
        <w:separator/>
      </w:r>
    </w:p>
  </w:endnote>
  <w:endnote w:type="continuationSeparator" w:id="0">
    <w:p w14:paraId="7BD5B298" w14:textId="77777777" w:rsidR="002F7D68" w:rsidRDefault="002F7D68" w:rsidP="008F1E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2506476"/>
      <w:docPartObj>
        <w:docPartGallery w:val="Page Numbers (Bottom of Page)"/>
        <w:docPartUnique/>
      </w:docPartObj>
    </w:sdtPr>
    <w:sdtEndPr>
      <w:rPr>
        <w:noProof/>
      </w:rPr>
    </w:sdtEndPr>
    <w:sdtContent>
      <w:p w14:paraId="3D4F524B" w14:textId="6584EC40" w:rsidR="008F1E77" w:rsidRDefault="008F1E77" w:rsidP="00E2004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A2243CC" w14:textId="77777777" w:rsidR="008F1E77" w:rsidRDefault="008F1E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D50FA5" w14:textId="77777777" w:rsidR="002F7D68" w:rsidRDefault="002F7D68" w:rsidP="008F1E77">
      <w:pPr>
        <w:spacing w:line="240" w:lineRule="auto"/>
      </w:pPr>
      <w:r>
        <w:separator/>
      </w:r>
    </w:p>
  </w:footnote>
  <w:footnote w:type="continuationSeparator" w:id="0">
    <w:p w14:paraId="038B4F77" w14:textId="77777777" w:rsidR="002F7D68" w:rsidRDefault="002F7D68" w:rsidP="008F1E7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DD2DEB"/>
    <w:multiLevelType w:val="hybridMultilevel"/>
    <w:tmpl w:val="7BCEF4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F122CA6"/>
    <w:multiLevelType w:val="hybridMultilevel"/>
    <w:tmpl w:val="423A3FC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75D704BF"/>
    <w:multiLevelType w:val="multilevel"/>
    <w:tmpl w:val="60BA5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66295741">
    <w:abstractNumId w:val="2"/>
  </w:num>
  <w:num w:numId="2" w16cid:durableId="775637995">
    <w:abstractNumId w:val="0"/>
  </w:num>
  <w:num w:numId="3" w16cid:durableId="6243900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6DED"/>
    <w:rsid w:val="00025A0B"/>
    <w:rsid w:val="000506BA"/>
    <w:rsid w:val="00057B1C"/>
    <w:rsid w:val="000613E9"/>
    <w:rsid w:val="000831CF"/>
    <w:rsid w:val="000A0B29"/>
    <w:rsid w:val="000C6548"/>
    <w:rsid w:val="000E7D63"/>
    <w:rsid w:val="001251A7"/>
    <w:rsid w:val="001310DD"/>
    <w:rsid w:val="0013291D"/>
    <w:rsid w:val="00135718"/>
    <w:rsid w:val="00143406"/>
    <w:rsid w:val="00145789"/>
    <w:rsid w:val="0015062A"/>
    <w:rsid w:val="00182D86"/>
    <w:rsid w:val="001936FC"/>
    <w:rsid w:val="001937B9"/>
    <w:rsid w:val="001A757B"/>
    <w:rsid w:val="001B26A2"/>
    <w:rsid w:val="001C217B"/>
    <w:rsid w:val="001D7F34"/>
    <w:rsid w:val="001F4B19"/>
    <w:rsid w:val="002123CB"/>
    <w:rsid w:val="002300BD"/>
    <w:rsid w:val="00262BD1"/>
    <w:rsid w:val="002634D0"/>
    <w:rsid w:val="00283C68"/>
    <w:rsid w:val="002A0EA9"/>
    <w:rsid w:val="002B3449"/>
    <w:rsid w:val="002F76B0"/>
    <w:rsid w:val="002F7D68"/>
    <w:rsid w:val="00304367"/>
    <w:rsid w:val="00305C1F"/>
    <w:rsid w:val="0036691D"/>
    <w:rsid w:val="003A18D5"/>
    <w:rsid w:val="003B2F52"/>
    <w:rsid w:val="003D71C7"/>
    <w:rsid w:val="003E0B6C"/>
    <w:rsid w:val="003E0D94"/>
    <w:rsid w:val="003F61F6"/>
    <w:rsid w:val="004075CE"/>
    <w:rsid w:val="00417C2C"/>
    <w:rsid w:val="004257F0"/>
    <w:rsid w:val="004419D0"/>
    <w:rsid w:val="00450E09"/>
    <w:rsid w:val="0045135B"/>
    <w:rsid w:val="00471164"/>
    <w:rsid w:val="004751DF"/>
    <w:rsid w:val="004931D0"/>
    <w:rsid w:val="004C4953"/>
    <w:rsid w:val="004D6451"/>
    <w:rsid w:val="004D663F"/>
    <w:rsid w:val="004D7A41"/>
    <w:rsid w:val="004E6049"/>
    <w:rsid w:val="00553ABD"/>
    <w:rsid w:val="00557292"/>
    <w:rsid w:val="005871EB"/>
    <w:rsid w:val="005B4323"/>
    <w:rsid w:val="005C2E2A"/>
    <w:rsid w:val="005E064B"/>
    <w:rsid w:val="005E3299"/>
    <w:rsid w:val="005E5D49"/>
    <w:rsid w:val="005E775D"/>
    <w:rsid w:val="00611010"/>
    <w:rsid w:val="00616B1F"/>
    <w:rsid w:val="006202B7"/>
    <w:rsid w:val="006274A6"/>
    <w:rsid w:val="0063249E"/>
    <w:rsid w:val="00636632"/>
    <w:rsid w:val="0067482E"/>
    <w:rsid w:val="00676D0A"/>
    <w:rsid w:val="006E36E1"/>
    <w:rsid w:val="006F1CFF"/>
    <w:rsid w:val="00703590"/>
    <w:rsid w:val="00704327"/>
    <w:rsid w:val="00712AFE"/>
    <w:rsid w:val="00727201"/>
    <w:rsid w:val="00736368"/>
    <w:rsid w:val="00736EC3"/>
    <w:rsid w:val="0076041E"/>
    <w:rsid w:val="0076722C"/>
    <w:rsid w:val="007745FE"/>
    <w:rsid w:val="00783291"/>
    <w:rsid w:val="00791E6C"/>
    <w:rsid w:val="007A5B55"/>
    <w:rsid w:val="007C7662"/>
    <w:rsid w:val="007D5394"/>
    <w:rsid w:val="007F7B14"/>
    <w:rsid w:val="00802BE8"/>
    <w:rsid w:val="0081534D"/>
    <w:rsid w:val="0082054C"/>
    <w:rsid w:val="00844E01"/>
    <w:rsid w:val="00872254"/>
    <w:rsid w:val="008E2ECA"/>
    <w:rsid w:val="008F1E77"/>
    <w:rsid w:val="00904A9C"/>
    <w:rsid w:val="00916A45"/>
    <w:rsid w:val="0093043B"/>
    <w:rsid w:val="009315DF"/>
    <w:rsid w:val="00945AD3"/>
    <w:rsid w:val="00985D08"/>
    <w:rsid w:val="009B13CC"/>
    <w:rsid w:val="009D16AC"/>
    <w:rsid w:val="009D5A87"/>
    <w:rsid w:val="009E6338"/>
    <w:rsid w:val="009F4672"/>
    <w:rsid w:val="009F7EB1"/>
    <w:rsid w:val="00A1095C"/>
    <w:rsid w:val="00A11000"/>
    <w:rsid w:val="00A17A57"/>
    <w:rsid w:val="00A21F05"/>
    <w:rsid w:val="00A23DDF"/>
    <w:rsid w:val="00A26728"/>
    <w:rsid w:val="00A30862"/>
    <w:rsid w:val="00A54B1F"/>
    <w:rsid w:val="00A60A7C"/>
    <w:rsid w:val="00A90B9E"/>
    <w:rsid w:val="00A9577A"/>
    <w:rsid w:val="00AA235D"/>
    <w:rsid w:val="00AA4128"/>
    <w:rsid w:val="00AB5DAF"/>
    <w:rsid w:val="00AC483C"/>
    <w:rsid w:val="00AD1F53"/>
    <w:rsid w:val="00AE3153"/>
    <w:rsid w:val="00B25F9B"/>
    <w:rsid w:val="00B37AE1"/>
    <w:rsid w:val="00B47BEC"/>
    <w:rsid w:val="00B66C0F"/>
    <w:rsid w:val="00B67E49"/>
    <w:rsid w:val="00B77DF5"/>
    <w:rsid w:val="00B903F0"/>
    <w:rsid w:val="00B97445"/>
    <w:rsid w:val="00BC63DD"/>
    <w:rsid w:val="00BD7FAD"/>
    <w:rsid w:val="00C31CD4"/>
    <w:rsid w:val="00C8147D"/>
    <w:rsid w:val="00C90437"/>
    <w:rsid w:val="00C979FD"/>
    <w:rsid w:val="00CB0B4B"/>
    <w:rsid w:val="00CB3825"/>
    <w:rsid w:val="00CC337B"/>
    <w:rsid w:val="00CC67FF"/>
    <w:rsid w:val="00CD3817"/>
    <w:rsid w:val="00CE198F"/>
    <w:rsid w:val="00D078CC"/>
    <w:rsid w:val="00D152C7"/>
    <w:rsid w:val="00D313DA"/>
    <w:rsid w:val="00D37624"/>
    <w:rsid w:val="00D62E53"/>
    <w:rsid w:val="00D62F24"/>
    <w:rsid w:val="00D711A1"/>
    <w:rsid w:val="00DB202D"/>
    <w:rsid w:val="00DC0E3A"/>
    <w:rsid w:val="00DD3A59"/>
    <w:rsid w:val="00E13C34"/>
    <w:rsid w:val="00E20047"/>
    <w:rsid w:val="00E21E8E"/>
    <w:rsid w:val="00E93A88"/>
    <w:rsid w:val="00E96DED"/>
    <w:rsid w:val="00EB40FD"/>
    <w:rsid w:val="00EC6B34"/>
    <w:rsid w:val="00EC70AC"/>
    <w:rsid w:val="00EF2662"/>
    <w:rsid w:val="00F31BB4"/>
    <w:rsid w:val="00F423D3"/>
    <w:rsid w:val="00F5310F"/>
    <w:rsid w:val="00F5421A"/>
    <w:rsid w:val="00F65678"/>
    <w:rsid w:val="00F70C6A"/>
    <w:rsid w:val="00FA4C35"/>
    <w:rsid w:val="00FC3058"/>
    <w:rsid w:val="00FC7310"/>
    <w:rsid w:val="00FD5B52"/>
    <w:rsid w:val="00FD797D"/>
    <w:rsid w:val="00FE2D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9A7BD8"/>
  <w15:chartTrackingRefBased/>
  <w15:docId w15:val="{E1E96910-4110-4128-993A-FD6704BA1D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249E"/>
    <w:pPr>
      <w:spacing w:after="0"/>
      <w:jc w:val="both"/>
    </w:pPr>
    <w:rPr>
      <w:rFonts w:ascii="Times New Roman" w:hAnsi="Times New Roman"/>
    </w:rPr>
  </w:style>
  <w:style w:type="paragraph" w:styleId="Heading1">
    <w:name w:val="heading 1"/>
    <w:basedOn w:val="Normal"/>
    <w:next w:val="Normal"/>
    <w:link w:val="Heading1Char"/>
    <w:autoRedefine/>
    <w:uiPriority w:val="9"/>
    <w:qFormat/>
    <w:rsid w:val="003E0D94"/>
    <w:pPr>
      <w:keepNext/>
      <w:keepLines/>
      <w:spacing w:before="360" w:after="80"/>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E96DE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96DE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96DE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96DE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96DE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6DE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6DE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6DE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0D94"/>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E96DE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96DE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96DE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96DE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96D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6D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6D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6DED"/>
    <w:rPr>
      <w:rFonts w:eastAsiaTheme="majorEastAsia" w:cstheme="majorBidi"/>
      <w:color w:val="272727" w:themeColor="text1" w:themeTint="D8"/>
    </w:rPr>
  </w:style>
  <w:style w:type="paragraph" w:styleId="Title">
    <w:name w:val="Title"/>
    <w:basedOn w:val="Normal"/>
    <w:next w:val="Normal"/>
    <w:link w:val="TitleChar"/>
    <w:uiPriority w:val="10"/>
    <w:qFormat/>
    <w:rsid w:val="00E96D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6D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6D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6D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6DED"/>
    <w:pPr>
      <w:spacing w:before="160"/>
      <w:jc w:val="center"/>
    </w:pPr>
    <w:rPr>
      <w:i/>
      <w:iCs/>
      <w:color w:val="404040" w:themeColor="text1" w:themeTint="BF"/>
    </w:rPr>
  </w:style>
  <w:style w:type="character" w:customStyle="1" w:styleId="QuoteChar">
    <w:name w:val="Quote Char"/>
    <w:basedOn w:val="DefaultParagraphFont"/>
    <w:link w:val="Quote"/>
    <w:uiPriority w:val="29"/>
    <w:rsid w:val="00E96DED"/>
    <w:rPr>
      <w:i/>
      <w:iCs/>
      <w:color w:val="404040" w:themeColor="text1" w:themeTint="BF"/>
    </w:rPr>
  </w:style>
  <w:style w:type="paragraph" w:styleId="ListParagraph">
    <w:name w:val="List Paragraph"/>
    <w:basedOn w:val="Normal"/>
    <w:uiPriority w:val="34"/>
    <w:qFormat/>
    <w:rsid w:val="00E96DED"/>
    <w:pPr>
      <w:ind w:left="720"/>
      <w:contextualSpacing/>
    </w:pPr>
  </w:style>
  <w:style w:type="character" w:styleId="IntenseEmphasis">
    <w:name w:val="Intense Emphasis"/>
    <w:basedOn w:val="DefaultParagraphFont"/>
    <w:uiPriority w:val="21"/>
    <w:qFormat/>
    <w:rsid w:val="00E96DED"/>
    <w:rPr>
      <w:i/>
      <w:iCs/>
      <w:color w:val="2F5496" w:themeColor="accent1" w:themeShade="BF"/>
    </w:rPr>
  </w:style>
  <w:style w:type="paragraph" w:styleId="IntenseQuote">
    <w:name w:val="Intense Quote"/>
    <w:basedOn w:val="Normal"/>
    <w:next w:val="Normal"/>
    <w:link w:val="IntenseQuoteChar"/>
    <w:uiPriority w:val="30"/>
    <w:qFormat/>
    <w:rsid w:val="00E96D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96DED"/>
    <w:rPr>
      <w:i/>
      <w:iCs/>
      <w:color w:val="2F5496" w:themeColor="accent1" w:themeShade="BF"/>
    </w:rPr>
  </w:style>
  <w:style w:type="character" w:styleId="IntenseReference">
    <w:name w:val="Intense Reference"/>
    <w:basedOn w:val="DefaultParagraphFont"/>
    <w:uiPriority w:val="32"/>
    <w:qFormat/>
    <w:rsid w:val="00E96DED"/>
    <w:rPr>
      <w:b/>
      <w:bCs/>
      <w:smallCaps/>
      <w:color w:val="2F5496" w:themeColor="accent1" w:themeShade="BF"/>
      <w:spacing w:val="5"/>
    </w:rPr>
  </w:style>
  <w:style w:type="paragraph" w:styleId="Header">
    <w:name w:val="header"/>
    <w:basedOn w:val="Normal"/>
    <w:link w:val="HeaderChar"/>
    <w:uiPriority w:val="99"/>
    <w:unhideWhenUsed/>
    <w:rsid w:val="008F1E77"/>
    <w:pPr>
      <w:tabs>
        <w:tab w:val="center" w:pos="4680"/>
        <w:tab w:val="right" w:pos="9360"/>
      </w:tabs>
      <w:spacing w:line="240" w:lineRule="auto"/>
    </w:pPr>
  </w:style>
  <w:style w:type="character" w:customStyle="1" w:styleId="HeaderChar">
    <w:name w:val="Header Char"/>
    <w:basedOn w:val="DefaultParagraphFont"/>
    <w:link w:val="Header"/>
    <w:uiPriority w:val="99"/>
    <w:rsid w:val="008F1E77"/>
  </w:style>
  <w:style w:type="paragraph" w:styleId="Footer">
    <w:name w:val="footer"/>
    <w:basedOn w:val="Normal"/>
    <w:link w:val="FooterChar"/>
    <w:uiPriority w:val="99"/>
    <w:unhideWhenUsed/>
    <w:rsid w:val="008F1E77"/>
    <w:pPr>
      <w:tabs>
        <w:tab w:val="center" w:pos="4680"/>
        <w:tab w:val="right" w:pos="9360"/>
      </w:tabs>
      <w:spacing w:line="240" w:lineRule="auto"/>
    </w:pPr>
  </w:style>
  <w:style w:type="character" w:customStyle="1" w:styleId="FooterChar">
    <w:name w:val="Footer Char"/>
    <w:basedOn w:val="DefaultParagraphFont"/>
    <w:link w:val="Footer"/>
    <w:uiPriority w:val="99"/>
    <w:rsid w:val="008F1E77"/>
  </w:style>
  <w:style w:type="paragraph" w:styleId="TOCHeading">
    <w:name w:val="TOC Heading"/>
    <w:basedOn w:val="Heading1"/>
    <w:next w:val="Normal"/>
    <w:uiPriority w:val="39"/>
    <w:unhideWhenUsed/>
    <w:qFormat/>
    <w:rsid w:val="00783291"/>
    <w:pPr>
      <w:spacing w:before="240" w:after="0" w:line="259" w:lineRule="auto"/>
      <w:jc w:val="left"/>
      <w:outlineLvl w:val="9"/>
    </w:pPr>
    <w:rPr>
      <w:rFonts w:asciiTheme="majorHAnsi" w:hAnsiTheme="majorHAnsi"/>
      <w:b w:val="0"/>
      <w:color w:val="2F5496" w:themeColor="accent1" w:themeShade="BF"/>
      <w:kern w:val="0"/>
      <w:szCs w:val="32"/>
      <w14:ligatures w14:val="none"/>
    </w:rPr>
  </w:style>
  <w:style w:type="paragraph" w:styleId="TOC1">
    <w:name w:val="toc 1"/>
    <w:basedOn w:val="Normal"/>
    <w:next w:val="Normal"/>
    <w:autoRedefine/>
    <w:uiPriority w:val="39"/>
    <w:unhideWhenUsed/>
    <w:rsid w:val="00D62F24"/>
    <w:pPr>
      <w:tabs>
        <w:tab w:val="right" w:leader="dot" w:pos="9016"/>
      </w:tabs>
      <w:spacing w:before="240" w:after="100" w:line="360" w:lineRule="auto"/>
    </w:pPr>
  </w:style>
  <w:style w:type="character" w:styleId="Hyperlink">
    <w:name w:val="Hyperlink"/>
    <w:basedOn w:val="DefaultParagraphFont"/>
    <w:uiPriority w:val="99"/>
    <w:unhideWhenUsed/>
    <w:rsid w:val="00783291"/>
    <w:rPr>
      <w:color w:val="0563C1" w:themeColor="hyperlink"/>
      <w:u w:val="single"/>
    </w:rPr>
  </w:style>
  <w:style w:type="character" w:styleId="UnresolvedMention">
    <w:name w:val="Unresolved Mention"/>
    <w:basedOn w:val="DefaultParagraphFont"/>
    <w:uiPriority w:val="99"/>
    <w:semiHidden/>
    <w:unhideWhenUsed/>
    <w:rsid w:val="009D5A87"/>
    <w:rPr>
      <w:color w:val="605E5C"/>
      <w:shd w:val="clear" w:color="auto" w:fill="E1DFDD"/>
    </w:rPr>
  </w:style>
  <w:style w:type="character" w:styleId="FollowedHyperlink">
    <w:name w:val="FollowedHyperlink"/>
    <w:basedOn w:val="DefaultParagraphFont"/>
    <w:uiPriority w:val="99"/>
    <w:semiHidden/>
    <w:unhideWhenUsed/>
    <w:rsid w:val="009D5A8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dpr-info.eu/art-9-gdpr/" TargetMode="External"/><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edpb.europa.eu/our-work-tools/our-documents/guidelines/guidelines-052020-consent-under-regulation-2016679_en" TargetMode="External"/><Relationship Id="rId17" Type="http://schemas.openxmlformats.org/officeDocument/2006/relationships/hyperlink" Target="https://www.who.int/publications/i/item/9789240029200" TargetMode="External"/><Relationship Id="rId2" Type="http://schemas.openxmlformats.org/officeDocument/2006/relationships/numbering" Target="numbering.xml"/><Relationship Id="rId16" Type="http://schemas.openxmlformats.org/officeDocument/2006/relationships/hyperlink" Target="https://doi.org/10.1038/s41588-019-0379-x"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3325/cmj.2016.57.207" TargetMode="External"/><Relationship Id="rId5" Type="http://schemas.openxmlformats.org/officeDocument/2006/relationships/webSettings" Target="webSettings.xml"/><Relationship Id="rId15" Type="http://schemas.openxmlformats.org/officeDocument/2006/relationships/hyperlink" Target="https://doi.org/10.1162/99608f92.8cd550d1"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artificialintelligenceact.eu/annex/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49597A-1FBF-421A-A5D5-5858C0F148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653</TotalTime>
  <Pages>17</Pages>
  <Words>3853</Words>
  <Characters>21966</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AMAAN M K</dc:creator>
  <cp:keywords/>
  <dc:description/>
  <cp:lastModifiedBy>AMAAN M K</cp:lastModifiedBy>
  <cp:revision>121</cp:revision>
  <dcterms:created xsi:type="dcterms:W3CDTF">2026-05-27T13:45:00Z</dcterms:created>
  <dcterms:modified xsi:type="dcterms:W3CDTF">2026-06-15T02:24:00Z</dcterms:modified>
</cp:coreProperties>
</file>