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60" w:before="0"/>
        <w:jc w:val="center"/>
      </w:pPr>
      <w:r>
        <w:rPr>
          <w:rFonts w:ascii="Calibri" w:cs="Calibri" w:eastAsia="Calibri" w:hAnsi="Calibri"/>
          <w:b/>
          <w:bCs/>
          <w:color w:val="1F4E79"/>
          <w:sz w:val="22"/>
          <w:szCs w:val="22"/>
        </w:rPr>
        <w:t xml:space="preserve">BERLIN SCHOOL OF BUSINESS AND INNOVATION</w:t>
      </w:r>
    </w:p>
    <w:p>
      <w:pPr>
        <w:spacing w:after="60" w:before="0"/>
        <w:jc w:val="center"/>
      </w:pPr>
      <w:r>
        <w:rPr>
          <w:rFonts w:ascii="Calibri" w:cs="Calibri" w:eastAsia="Calibri" w:hAnsi="Calibri"/>
          <w:color w:val="404040"/>
          <w:sz w:val="22"/>
          <w:szCs w:val="22"/>
        </w:rPr>
        <w:t xml:space="preserve">University for the Creative Arts</w:t>
      </w:r>
    </w:p>
    <w:p>
      <w:pPr>
        <w:spacing w:after="80" w:before="0"/>
      </w:pPr>
      <w:r>
        <w:t xml:space="preserve"/>
      </w:r>
    </w:p>
    <w:p>
      <w:pPr>
        <w:pBdr>
          <w:bottom w:val="single" w:color="2E75B6" w:sz="6" w:space="1"/>
        </w:pBdr>
        <w:spacing w:after="80" w:before="0"/>
        <w:jc w:val="center"/>
      </w:pPr>
      <w:r>
        <w:rPr>
          <w:sz w:val="22"/>
          <w:szCs w:val="22"/>
        </w:rPr>
        <w:t xml:space="preserve"/>
      </w:r>
    </w:p>
    <w:p>
      <w:pPr>
        <w:spacing w:after="80" w:before="0"/>
      </w:pPr>
      <w:r>
        <w:t xml:space="preserve"/>
      </w:r>
    </w:p>
    <w:p>
      <w:pPr>
        <w:jc w:val="center"/>
      </w:pPr>
      <w:r>
        <w:rPr>
          <w:rFonts w:ascii="Calibri" w:cs="Calibri" w:eastAsia="Calibri" w:hAnsi="Calibri"/>
          <w:b/>
          <w:bCs/>
          <w:color w:val="1F4E79"/>
          <w:sz w:val="36"/>
          <w:szCs w:val="36"/>
        </w:rPr>
        <w:t xml:space="preserve">Advanced Time-Series Forecasting:</w:t>
      </w:r>
    </w:p>
    <w:p>
      <w:pPr>
        <w:spacing w:after="120" w:before="0"/>
        <w:jc w:val="center"/>
      </w:pPr>
      <w:r>
        <w:rPr>
          <w:rFonts w:ascii="Calibri" w:cs="Calibri" w:eastAsia="Calibri" w:hAnsi="Calibri"/>
          <w:b/>
          <w:bCs/>
          <w:color w:val="2E75B6"/>
          <w:sz w:val="32"/>
          <w:szCs w:val="32"/>
        </w:rPr>
        <w:t xml:space="preserve">Comparative Analysis and Novel Machine Learning Architectures</w:t>
      </w:r>
    </w:p>
    <w:p>
      <w:pPr>
        <w:spacing w:after="80" w:before="0"/>
      </w:pPr>
      <w:r>
        <w:t xml:space="preserve"/>
      </w:r>
    </w:p>
    <w:p>
      <w:pPr>
        <w:jc w:val="center"/>
      </w:pPr>
      <w:r>
        <w:rPr>
          <w:rFonts w:ascii="Calibri" w:cs="Calibri" w:eastAsia="Calibri" w:hAnsi="Calibri"/>
          <w:i/>
          <w:iCs/>
          <w:color w:val="404040"/>
          <w:sz w:val="26"/>
          <w:szCs w:val="26"/>
        </w:rPr>
        <w:t xml:space="preserve">MSc Artificial Intelligence</w:t>
      </w:r>
    </w:p>
    <w:p>
      <w:pPr>
        <w:spacing w:after="60" w:before="0"/>
        <w:jc w:val="center"/>
      </w:pPr>
      <w:r>
        <w:rPr>
          <w:rFonts w:ascii="Calibri" w:cs="Calibri" w:eastAsia="Calibri" w:hAnsi="Calibri"/>
          <w:color w:val="404040"/>
          <w:sz w:val="24"/>
          <w:szCs w:val="24"/>
        </w:rPr>
        <w:t xml:space="preserve">Module: Machine Learning Fundamentals</w:t>
      </w:r>
    </w:p>
    <w:p>
      <w:pPr>
        <w:spacing w:after="80" w:before="0"/>
      </w:pPr>
      <w:r>
        <w:t xml:space="preserve"/>
      </w:r>
    </w:p>
    <w:p>
      <w:pPr>
        <w:spacing w:after="80" w:before="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Prepared by</w:t>
            </w:r>
          </w:p>
        </w:tc>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Calibri" w:cs="Calibri" w:eastAsia="Calibri" w:hAnsi="Calibri"/>
                <w:sz w:val="22"/>
                <w:szCs w:val="22"/>
              </w:rPr>
              <w:t xml:space="preserve">Amaan Mohammed Khalander</w:t>
            </w:r>
          </w:p>
        </w:tc>
      </w:tr>
      <w:tr>
        <w:tc>
          <w:tcPr>
            <w:tcW w:type="dxa" w:w="25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Issued by</w:t>
            </w:r>
          </w:p>
        </w:tc>
        <w:tc>
          <w:tcPr>
            <w:tcW w:type="dxa" w:w="35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Calibri" w:cs="Calibri" w:eastAsia="Calibri" w:hAnsi="Calibri"/>
                <w:sz w:val="22"/>
                <w:szCs w:val="22"/>
              </w:rPr>
              <w:t xml:space="preserve">Dr. Fahmid Al Farid</w:t>
            </w:r>
          </w:p>
        </w:tc>
      </w:tr>
      <w:tr>
        <w:tc>
          <w:tcPr>
            <w:tcW w:type="dxa" w:w="25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Submission Date</w:t>
            </w:r>
          </w:p>
        </w:tc>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Calibri" w:cs="Calibri" w:eastAsia="Calibri" w:hAnsi="Calibri"/>
                <w:sz w:val="22"/>
                <w:szCs w:val="22"/>
              </w:rPr>
              <w:t xml:space="preserve">18 June 2026</w:t>
            </w:r>
          </w:p>
        </w:tc>
      </w:tr>
      <w:tr>
        <w:tc>
          <w:tcPr>
            <w:tcW w:type="dxa" w:w="25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Word Limit</w:t>
            </w:r>
          </w:p>
        </w:tc>
        <w:tc>
          <w:tcPr>
            <w:tcW w:type="dxa" w:w="35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Calibri" w:cs="Calibri" w:eastAsia="Calibri" w:hAnsi="Calibri"/>
                <w:sz w:val="22"/>
                <w:szCs w:val="22"/>
              </w:rPr>
              <w:t xml:space="preserve">3,000 words (±300)</w:t>
            </w:r>
          </w:p>
        </w:tc>
      </w:tr>
      <w:tr>
        <w:tc>
          <w:tcPr>
            <w:tcW w:type="dxa" w:w="25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tcPr>
          <w:p>
            <w:r>
              <w:rPr>
                <w:rFonts w:ascii="Calibri" w:cs="Calibri" w:eastAsia="Calibri" w:hAnsi="Calibri"/>
                <w:b/>
                <w:bCs/>
                <w:color w:val="1F4E79"/>
                <w:sz w:val="22"/>
                <w:szCs w:val="22"/>
              </w:rPr>
              <w:t xml:space="preserve">Assessment Type</w:t>
            </w:r>
          </w:p>
        </w:tc>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Calibri" w:cs="Calibri" w:eastAsia="Calibri" w:hAnsi="Calibri"/>
                <w:sz w:val="22"/>
                <w:szCs w:val="22"/>
              </w:rPr>
              <w:t xml:space="preserve">Practical Skills Assessment</w:t>
            </w:r>
          </w:p>
        </w:tc>
      </w:tr>
    </w:tbl>
    <w:p>
      <w:r>
        <w:br w:type="page"/>
      </w:r>
    </w:p>
    <w:p>
      <w:pPr>
        <w:pStyle w:val="Heading1"/>
        <w:spacing w:after="120" w:before="320"/>
      </w:pPr>
      <w:r>
        <w:rPr>
          <w:rFonts w:ascii="Calibri" w:cs="Calibri" w:eastAsia="Calibri" w:hAnsi="Calibri"/>
          <w:b/>
          <w:bCs/>
          <w:color w:val="1F4E79"/>
          <w:sz w:val="30"/>
          <w:szCs w:val="30"/>
        </w:rPr>
        <w:t xml:space="preserve">Statement of Compliance with Academic Ethics and the Avoidance of Plagiarism</w:t>
      </w:r>
    </w:p>
    <w:p>
      <w:pPr>
        <w:spacing w:after="100" w:before="60"/>
        <w:jc w:val="both"/>
      </w:pPr>
      <w:r>
        <w:rPr>
          <w:rFonts w:ascii="Calibri" w:cs="Calibri" w:eastAsia="Calibri" w:hAnsi="Calibri"/>
          <w:b w:val="false"/>
          <w:bCs w:val="false"/>
          <w:i w:val="false"/>
          <w:iCs w:val="false"/>
          <w:color w:val="000000"/>
          <w:sz w:val="22"/>
          <w:szCs w:val="22"/>
        </w:rPr>
        <w:t xml:space="preserve">I honestly declare that this dissertation is entirely my own work and none of its parts have been copied from printed or electronic sources, translated from foreign sources, or reproduced from essays of other researchers or students. Wherever I have been based on ideas or other people's texts, I clearly declare it through the appropriate use of references, following academic ethics.</w:t>
      </w:r>
    </w:p>
    <w:p>
      <w:pPr>
        <w:spacing w:after="100" w:before="60"/>
        <w:jc w:val="both"/>
      </w:pPr>
      <w:r>
        <w:rPr>
          <w:rFonts w:ascii="Calibri" w:cs="Calibri" w:eastAsia="Calibri" w:hAnsi="Calibri"/>
          <w:b w:val="false"/>
          <w:bCs w:val="false"/>
          <w:i w:val="false"/>
          <w:iCs w:val="false"/>
          <w:color w:val="000000"/>
          <w:sz w:val="22"/>
          <w:szCs w:val="22"/>
        </w:rPr>
        <w:t xml:space="preserve">(In the case that it is proved that part of the essay does not constitute an original work, but a copy of an already published essay or from another source, the student will be expelled permanently from the postgraduate programme.)</w:t>
      </w:r>
    </w:p>
    <w:p>
      <w:pPr>
        <w:spacing w:after="80" w:before="0"/>
      </w:pPr>
      <w:r>
        <w:t xml:space="preserve"/>
      </w:r>
    </w:p>
    <w:p>
      <w:pPr>
        <w:spacing w:after="100" w:before="60"/>
        <w:jc w:val="both"/>
      </w:pPr>
      <w:r>
        <w:rPr>
          <w:rFonts w:ascii="Calibri" w:cs="Calibri" w:eastAsia="Calibri" w:hAnsi="Calibri"/>
          <w:b w:val="false"/>
          <w:bCs w:val="false"/>
          <w:i w:val="false"/>
          <w:iCs w:val="false"/>
          <w:color w:val="000000"/>
          <w:sz w:val="22"/>
          <w:szCs w:val="22"/>
        </w:rPr>
        <w:t xml:space="preserve">Name and Surname: Amaan Mohammed Khalander</w:t>
      </w:r>
    </w:p>
    <w:p>
      <w:pPr>
        <w:spacing w:after="100" w:before="60"/>
        <w:jc w:val="both"/>
      </w:pPr>
      <w:r>
        <w:rPr>
          <w:rFonts w:ascii="Calibri" w:cs="Calibri" w:eastAsia="Calibri" w:hAnsi="Calibri"/>
          <w:b w:val="false"/>
          <w:bCs w:val="false"/>
          <w:i w:val="false"/>
          <w:iCs w:val="false"/>
          <w:color w:val="000000"/>
          <w:sz w:val="22"/>
          <w:szCs w:val="22"/>
        </w:rPr>
        <w:t xml:space="preserve">Date: 18 June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rPr>
          <w:rFonts w:ascii="Calibri" w:cs="Calibri" w:eastAsia="Calibri" w:hAnsi="Calibri"/>
          <w:b/>
          <w:bCs/>
          <w:color w:val="1F4E79"/>
          <w:sz w:val="30"/>
          <w:szCs w:val="30"/>
        </w:rPr>
        <w:t xml:space="preserve">Abstract</w:t>
      </w:r>
    </w:p>
    <w:p>
      <w:pPr>
        <w:spacing w:after="100" w:before="60"/>
        <w:jc w:val="both"/>
      </w:pPr>
      <w:r>
        <w:rPr>
          <w:rFonts w:ascii="Calibri" w:cs="Calibri" w:eastAsia="Calibri" w:hAnsi="Calibri"/>
          <w:b w:val="false"/>
          <w:bCs w:val="false"/>
          <w:i w:val="false"/>
          <w:iCs w:val="false"/>
          <w:color w:val="000000"/>
          <w:sz w:val="22"/>
          <w:szCs w:val="22"/>
        </w:rPr>
        <w:t xml:space="preserve">This report presents a complete time-series forecasting pipeline for predicting household energy consumption. The study utilises the UCI Individual Household Electric Power Consumption dataset (Hebrail and Berard, 2012), comprising approximately 2,075,259 minute-level observations recorded across a single French household from December 2006 to November 2010. The primary target variable is Global_active_power, representing instantaneous household electricity demand in kilowatts.</w:t>
      </w:r>
    </w:p>
    <w:p>
      <w:pPr>
        <w:spacing w:after="100" w:before="60"/>
        <w:jc w:val="both"/>
      </w:pPr>
      <w:r>
        <w:rPr>
          <w:rFonts w:ascii="Calibri" w:cs="Calibri" w:eastAsia="Calibri" w:hAnsi="Calibri"/>
          <w:b w:val="false"/>
          <w:bCs w:val="false"/>
          <w:i w:val="false"/>
          <w:iCs w:val="false"/>
          <w:color w:val="000000"/>
          <w:sz w:val="22"/>
          <w:szCs w:val="22"/>
        </w:rPr>
        <w:t xml:space="preserve">Following systematic data preprocessing — including linear time-based interpolation for missing values, datetime indexing, and resampling to hourly granularity — a rich feature set was constructed encompassing cyclical time encodings, lag variables, and rolling statistics. Exploratory data analysis confirmed pronounced diurnal and seasonal patterns in energy consumption. Three forecasting algorithms were implemented and evaluated: a classical Seasonal Autoregressive Integrated Moving Average (SARIMA) model, a Random Forest Regressor, and a Gradient Boosting Regressor. Models were assessed using Mean Absolute Error (MAE), Root Mean Squared Error (RMSE), and R-squared (R²). The ensemble methods substantially outperformed the statistical baseline, with the best machine learning model achieving an R² exceeding 0.95, demonstrating the superiority of feature-rich, tree-based approaches for multivariate energy demand forecasting.</w:t>
      </w:r>
    </w:p>
    <w:p>
      <w:r>
        <w:br w:type="page"/>
      </w:r>
    </w:p>
    <w:p>
      <w:pPr>
        <w:pStyle w:val="Heading1"/>
        <w:spacing w:after="120" w:before="320"/>
      </w:pPr>
      <w:r>
        <w:rPr>
          <w:rFonts w:ascii="Calibri" w:cs="Calibri" w:eastAsia="Calibri" w:hAnsi="Calibri"/>
          <w:b/>
          <w:bCs/>
          <w:color w:val="1F4E79"/>
          <w:sz w:val="30"/>
          <w:szCs w:val="30"/>
        </w:rPr>
        <w:t xml:space="preserve">1. Introduction</w:t>
      </w:r>
    </w:p>
    <w:p>
      <w:pPr>
        <w:spacing w:after="100" w:before="60"/>
        <w:jc w:val="both"/>
      </w:pPr>
      <w:r>
        <w:rPr>
          <w:rFonts w:ascii="Calibri" w:cs="Calibri" w:eastAsia="Calibri" w:hAnsi="Calibri"/>
          <w:b w:val="false"/>
          <w:bCs w:val="false"/>
          <w:i w:val="false"/>
          <w:iCs w:val="false"/>
          <w:color w:val="000000"/>
          <w:sz w:val="22"/>
          <w:szCs w:val="22"/>
        </w:rPr>
        <w:t xml:space="preserve">The reliable forecasting of household energy consumption has emerged as a critical component of modern smart-grid infrastructure. As residential electricity demand grows and distributed renewable energy sources become more prevalent, grid operators require precise short-term demand forecasts to balance supply and avoid costly imbalances (Hong and Fan, 2016). Beyond grid management, accurate predictions support demand-side management programmes, enabling households and energy suppliers to reduce peak loads and carbon emissions.</w:t>
      </w:r>
    </w:p>
    <w:p>
      <w:pPr>
        <w:spacing w:after="100" w:before="60"/>
        <w:jc w:val="both"/>
      </w:pPr>
      <w:r>
        <w:rPr>
          <w:rFonts w:ascii="Calibri" w:cs="Calibri" w:eastAsia="Calibri" w:hAnsi="Calibri"/>
          <w:b w:val="false"/>
          <w:bCs w:val="false"/>
          <w:i w:val="false"/>
          <w:iCs w:val="false"/>
          <w:color w:val="000000"/>
          <w:sz w:val="22"/>
          <w:szCs w:val="22"/>
        </w:rPr>
        <w:t xml:space="preserve">Traditional analytical methods, notably classical statistical models such as Autoregressive Integrated Moving Average (ARIMA) and its seasonal variant SARIMA, have been widely applied to energy forecasting. Whilst these models capture linear temporal dependencies and exhibit interpretable parameters, they are limited in handling the nonlinear, multivariate relationships present in real-world consumption data (Box et al., 2015). In particular, the interaction between time-of-day, day-of-week, and seasonal factors creates complex patterns that linear models approximate poorly.</w:t>
      </w:r>
    </w:p>
    <w:p>
      <w:pPr>
        <w:spacing w:after="100" w:before="60"/>
        <w:jc w:val="both"/>
      </w:pPr>
      <w:r>
        <w:rPr>
          <w:rFonts w:ascii="Calibri" w:cs="Calibri" w:eastAsia="Calibri" w:hAnsi="Calibri"/>
          <w:b w:val="false"/>
          <w:bCs w:val="false"/>
          <w:i w:val="false"/>
          <w:iCs w:val="false"/>
          <w:color w:val="000000"/>
          <w:sz w:val="22"/>
          <w:szCs w:val="22"/>
        </w:rPr>
        <w:t xml:space="preserve">Machine learning methods, particularly ensemble tree-based algorithms such as Random Forests and Gradient Boosting, have demonstrated competitive or superior performance in energy forecasting benchmarks (Amasyali and El-Gohary, 2018). These methods can incorporate diverse feature types — including lagged consumption values, calendar indicators, and sub-metering data — without requiring explicit model specification.</w:t>
      </w:r>
    </w:p>
    <w:p>
      <w:pPr>
        <w:spacing w:after="100" w:before="60"/>
        <w:jc w:val="both"/>
      </w:pPr>
      <w:r>
        <w:rPr>
          <w:rFonts w:ascii="Calibri" w:cs="Calibri" w:eastAsia="Calibri" w:hAnsi="Calibri"/>
          <w:b w:val="false"/>
          <w:bCs w:val="false"/>
          <w:i w:val="false"/>
          <w:iCs w:val="false"/>
          <w:color w:val="000000"/>
          <w:sz w:val="22"/>
          <w:szCs w:val="22"/>
        </w:rPr>
        <w:t xml:space="preserve">The objective of this project is to design and evaluate a complete forecasting pipeline applied to historical household electric power consumption data. Specifically, this report implements three algorithms — SARIMA, Random Forest Regressor, and Gradient Boosting Regressor — and compares their performance using standard regression metrics. The dataset employed is the UCI Individual Household Electric Power Consumption dataset (Hebrail and Berard, 2012), the gold-standard benchmark for household energy research.</w:t>
      </w:r>
    </w:p>
    <w:p>
      <w:r>
        <w:br w:type="page"/>
      </w:r>
    </w:p>
    <w:p>
      <w:pPr>
        <w:pStyle w:val="Heading1"/>
        <w:spacing w:after="120" w:before="320"/>
      </w:pPr>
      <w:r>
        <w:rPr>
          <w:rFonts w:ascii="Calibri" w:cs="Calibri" w:eastAsia="Calibri" w:hAnsi="Calibri"/>
          <w:b/>
          <w:bCs/>
          <w:color w:val="1F4E79"/>
          <w:sz w:val="30"/>
          <w:szCs w:val="30"/>
        </w:rPr>
        <w:t xml:space="preserve">2. Literature Review</w:t>
      </w:r>
    </w:p>
    <w:p>
      <w:pPr>
        <w:pStyle w:val="Heading2"/>
        <w:spacing w:after="80" w:before="240"/>
      </w:pPr>
      <w:r>
        <w:rPr>
          <w:rFonts w:ascii="Calibri" w:cs="Calibri" w:eastAsia="Calibri" w:hAnsi="Calibri"/>
          <w:b/>
          <w:bCs/>
          <w:color w:val="2E75B6"/>
          <w:sz w:val="26"/>
          <w:szCs w:val="26"/>
        </w:rPr>
        <w:t xml:space="preserve">2.1 Classical Time-Series Models</w:t>
      </w:r>
    </w:p>
    <w:p>
      <w:pPr>
        <w:spacing w:after="100" w:before="60"/>
        <w:jc w:val="both"/>
      </w:pPr>
      <w:r>
        <w:rPr>
          <w:rFonts w:ascii="Calibri" w:cs="Calibri" w:eastAsia="Calibri" w:hAnsi="Calibri"/>
          <w:b w:val="false"/>
          <w:bCs w:val="false"/>
          <w:i w:val="false"/>
          <w:iCs w:val="false"/>
          <w:color w:val="000000"/>
          <w:sz w:val="22"/>
          <w:szCs w:val="22"/>
        </w:rPr>
        <w:t xml:space="preserve">Classical time-series methods have formed the backbone of energy demand forecasting for decades. ARIMA models, popularised by Box, Jenkins, Reinsel and Ljung (2015), decompose a series into autoregressive, integrated, and moving-average components. The seasonal extension, SARIMA, adds multiplicative seasonal terms and has been successfully applied to daily and weekly energy patterns (Taylor and McSharry, 2007). However, SARIMA assumes linearity and stationarity, and typically forecasts only a single variable at a time, limiting its capacity to exploit exogenous predictors.</w:t>
      </w:r>
    </w:p>
    <w:p>
      <w:pPr>
        <w:spacing w:after="100" w:before="60"/>
        <w:jc w:val="both"/>
      </w:pPr>
      <w:r>
        <w:rPr>
          <w:rFonts w:ascii="Calibri" w:cs="Calibri" w:eastAsia="Calibri" w:hAnsi="Calibri"/>
          <w:b w:val="false"/>
          <w:bCs w:val="false"/>
          <w:i w:val="false"/>
          <w:iCs w:val="false"/>
          <w:color w:val="000000"/>
          <w:sz w:val="22"/>
          <w:szCs w:val="22"/>
        </w:rPr>
        <w:t xml:space="preserve">Hyndman and Athanasopoulos (2021) note that SARIMA models perform well over short horizons when seasonal structure is stable, but struggle with trend breaks or abrupt changes in consumer behaviour. For longer horizons or datasets with external drivers (e.g., temperature, occupancy), SARIMA extensions such as ARIMAX or Dynamic Regression models are required.</w:t>
      </w:r>
    </w:p>
    <w:p>
      <w:pPr>
        <w:pStyle w:val="Heading2"/>
        <w:spacing w:after="80" w:before="240"/>
      </w:pPr>
      <w:r>
        <w:rPr>
          <w:rFonts w:ascii="Calibri" w:cs="Calibri" w:eastAsia="Calibri" w:hAnsi="Calibri"/>
          <w:b/>
          <w:bCs/>
          <w:color w:val="2E75B6"/>
          <w:sz w:val="26"/>
          <w:szCs w:val="26"/>
        </w:rPr>
        <w:t xml:space="preserve">2.2 Machine Learning Approaches</w:t>
      </w:r>
    </w:p>
    <w:p>
      <w:pPr>
        <w:spacing w:after="100" w:before="60"/>
        <w:jc w:val="both"/>
      </w:pPr>
      <w:r>
        <w:rPr>
          <w:rFonts w:ascii="Calibri" w:cs="Calibri" w:eastAsia="Calibri" w:hAnsi="Calibri"/>
          <w:b w:val="false"/>
          <w:bCs w:val="false"/>
          <w:i w:val="false"/>
          <w:iCs w:val="false"/>
          <w:color w:val="000000"/>
          <w:sz w:val="22"/>
          <w:szCs w:val="22"/>
        </w:rPr>
        <w:t xml:space="preserve">The application of machine learning to energy forecasting has grown substantially following the success of ensemble methods on tabular datasets. Amasyali and El-Gohary (2018) conducted a systematic review of 35 studies and found that artificial neural networks and ensemble tree methods consistently outperformed classical approaches on residential energy prediction tasks.</w:t>
      </w:r>
    </w:p>
    <w:p>
      <w:pPr>
        <w:spacing w:after="100" w:before="60"/>
        <w:jc w:val="both"/>
      </w:pPr>
      <w:r>
        <w:rPr>
          <w:rFonts w:ascii="Calibri" w:cs="Calibri" w:eastAsia="Calibri" w:hAnsi="Calibri"/>
          <w:b w:val="false"/>
          <w:bCs w:val="false"/>
          <w:i w:val="false"/>
          <w:iCs w:val="false"/>
          <w:color w:val="000000"/>
          <w:sz w:val="22"/>
          <w:szCs w:val="22"/>
        </w:rPr>
        <w:t xml:space="preserve">Random Forest Regressors, introduced by Breiman (2001), combine the predictions of multiple decorrelated decision trees through bootstrap aggregation. The variance reduction from averaging makes Random Forests robust to noise and overfitting, particularly beneficial for energy data which contains irregular spikes. Gradient Boosting, independently developed by Friedman (2001), constructs trees sequentially to minimise residuals, often yielding lower bias than Random Forests at the cost of additional hyperparameter sensitivity.</w:t>
      </w:r>
    </w:p>
    <w:p>
      <w:pPr>
        <w:spacing w:after="100" w:before="60"/>
        <w:jc w:val="both"/>
      </w:pPr>
      <w:r>
        <w:rPr>
          <w:rFonts w:ascii="Calibri" w:cs="Calibri" w:eastAsia="Calibri" w:hAnsi="Calibri"/>
          <w:b w:val="false"/>
          <w:bCs w:val="false"/>
          <w:i w:val="false"/>
          <w:iCs w:val="false"/>
          <w:color w:val="000000"/>
          <w:sz w:val="22"/>
          <w:szCs w:val="22"/>
        </w:rPr>
        <w:t xml:space="preserve">Fan et al. (2017) applied both Random Forest and Gradient Boosting to short-term residential load forecasting and found that lag features — specifically 24-hour and 168-hour (one-week) lags — were the most predictive inputs across both methods, highlighting the importance of feature engineering for energy time-series.</w:t>
      </w:r>
    </w:p>
    <w:p>
      <w:pPr>
        <w:pStyle w:val="Heading2"/>
        <w:spacing w:after="80" w:before="240"/>
      </w:pPr>
      <w:r>
        <w:rPr>
          <w:rFonts w:ascii="Calibri" w:cs="Calibri" w:eastAsia="Calibri" w:hAnsi="Calibri"/>
          <w:b/>
          <w:bCs/>
          <w:color w:val="2E75B6"/>
          <w:sz w:val="26"/>
          <w:szCs w:val="26"/>
        </w:rPr>
        <w:t xml:space="preserve">2.3 Deep Learning and Hybrid Methods</w:t>
      </w:r>
    </w:p>
    <w:p>
      <w:pPr>
        <w:spacing w:after="100" w:before="60"/>
        <w:jc w:val="both"/>
      </w:pPr>
      <w:r>
        <w:rPr>
          <w:rFonts w:ascii="Calibri" w:cs="Calibri" w:eastAsia="Calibri" w:hAnsi="Calibri"/>
          <w:b w:val="false"/>
          <w:bCs w:val="false"/>
          <w:i w:val="false"/>
          <w:iCs w:val="false"/>
          <w:color w:val="000000"/>
          <w:sz w:val="22"/>
          <w:szCs w:val="22"/>
        </w:rPr>
        <w:t xml:space="preserve">More recent work has investigated deep learning architectures. Kong et al. (2019) demonstrated that Long Short-Term Memory (LSTM) networks can capture long-range temporal dependencies in household energy data, achieving lower RMSE than classical machine learning on multi-step ahead forecasting. Temporal Fusion Transformers (Lim et al., 2021) represent the current state of the art for multi-horizon forecasting, combining attention mechanisms with recurrent layers to handle variable-length dependencies. Despite their promise, deep learning models require substantially more data and computational resource, and tend to be less interpretable than ensemble tree methods.</w:t>
      </w:r>
    </w:p>
    <w:p>
      <w:pPr>
        <w:spacing w:after="100" w:before="60"/>
        <w:jc w:val="both"/>
      </w:pPr>
      <w:r>
        <w:rPr>
          <w:rFonts w:ascii="Calibri" w:cs="Calibri" w:eastAsia="Calibri" w:hAnsi="Calibri"/>
          <w:b w:val="false"/>
          <w:bCs w:val="false"/>
          <w:i w:val="false"/>
          <w:iCs w:val="false"/>
          <w:color w:val="000000"/>
          <w:sz w:val="22"/>
          <w:szCs w:val="22"/>
        </w:rPr>
        <w:t xml:space="preserve">The gap addressed by the present study is the absence of a directly comparable, methodologically rigorous evaluation of classical and ensemble approaches on the same household dataset using a consistent feature engineering pipeline. By benchmarking SARIMA, Random Forest, and Gradient Boosting under identical experimental conditions, this report contributes a reproducible evaluation framework to the household energy forecasting literature.</w:t>
      </w:r>
    </w:p>
    <w:p>
      <w:r>
        <w:br w:type="page"/>
      </w:r>
    </w:p>
    <w:p>
      <w:pPr>
        <w:pStyle w:val="Heading1"/>
        <w:spacing w:after="120" w:before="320"/>
      </w:pPr>
      <w:r>
        <w:rPr>
          <w:rFonts w:ascii="Calibri" w:cs="Calibri" w:eastAsia="Calibri" w:hAnsi="Calibri"/>
          <w:b/>
          <w:bCs/>
          <w:color w:val="1F4E79"/>
          <w:sz w:val="30"/>
          <w:szCs w:val="30"/>
        </w:rPr>
        <w:t xml:space="preserve">3. Data Collection</w:t>
      </w:r>
    </w:p>
    <w:p>
      <w:pPr>
        <w:spacing w:after="100" w:before="60"/>
        <w:jc w:val="both"/>
      </w:pPr>
      <w:r>
        <w:rPr>
          <w:rFonts w:ascii="Calibri" w:cs="Calibri" w:eastAsia="Calibri" w:hAnsi="Calibri"/>
          <w:b w:val="false"/>
          <w:bCs w:val="false"/>
          <w:i w:val="false"/>
          <w:iCs w:val="false"/>
          <w:color w:val="000000"/>
          <w:sz w:val="22"/>
          <w:szCs w:val="22"/>
        </w:rPr>
        <w:t xml:space="preserve">The dataset selected for this study is the Individual Household Electric Power Consumption dataset compiled by Hebrail and Berard (2012) and distributed through the UCI Machine Learning Repository. The same dataset is accessible through Kaggle at https://www.kaggle.com/datasets/uciml/electric-powerconsumption-data-set.</w:t>
      </w:r>
    </w:p>
    <w:p>
      <w:pPr>
        <w:spacing w:after="100" w:before="60"/>
        <w:jc w:val="both"/>
      </w:pPr>
      <w:r>
        <w:rPr>
          <w:rFonts w:ascii="Calibri" w:cs="Calibri" w:eastAsia="Calibri" w:hAnsi="Calibri"/>
          <w:b w:val="false"/>
          <w:bCs w:val="false"/>
          <w:i w:val="false"/>
          <w:iCs w:val="false"/>
          <w:color w:val="000000"/>
          <w:sz w:val="22"/>
          <w:szCs w:val="22"/>
        </w:rPr>
        <w:t xml:space="preserve">The dataset records minute-by-minute electrical measurements for a single household located in Sceaux, France, over a period spanning from December 2006 to November 2010. It contains approximately 2,075,259 observations across nine attributes, as described in Table 1 below.</w:t>
      </w:r>
    </w:p>
    <w:p>
      <w:pPr>
        <w:spacing w:after="80" w:before="0"/>
      </w:pPr>
      <w:r>
        <w:t xml:space="preserve"/>
      </w:r>
    </w:p>
    <w:p>
      <w:pPr>
        <w:spacing w:after="80" w:before="40"/>
        <w:jc w:val="center"/>
      </w:pPr>
      <w:r>
        <w:rPr>
          <w:rFonts w:ascii="Calibri" w:cs="Calibri" w:eastAsia="Calibri" w:hAnsi="Calibri"/>
          <w:i/>
          <w:iCs/>
          <w:color w:val="5F5F5F"/>
          <w:sz w:val="18"/>
          <w:szCs w:val="18"/>
        </w:rPr>
        <w:t xml:space="preserve">Table 1: Dataset attributes and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3008"/>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Attribute</w:t>
            </w:r>
          </w:p>
        </w:tc>
        <w:tc>
          <w:tcPr>
            <w:tcW w:type="dxa" w:w="3008"/>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Unit / Type</w:t>
            </w:r>
          </w:p>
        </w:tc>
        <w:tc>
          <w:tcPr>
            <w:tcW w:type="dxa" w:w="3008"/>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Description</w:t>
            </w:r>
          </w:p>
        </w:tc>
      </w:tr>
      <w:tr>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Date</w:t>
            </w:r>
          </w:p>
        </w:tc>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DD/MM/YYYY</w:t>
            </w:r>
          </w:p>
        </w:tc>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Date of measurement</w:t>
            </w:r>
          </w:p>
        </w:tc>
      </w:tr>
      <w:tr>
        <w:tc>
          <w:tcPr>
            <w:tcW w:type="dxa" w:w="3008"/>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Time</w:t>
            </w:r>
          </w:p>
        </w:tc>
        <w:tc>
          <w:tcPr>
            <w:tcW w:type="dxa" w:w="3008"/>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hh:mm:ss</w:t>
            </w:r>
          </w:p>
        </w:tc>
        <w:tc>
          <w:tcPr>
            <w:tcW w:type="dxa" w:w="3008"/>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Time of measurement</w:t>
            </w:r>
          </w:p>
        </w:tc>
      </w:tr>
      <w:tr>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Global_active_power</w:t>
            </w:r>
          </w:p>
        </w:tc>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kilowatt</w:t>
            </w:r>
          </w:p>
        </w:tc>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Household global active power — TARGET</w:t>
            </w:r>
          </w:p>
        </w:tc>
      </w:tr>
      <w:tr>
        <w:tc>
          <w:tcPr>
            <w:tcW w:type="dxa" w:w="3008"/>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Global_reactive_power</w:t>
            </w:r>
          </w:p>
        </w:tc>
        <w:tc>
          <w:tcPr>
            <w:tcW w:type="dxa" w:w="3008"/>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kilowatt</w:t>
            </w:r>
          </w:p>
        </w:tc>
        <w:tc>
          <w:tcPr>
            <w:tcW w:type="dxa" w:w="3008"/>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Household global reactive power</w:t>
            </w:r>
          </w:p>
        </w:tc>
      </w:tr>
      <w:tr>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Voltage</w:t>
            </w:r>
          </w:p>
        </w:tc>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volt</w:t>
            </w:r>
          </w:p>
        </w:tc>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Average voltage</w:t>
            </w:r>
          </w:p>
        </w:tc>
      </w:tr>
      <w:tr>
        <w:tc>
          <w:tcPr>
            <w:tcW w:type="dxa" w:w="3008"/>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Global_intensity</w:t>
            </w:r>
          </w:p>
        </w:tc>
        <w:tc>
          <w:tcPr>
            <w:tcW w:type="dxa" w:w="3008"/>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ampere</w:t>
            </w:r>
          </w:p>
        </w:tc>
        <w:tc>
          <w:tcPr>
            <w:tcW w:type="dxa" w:w="3008"/>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Household global current intensity</w:t>
            </w:r>
          </w:p>
        </w:tc>
      </w:tr>
      <w:tr>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Sub_metering_1</w:t>
            </w:r>
          </w:p>
        </w:tc>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watt-hour</w:t>
            </w:r>
          </w:p>
        </w:tc>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Kitchen sub-metering</w:t>
            </w:r>
          </w:p>
        </w:tc>
      </w:tr>
      <w:tr>
        <w:tc>
          <w:tcPr>
            <w:tcW w:type="dxa" w:w="3008"/>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Sub_metering_2</w:t>
            </w:r>
          </w:p>
        </w:tc>
        <w:tc>
          <w:tcPr>
            <w:tcW w:type="dxa" w:w="3008"/>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watt-hour</w:t>
            </w:r>
          </w:p>
        </w:tc>
        <w:tc>
          <w:tcPr>
            <w:tcW w:type="dxa" w:w="3008"/>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Laundry room sub-metering</w:t>
            </w:r>
          </w:p>
        </w:tc>
      </w:tr>
      <w:tr>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Sub_metering_3</w:t>
            </w:r>
          </w:p>
        </w:tc>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watt-hour</w:t>
            </w:r>
          </w:p>
        </w:tc>
        <w:tc>
          <w:tcPr>
            <w:tcW w:type="dxa" w:w="3008"/>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Climate control sub-metering</w:t>
            </w:r>
          </w:p>
        </w:tc>
      </w:tr>
    </w:tbl>
    <w:p>
      <w:pPr>
        <w:spacing w:after="80" w:before="0"/>
      </w:pPr>
      <w:r>
        <w:t xml:space="preserve"/>
      </w:r>
    </w:p>
    <w:p>
      <w:pPr>
        <w:spacing w:after="100" w:before="60"/>
        <w:jc w:val="both"/>
      </w:pPr>
      <w:r>
        <w:rPr>
          <w:rFonts w:ascii="Calibri" w:cs="Calibri" w:eastAsia="Calibri" w:hAnsi="Calibri"/>
          <w:b w:val="false"/>
          <w:bCs w:val="false"/>
          <w:i w:val="false"/>
          <w:iCs w:val="false"/>
          <w:color w:val="000000"/>
          <w:sz w:val="22"/>
          <w:szCs w:val="22"/>
        </w:rPr>
        <w:t xml:space="preserve">The target variable for this study is Global_active_power (kW), which represents the primary household electricity demand and is the quantity of greatest practical interest for demand forecasting. The dataset is widely cited in the machine learning community as a gold-standard benchmark for household energy consumption research (Hebrail and Berard, 2012).</w:t>
      </w:r>
    </w:p>
    <w:p>
      <w:r>
        <w:br w:type="page"/>
      </w:r>
    </w:p>
    <w:p>
      <w:pPr>
        <w:pStyle w:val="Heading1"/>
        <w:spacing w:after="120" w:before="320"/>
      </w:pPr>
      <w:r>
        <w:rPr>
          <w:rFonts w:ascii="Calibri" w:cs="Calibri" w:eastAsia="Calibri" w:hAnsi="Calibri"/>
          <w:b/>
          <w:bCs/>
          <w:color w:val="1F4E79"/>
          <w:sz w:val="30"/>
          <w:szCs w:val="30"/>
        </w:rPr>
        <w:t xml:space="preserve">4. Data Preprocessing</w:t>
      </w:r>
    </w:p>
    <w:p>
      <w:pPr>
        <w:pStyle w:val="Heading2"/>
        <w:spacing w:after="80" w:before="240"/>
      </w:pPr>
      <w:r>
        <w:rPr>
          <w:rFonts w:ascii="Calibri" w:cs="Calibri" w:eastAsia="Calibri" w:hAnsi="Calibri"/>
          <w:b/>
          <w:bCs/>
          <w:color w:val="2E75B6"/>
          <w:sz w:val="26"/>
          <w:szCs w:val="26"/>
        </w:rPr>
        <w:t xml:space="preserve">4.1 Datetime Parsing and Indexing</w:t>
      </w:r>
    </w:p>
    <w:p>
      <w:pPr>
        <w:spacing w:after="100" w:before="60"/>
        <w:jc w:val="both"/>
      </w:pPr>
      <w:r>
        <w:rPr>
          <w:rFonts w:ascii="Calibri" w:cs="Calibri" w:eastAsia="Calibri" w:hAnsi="Calibri"/>
          <w:b w:val="false"/>
          <w:bCs w:val="false"/>
          <w:i w:val="false"/>
          <w:iCs w:val="false"/>
          <w:color w:val="000000"/>
          <w:sz w:val="22"/>
          <w:szCs w:val="22"/>
        </w:rPr>
        <w:t xml:space="preserve">The raw dataset stores date and time as two separate character columns (Date in DD/MM/YYYY format and Time in hh:mm:ss format). These were merged and parsed into a single pandas DatetimeIndex to enable native time-series operations such as resampling and temporal feature extraction.</w:t>
      </w:r>
    </w:p>
    <w:p>
      <w:pPr>
        <w:pStyle w:val="Heading2"/>
        <w:spacing w:after="80" w:before="240"/>
      </w:pPr>
      <w:r>
        <w:rPr>
          <w:rFonts w:ascii="Calibri" w:cs="Calibri" w:eastAsia="Calibri" w:hAnsi="Calibri"/>
          <w:b/>
          <w:bCs/>
          <w:color w:val="2E75B6"/>
          <w:sz w:val="26"/>
          <w:szCs w:val="26"/>
        </w:rPr>
        <w:t xml:space="preserve">4.2 Missing Value Handling</w:t>
      </w:r>
    </w:p>
    <w:p>
      <w:pPr>
        <w:spacing w:after="100" w:before="60"/>
        <w:jc w:val="both"/>
      </w:pPr>
      <w:r>
        <w:rPr>
          <w:rFonts w:ascii="Calibri" w:cs="Calibri" w:eastAsia="Calibri" w:hAnsi="Calibri"/>
          <w:b w:val="false"/>
          <w:bCs w:val="false"/>
          <w:i w:val="false"/>
          <w:iCs w:val="false"/>
          <w:color w:val="000000"/>
          <w:sz w:val="22"/>
          <w:szCs w:val="22"/>
        </w:rPr>
        <w:t xml:space="preserve">The dataset is known to contain missing values encoded as the '?' character across all measurement columns. Table 2 presents the count of missing observations prior to imputation. Missing values occur as contiguous blocks, likely corresponding to periods of sensor outage. A linear time-based interpolation strategy was applied as the primary imputation method, which estimates missing values proportionally between the flanking non-missing observations. This preserves the temporal continuity of the signal and avoids introducing discontinuities. Forward-fill and backward-fill operations were subsequently applied to address any remaining boundary gaps.</w:t>
      </w:r>
    </w:p>
    <w:p>
      <w:pPr>
        <w:spacing w:after="80" w:before="0"/>
      </w:pPr>
      <w:r>
        <w:t xml:space="preserve"/>
      </w:r>
    </w:p>
    <w:p>
      <w:pPr>
        <w:spacing w:after="80" w:before="40"/>
        <w:jc w:val="center"/>
      </w:pPr>
      <w:r>
        <w:rPr>
          <w:rFonts w:ascii="Calibri" w:cs="Calibri" w:eastAsia="Calibri" w:hAnsi="Calibri"/>
          <w:i/>
          <w:iCs/>
          <w:color w:val="5F5F5F"/>
          <w:sz w:val="18"/>
          <w:szCs w:val="18"/>
        </w:rPr>
        <w:t xml:space="preserve">Table 2: Missing value counts by attribute before imputation.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4513"/>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Attribute</w:t>
            </w:r>
          </w:p>
        </w:tc>
        <w:tc>
          <w:tcPr>
            <w:tcW w:type="dxa" w:w="4513"/>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Missing Observations</w:t>
            </w:r>
          </w:p>
        </w:tc>
      </w:tr>
      <w:tr>
        <w:tc>
          <w:tcPr>
            <w:tcW w:type="dxa" w:w="45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Global_active_power</w:t>
            </w:r>
          </w:p>
        </w:tc>
        <w:tc>
          <w:tcPr>
            <w:tcW w:type="dxa" w:w="45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25,979</w:t>
            </w:r>
          </w:p>
        </w:tc>
      </w:tr>
      <w:tr>
        <w:tc>
          <w:tcPr>
            <w:tcW w:type="dxa" w:w="45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Global_reactive_power</w:t>
            </w:r>
          </w:p>
        </w:tc>
        <w:tc>
          <w:tcPr>
            <w:tcW w:type="dxa" w:w="45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25,979</w:t>
            </w:r>
          </w:p>
        </w:tc>
      </w:tr>
      <w:tr>
        <w:tc>
          <w:tcPr>
            <w:tcW w:type="dxa" w:w="45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Voltage</w:t>
            </w:r>
          </w:p>
        </w:tc>
        <w:tc>
          <w:tcPr>
            <w:tcW w:type="dxa" w:w="45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25,979</w:t>
            </w:r>
          </w:p>
        </w:tc>
      </w:tr>
      <w:tr>
        <w:tc>
          <w:tcPr>
            <w:tcW w:type="dxa" w:w="45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Global_intensity</w:t>
            </w:r>
          </w:p>
        </w:tc>
        <w:tc>
          <w:tcPr>
            <w:tcW w:type="dxa" w:w="45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25,979</w:t>
            </w:r>
          </w:p>
        </w:tc>
      </w:tr>
      <w:tr>
        <w:tc>
          <w:tcPr>
            <w:tcW w:type="dxa" w:w="45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Sub_metering_1</w:t>
            </w:r>
          </w:p>
        </w:tc>
        <w:tc>
          <w:tcPr>
            <w:tcW w:type="dxa" w:w="45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25,979</w:t>
            </w:r>
          </w:p>
        </w:tc>
      </w:tr>
      <w:tr>
        <w:tc>
          <w:tcPr>
            <w:tcW w:type="dxa" w:w="45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Sub_metering_2</w:t>
            </w:r>
          </w:p>
        </w:tc>
        <w:tc>
          <w:tcPr>
            <w:tcW w:type="dxa" w:w="45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25,979</w:t>
            </w:r>
          </w:p>
        </w:tc>
      </w:tr>
      <w:tr>
        <w:tc>
          <w:tcPr>
            <w:tcW w:type="dxa" w:w="45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Sub_metering_3</w:t>
            </w:r>
          </w:p>
        </w:tc>
        <w:tc>
          <w:tcPr>
            <w:tcW w:type="dxa" w:w="45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25,979</w:t>
            </w:r>
          </w:p>
        </w:tc>
      </w:tr>
    </w:tbl>
    <w:p>
      <w:pPr>
        <w:spacing w:after="80" w:before="0"/>
      </w:pPr>
      <w:r>
        <w:t xml:space="preserve"/>
      </w:r>
    </w:p>
    <w:p>
      <w:pPr>
        <w:pStyle w:val="Heading2"/>
        <w:spacing w:after="80" w:before="240"/>
      </w:pPr>
      <w:r>
        <w:rPr>
          <w:rFonts w:ascii="Calibri" w:cs="Calibri" w:eastAsia="Calibri" w:hAnsi="Calibri"/>
          <w:b/>
          <w:bCs/>
          <w:color w:val="2E75B6"/>
          <w:sz w:val="26"/>
          <w:szCs w:val="26"/>
        </w:rPr>
        <w:t xml:space="preserve">4.3 Resampling to Hourly Frequency</w:t>
      </w:r>
    </w:p>
    <w:p>
      <w:pPr>
        <w:spacing w:after="100" w:before="60"/>
        <w:jc w:val="both"/>
      </w:pPr>
      <w:r>
        <w:rPr>
          <w:rFonts w:ascii="Calibri" w:cs="Calibri" w:eastAsia="Calibri" w:hAnsi="Calibri"/>
          <w:b w:val="false"/>
          <w:bCs w:val="false"/>
          <w:i w:val="false"/>
          <w:iCs w:val="false"/>
          <w:color w:val="000000"/>
          <w:sz w:val="22"/>
          <w:szCs w:val="22"/>
        </w:rPr>
        <w:t xml:space="preserve">The raw dataset has minute-level granularity, resulting in over two million records. For this study, the data were resampled to hourly frequency by computing the mean of all minute-level readings within each hour. This decision was motivated by three factors: (1) hourly resolution preserves the diurnal consumption cycle that is the primary seasonal pattern of interest; (2) it reduces dataset size by a factor of 60, making model training computationally tractable; and (3) it smooths high-frequency noise attributable to transient appliance switching, improving signal-to-noise ratio (Hyndman and Athanasopoulos, 2021). The resulting hourly dataset contains approximately 34,589 observations.</w:t>
      </w:r>
    </w:p>
    <w:p>
      <w:r>
        <w:br w:type="page"/>
      </w:r>
    </w:p>
    <w:p>
      <w:pPr>
        <w:pStyle w:val="Heading1"/>
        <w:spacing w:after="120" w:before="320"/>
      </w:pPr>
      <w:r>
        <w:rPr>
          <w:rFonts w:ascii="Calibri" w:cs="Calibri" w:eastAsia="Calibri" w:hAnsi="Calibri"/>
          <w:b/>
          <w:bCs/>
          <w:color w:val="1F4E79"/>
          <w:sz w:val="30"/>
          <w:szCs w:val="30"/>
        </w:rPr>
        <w:t xml:space="preserve">5. Feature Engineering</w:t>
      </w:r>
    </w:p>
    <w:p>
      <w:pPr>
        <w:spacing w:after="100" w:before="60"/>
        <w:jc w:val="both"/>
      </w:pPr>
      <w:r>
        <w:rPr>
          <w:rFonts w:ascii="Calibri" w:cs="Calibri" w:eastAsia="Calibri" w:hAnsi="Calibri"/>
          <w:b w:val="false"/>
          <w:bCs w:val="false"/>
          <w:i w:val="false"/>
          <w:iCs w:val="false"/>
          <w:color w:val="000000"/>
          <w:sz w:val="22"/>
          <w:szCs w:val="22"/>
        </w:rPr>
        <w:t xml:space="preserve">Following preprocessing, a set of time-based and statistical features was derived to provide the machine learning models with predictive signals beyond the raw energy reading. Feature engineering is essential for non-parametric models that cannot implicitly learn periodic structure from index positions alone (Fan et al., 2017).</w:t>
      </w:r>
    </w:p>
    <w:p>
      <w:pPr>
        <w:pStyle w:val="Heading2"/>
        <w:spacing w:after="80" w:before="240"/>
      </w:pPr>
      <w:r>
        <w:rPr>
          <w:rFonts w:ascii="Calibri" w:cs="Calibri" w:eastAsia="Calibri" w:hAnsi="Calibri"/>
          <w:b/>
          <w:bCs/>
          <w:color w:val="2E75B6"/>
          <w:sz w:val="26"/>
          <w:szCs w:val="26"/>
        </w:rPr>
        <w:t xml:space="preserve">5.1 Calendar Features</w:t>
      </w:r>
    </w:p>
    <w:p>
      <w:pPr>
        <w:spacing w:after="100" w:before="60"/>
        <w:jc w:val="both"/>
      </w:pPr>
      <w:r>
        <w:rPr>
          <w:rFonts w:ascii="Calibri" w:cs="Calibri" w:eastAsia="Calibri" w:hAnsi="Calibri"/>
          <w:b w:val="false"/>
          <w:bCs w:val="false"/>
          <w:i w:val="false"/>
          <w:iCs w:val="false"/>
          <w:color w:val="000000"/>
          <w:sz w:val="22"/>
          <w:szCs w:val="22"/>
        </w:rPr>
        <w:t xml:space="preserve">Six calendar features were extracted from the datetime index: hour of the day (0–23), day of the week (0–6), day of the year (1–366), month (1–12), year, and a binary is_weekend indicator. These features capture intra-day, weekly, and annual periodicity associated with household routines and heating demand.</w:t>
      </w:r>
    </w:p>
    <w:p>
      <w:pPr>
        <w:pStyle w:val="Heading2"/>
        <w:spacing w:after="80" w:before="240"/>
      </w:pPr>
      <w:r>
        <w:rPr>
          <w:rFonts w:ascii="Calibri" w:cs="Calibri" w:eastAsia="Calibri" w:hAnsi="Calibri"/>
          <w:b/>
          <w:bCs/>
          <w:color w:val="2E75B6"/>
          <w:sz w:val="26"/>
          <w:szCs w:val="26"/>
        </w:rPr>
        <w:t xml:space="preserve">5.2 Cyclical Encoding</w:t>
      </w:r>
    </w:p>
    <w:p>
      <w:pPr>
        <w:spacing w:after="100" w:before="60"/>
        <w:jc w:val="both"/>
      </w:pPr>
      <w:r>
        <w:rPr>
          <w:rFonts w:ascii="Calibri" w:cs="Calibri" w:eastAsia="Calibri" w:hAnsi="Calibri"/>
          <w:b w:val="false"/>
          <w:bCs w:val="false"/>
          <w:i w:val="false"/>
          <w:iCs w:val="false"/>
          <w:color w:val="000000"/>
          <w:sz w:val="22"/>
          <w:szCs w:val="22"/>
        </w:rPr>
        <w:t xml:space="preserve">Discrete calendar features such as hour and month are inherently circular: hour 23 is as close to hour 0 as it is to hour 22. To preserve this circular continuity, sine and cosine transformations were applied to both the hour and month features, producing four additional inputs (hour_sin, hour_cos, month_sin, month_cos). This encoding is preferable to raw integer encoding, which would incorrectly impose an ordinal distance between the end and beginning of a period (Hyndman and Athanasopoulos, 2021).</w:t>
      </w:r>
    </w:p>
    <w:p>
      <w:pPr>
        <w:pStyle w:val="Heading2"/>
        <w:spacing w:after="80" w:before="240"/>
      </w:pPr>
      <w:r>
        <w:rPr>
          <w:rFonts w:ascii="Calibri" w:cs="Calibri" w:eastAsia="Calibri" w:hAnsi="Calibri"/>
          <w:b/>
          <w:bCs/>
          <w:color w:val="2E75B6"/>
          <w:sz w:val="26"/>
          <w:szCs w:val="26"/>
        </w:rPr>
        <w:t xml:space="preserve">5.3 Lag Features</w:t>
      </w:r>
    </w:p>
    <w:p>
      <w:pPr>
        <w:spacing w:after="100" w:before="60"/>
        <w:jc w:val="both"/>
      </w:pPr>
      <w:r>
        <w:rPr>
          <w:rFonts w:ascii="Calibri" w:cs="Calibri" w:eastAsia="Calibri" w:hAnsi="Calibri"/>
          <w:b w:val="false"/>
          <w:bCs w:val="false"/>
          <w:i w:val="false"/>
          <w:iCs w:val="false"/>
          <w:color w:val="000000"/>
          <w:sz w:val="22"/>
          <w:szCs w:val="22"/>
        </w:rPr>
        <w:t xml:space="preserve">Six lag features were constructed by shifting the target variable by 1, 2, 3, 24, 48, and 168 hours. The 24-hour and 168-hour lags correspond to the previous day and previous week at the same hour respectively, capturing the strong periodicity typical of household consumption. Literature consistently identifies 24-hour and one-week lags as the most predictive inputs for residential energy forecasting (Fan et al., 2017).</w:t>
      </w:r>
    </w:p>
    <w:p>
      <w:pPr>
        <w:pStyle w:val="Heading2"/>
        <w:spacing w:after="80" w:before="240"/>
      </w:pPr>
      <w:r>
        <w:rPr>
          <w:rFonts w:ascii="Calibri" w:cs="Calibri" w:eastAsia="Calibri" w:hAnsi="Calibri"/>
          <w:b/>
          <w:bCs/>
          <w:color w:val="2E75B6"/>
          <w:sz w:val="26"/>
          <w:szCs w:val="26"/>
        </w:rPr>
        <w:t xml:space="preserve">5.4 Rolling Statistics</w:t>
      </w:r>
    </w:p>
    <w:p>
      <w:pPr>
        <w:spacing w:after="100" w:before="60"/>
        <w:jc w:val="both"/>
      </w:pPr>
      <w:r>
        <w:rPr>
          <w:rFonts w:ascii="Calibri" w:cs="Calibri" w:eastAsia="Calibri" w:hAnsi="Calibri"/>
          <w:b w:val="false"/>
          <w:bCs w:val="false"/>
          <w:i w:val="false"/>
          <w:iCs w:val="false"/>
          <w:color w:val="000000"/>
          <w:sz w:val="22"/>
          <w:szCs w:val="22"/>
        </w:rPr>
        <w:t xml:space="preserve">A 24-hour rolling mean and rolling standard deviation of the target variable (both computed with a one-step lag to avoid leakage) were added. These features inform the model about the recent level and variability of energy consumption, enabling adaptation to short-term trend changes.</w:t>
      </w:r>
    </w:p>
    <w:p>
      <w:pPr>
        <w:spacing w:after="100" w:before="60"/>
        <w:jc w:val="both"/>
      </w:pPr>
      <w:r>
        <w:rPr>
          <w:rFonts w:ascii="Calibri" w:cs="Calibri" w:eastAsia="Calibri" w:hAnsi="Calibri"/>
          <w:b w:val="false"/>
          <w:bCs w:val="false"/>
          <w:i w:val="false"/>
          <w:iCs w:val="false"/>
          <w:color w:val="000000"/>
          <w:sz w:val="22"/>
          <w:szCs w:val="22"/>
        </w:rPr>
        <w:t xml:space="preserve">After removing rows containing NaN values introduced by the lag and rolling window operations (a maximum of 168 rows), the final feature-engineered dataset contained 34,421 hourly observations with 20 input features.</w:t>
      </w:r>
    </w:p>
    <w:p>
      <w:r>
        <w:br w:type="page"/>
      </w:r>
    </w:p>
    <w:p>
      <w:pPr>
        <w:pStyle w:val="Heading1"/>
        <w:spacing w:after="120" w:before="320"/>
      </w:pPr>
      <w:r>
        <w:rPr>
          <w:rFonts w:ascii="Calibri" w:cs="Calibri" w:eastAsia="Calibri" w:hAnsi="Calibri"/>
          <w:b/>
          <w:bCs/>
          <w:color w:val="1F4E79"/>
          <w:sz w:val="30"/>
          <w:szCs w:val="30"/>
        </w:rPr>
        <w:t xml:space="preserve">6. Exploratory Data Analysis</w:t>
      </w:r>
    </w:p>
    <w:p>
      <w:pPr>
        <w:pStyle w:val="Heading2"/>
        <w:spacing w:after="80" w:before="240"/>
      </w:pPr>
      <w:r>
        <w:rPr>
          <w:rFonts w:ascii="Calibri" w:cs="Calibri" w:eastAsia="Calibri" w:hAnsi="Calibri"/>
          <w:b/>
          <w:bCs/>
          <w:color w:val="2E75B6"/>
          <w:sz w:val="26"/>
          <w:szCs w:val="26"/>
        </w:rPr>
        <w:t xml:space="preserve">6.1 Summary Statistics</w:t>
      </w:r>
    </w:p>
    <w:p>
      <w:pPr>
        <w:spacing w:after="100" w:before="60"/>
        <w:jc w:val="both"/>
      </w:pPr>
      <w:r>
        <w:rPr>
          <w:rFonts w:ascii="Calibri" w:cs="Calibri" w:eastAsia="Calibri" w:hAnsi="Calibri"/>
          <w:b w:val="false"/>
          <w:bCs w:val="false"/>
          <w:i w:val="false"/>
          <w:iCs w:val="false"/>
          <w:color w:val="000000"/>
          <w:sz w:val="22"/>
          <w:szCs w:val="22"/>
        </w:rPr>
        <w:t xml:space="preserve">Table 3 presents descriptive statistics for Global_active_power following hourly resampling. The mean hourly consumption is approximately 1.09 kW, with a standard deviation of 1.06 kW, indicating substantial variability. The distribution is right-skewed, as suggested by the gap between the median (0.76 kW) and mean (1.09 kW), reflecting infrequent but high-demand episodes associated with simultaneous use of multiple high-power appliances.</w:t>
      </w:r>
    </w:p>
    <w:p>
      <w:pPr>
        <w:spacing w:after="80" w:before="0"/>
      </w:pPr>
      <w:r>
        <w:t xml:space="preserve"/>
      </w:r>
    </w:p>
    <w:p>
      <w:pPr>
        <w:spacing w:after="80" w:before="40"/>
        <w:jc w:val="center"/>
      </w:pPr>
      <w:r>
        <w:rPr>
          <w:rFonts w:ascii="Calibri" w:cs="Calibri" w:eastAsia="Calibri" w:hAnsi="Calibri"/>
          <w:i/>
          <w:iCs/>
          <w:color w:val="5F5F5F"/>
          <w:sz w:val="18"/>
          <w:szCs w:val="18"/>
        </w:rPr>
        <w:t xml:space="preserve">Table 3: Descriptive statistics for hourly Global_active_power (kW).</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1250"/>
        <w:gridCol w:w="1250"/>
        <w:gridCol w:w="750"/>
        <w:gridCol w:w="500"/>
      </w:tblGrid>
      <w:tr>
        <w:tc>
          <w:tcPr>
            <w:tcW w:type="dxa" w:w="1504"/>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Statistic</w:t>
            </w:r>
          </w:p>
        </w:tc>
        <w:tc>
          <w:tcPr>
            <w:tcW w:type="dxa" w:w="1504"/>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Mean</w:t>
            </w:r>
          </w:p>
        </w:tc>
        <w:tc>
          <w:tcPr>
            <w:tcW w:type="dxa" w:w="1504"/>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Median</w:t>
            </w:r>
          </w:p>
        </w:tc>
        <w:tc>
          <w:tcPr>
            <w:tcW w:type="dxa" w:w="1504"/>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Std Dev</w:t>
            </w:r>
          </w:p>
        </w:tc>
        <w:tc>
          <w:tcPr>
            <w:tcW w:type="dxa" w:w="1504"/>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Min</w:t>
            </w:r>
          </w:p>
        </w:tc>
        <w:tc>
          <w:tcPr>
            <w:tcW w:type="dxa" w:w="1504"/>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Max</w:t>
            </w:r>
          </w:p>
        </w:tc>
      </w:tr>
      <w:tr>
        <w:tc>
          <w:tcPr>
            <w:tcW w:type="dxa" w:w="1504"/>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Global_active_power (kW)</w:t>
            </w:r>
          </w:p>
        </w:tc>
        <w:tc>
          <w:tcPr>
            <w:tcW w:type="dxa" w:w="1504"/>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1.091</w:t>
            </w:r>
          </w:p>
        </w:tc>
        <w:tc>
          <w:tcPr>
            <w:tcW w:type="dxa" w:w="1504"/>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0.756</w:t>
            </w:r>
          </w:p>
        </w:tc>
        <w:tc>
          <w:tcPr>
            <w:tcW w:type="dxa" w:w="1504"/>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1.057</w:t>
            </w:r>
          </w:p>
        </w:tc>
        <w:tc>
          <w:tcPr>
            <w:tcW w:type="dxa" w:w="1504"/>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0.000</w:t>
            </w:r>
          </w:p>
        </w:tc>
        <w:tc>
          <w:tcPr>
            <w:tcW w:type="dxa" w:w="1504"/>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9.935</w:t>
            </w:r>
          </w:p>
        </w:tc>
      </w:tr>
    </w:tbl>
    <w:p>
      <w:pPr>
        <w:spacing w:after="80" w:before="0"/>
      </w:pPr>
      <w:r>
        <w:t xml:space="preserve"/>
      </w:r>
    </w:p>
    <w:p>
      <w:pPr>
        <w:pStyle w:val="Heading2"/>
        <w:spacing w:after="80" w:before="240"/>
      </w:pPr>
      <w:r>
        <w:rPr>
          <w:rFonts w:ascii="Calibri" w:cs="Calibri" w:eastAsia="Calibri" w:hAnsi="Calibri"/>
          <w:b/>
          <w:bCs/>
          <w:color w:val="2E75B6"/>
          <w:sz w:val="26"/>
          <w:szCs w:val="26"/>
        </w:rPr>
        <w:t xml:space="preserve">6.2 Temporal Patterns and Trends</w:t>
      </w:r>
    </w:p>
    <w:p>
      <w:pPr>
        <w:spacing w:after="100" w:before="60"/>
        <w:jc w:val="both"/>
      </w:pPr>
      <w:r>
        <w:rPr>
          <w:rFonts w:ascii="Calibri" w:cs="Calibri" w:eastAsia="Calibri" w:hAnsi="Calibri"/>
          <w:b w:val="false"/>
          <w:bCs w:val="false"/>
          <w:i w:val="false"/>
          <w:iCs w:val="false"/>
          <w:color w:val="000000"/>
          <w:sz w:val="22"/>
          <w:szCs w:val="22"/>
        </w:rPr>
        <w:t xml:space="preserve">A time-series line plot of daily mean consumption (Figure 1 in the notebook outputs) reveals a clear annual seasonality, with consumption peaking during winter months (December–February) due to domestic heating demand and reduced daylight hours, and falling in summer. This pattern is consistent across all four years of the dataset, confirming the stability of the seasonal structure.</w:t>
      </w:r>
    </w:p>
    <w:p>
      <w:pPr>
        <w:pStyle w:val="Heading2"/>
        <w:spacing w:after="80" w:before="240"/>
      </w:pPr>
      <w:r>
        <w:rPr>
          <w:rFonts w:ascii="Calibri" w:cs="Calibri" w:eastAsia="Calibri" w:hAnsi="Calibri"/>
          <w:b/>
          <w:bCs/>
          <w:color w:val="2E75B6"/>
          <w:sz w:val="26"/>
          <w:szCs w:val="26"/>
        </w:rPr>
        <w:t xml:space="preserve">6.3 Seasonal Decomposition</w:t>
      </w:r>
    </w:p>
    <w:p>
      <w:pPr>
        <w:spacing w:after="100" w:before="60"/>
        <w:jc w:val="both"/>
      </w:pPr>
      <w:r>
        <w:rPr>
          <w:rFonts w:ascii="Calibri" w:cs="Calibri" w:eastAsia="Calibri" w:hAnsi="Calibri"/>
          <w:b w:val="false"/>
          <w:bCs w:val="false"/>
          <w:i w:val="false"/>
          <w:iCs w:val="false"/>
          <w:color w:val="000000"/>
          <w:sz w:val="22"/>
          <w:szCs w:val="22"/>
        </w:rPr>
        <w:t xml:space="preserve">An additive seasonal decomposition (period = 7 days) was applied to the daily series using the statsmodels library. The decomposition (Figure 2 in outputs) isolates the trend, seasonal, and residual components. The trend component reveals a gradual decline in overall consumption from 2007 to 2010, potentially attributable to improvements in appliance efficiency or changes in household composition. The seasonal component exhibits a stable weekly cycle, with higher consumption on weekdays (particularly Mondays and Fridays) consistent with typical working-household patterns.</w:t>
      </w:r>
    </w:p>
    <w:p>
      <w:pPr>
        <w:pStyle w:val="Heading2"/>
        <w:spacing w:after="80" w:before="240"/>
      </w:pPr>
      <w:r>
        <w:rPr>
          <w:rFonts w:ascii="Calibri" w:cs="Calibri" w:eastAsia="Calibri" w:hAnsi="Calibri"/>
          <w:b/>
          <w:bCs/>
          <w:color w:val="2E75B6"/>
          <w:sz w:val="26"/>
          <w:szCs w:val="26"/>
        </w:rPr>
        <w:t xml:space="preserve">6.4 Diurnal and Monthly Patterns</w:t>
      </w:r>
    </w:p>
    <w:p>
      <w:pPr>
        <w:spacing w:after="100" w:before="60"/>
        <w:jc w:val="both"/>
      </w:pPr>
      <w:r>
        <w:rPr>
          <w:rFonts w:ascii="Calibri" w:cs="Calibri" w:eastAsia="Calibri" w:hAnsi="Calibri"/>
          <w:b w:val="false"/>
          <w:bCs w:val="false"/>
          <w:i w:val="false"/>
          <w:iCs w:val="false"/>
          <w:color w:val="000000"/>
          <w:sz w:val="22"/>
          <w:szCs w:val="22"/>
        </w:rPr>
        <w:t xml:space="preserve">Box plots of hourly consumption by hour of the day (Figure 3a in outputs) reveal a bimodal diurnal pattern: a morning peak between 07:00 and 09:00 associated with breakfast preparation and bathing, and a larger evening peak between 18:00 and 21:00 corresponding to cooking, lighting, and entertainment consumption. Night-time hours (01:00–05:00) show the lowest median consumption. Monthly box plots (Figure 3b) confirm the seasonal pattern, with December and January recording the highest median consumption and July–August the lowest.</w:t>
      </w:r>
    </w:p>
    <w:p>
      <w:pPr>
        <w:pStyle w:val="Heading2"/>
        <w:spacing w:after="80" w:before="240"/>
      </w:pPr>
      <w:r>
        <w:rPr>
          <w:rFonts w:ascii="Calibri" w:cs="Calibri" w:eastAsia="Calibri" w:hAnsi="Calibri"/>
          <w:b/>
          <w:bCs/>
          <w:color w:val="2E75B6"/>
          <w:sz w:val="26"/>
          <w:szCs w:val="26"/>
        </w:rPr>
        <w:t xml:space="preserve">6.5 Correlation Analysis</w:t>
      </w:r>
    </w:p>
    <w:p>
      <w:pPr>
        <w:spacing w:after="100" w:before="60"/>
        <w:jc w:val="both"/>
      </w:pPr>
      <w:r>
        <w:rPr>
          <w:rFonts w:ascii="Calibri" w:cs="Calibri" w:eastAsia="Calibri" w:hAnsi="Calibri"/>
          <w:b w:val="false"/>
          <w:bCs w:val="false"/>
          <w:i w:val="false"/>
          <w:iCs w:val="false"/>
          <w:color w:val="000000"/>
          <w:sz w:val="22"/>
          <w:szCs w:val="22"/>
        </w:rPr>
        <w:t xml:space="preserve">A correlation heatmap (Figure 4 in outputs) of the engineered feature set reveals that the 1-hour lag (lag_1h) and the 24-hour rolling mean (rolling_mean_24h) exhibit the strongest positive correlations with the target variable, with Pearson coefficients of approximately 0.89 and 0.84 respectively. The 24-hour lag (lag_24h) also shows a strong correlation (r ≈ 0.74), while the 168-hour lag (lag_168h) shows a moderate weekly signal (r ≈ 0.65). These values justify the inclusion of all lag features in the model input.</w:t>
      </w:r>
    </w:p>
    <w:p>
      <w:pPr>
        <w:pStyle w:val="Heading2"/>
        <w:spacing w:after="80" w:before="240"/>
      </w:pPr>
      <w:r>
        <w:rPr>
          <w:rFonts w:ascii="Calibri" w:cs="Calibri" w:eastAsia="Calibri" w:hAnsi="Calibri"/>
          <w:b/>
          <w:bCs/>
          <w:color w:val="2E75B6"/>
          <w:sz w:val="26"/>
          <w:szCs w:val="26"/>
        </w:rPr>
        <w:t xml:space="preserve">6.6 Stationarity Testing</w:t>
      </w:r>
    </w:p>
    <w:p>
      <w:pPr>
        <w:spacing w:after="100" w:before="60"/>
        <w:jc w:val="both"/>
      </w:pPr>
      <w:r>
        <w:rPr>
          <w:rFonts w:ascii="Calibri" w:cs="Calibri" w:eastAsia="Calibri" w:hAnsi="Calibri"/>
          <w:b w:val="false"/>
          <w:bCs w:val="false"/>
          <w:i w:val="false"/>
          <w:iCs w:val="false"/>
          <w:color w:val="000000"/>
          <w:sz w:val="22"/>
          <w:szCs w:val="22"/>
        </w:rPr>
        <w:t xml:space="preserve">An Augmented Dickey-Fuller (ADF) test was applied to the hourly target series. The ADF statistic was strongly negative (below −10) with a p-value well below 0.001, leading to rejection of the null hypothesis of a unit root at the 1% significance level. The hourly Global_active_power series is therefore stationary in levels, obviating the need for differencing in the SARIMA specification.</w:t>
      </w:r>
    </w:p>
    <w:p>
      <w:r>
        <w:br w:type="page"/>
      </w:r>
    </w:p>
    <w:p>
      <w:pPr>
        <w:pStyle w:val="Heading1"/>
        <w:spacing w:after="120" w:before="320"/>
      </w:pPr>
      <w:r>
        <w:rPr>
          <w:rFonts w:ascii="Calibri" w:cs="Calibri" w:eastAsia="Calibri" w:hAnsi="Calibri"/>
          <w:b/>
          <w:bCs/>
          <w:color w:val="1F4E79"/>
          <w:sz w:val="30"/>
          <w:szCs w:val="30"/>
        </w:rPr>
        <w:t xml:space="preserve">7. Model Selection and Design</w:t>
      </w:r>
    </w:p>
    <w:p>
      <w:pPr>
        <w:pStyle w:val="Heading2"/>
        <w:spacing w:after="80" w:before="240"/>
      </w:pPr>
      <w:r>
        <w:rPr>
          <w:rFonts w:ascii="Calibri" w:cs="Calibri" w:eastAsia="Calibri" w:hAnsi="Calibri"/>
          <w:b/>
          <w:bCs/>
          <w:color w:val="2E75B6"/>
          <w:sz w:val="26"/>
          <w:szCs w:val="26"/>
        </w:rPr>
        <w:t xml:space="preserve">7.1 Chronological Train/Test Split</w:t>
      </w:r>
    </w:p>
    <w:p>
      <w:pPr>
        <w:spacing w:after="100" w:before="60"/>
        <w:jc w:val="both"/>
      </w:pPr>
      <w:r>
        <w:rPr>
          <w:rFonts w:ascii="Calibri" w:cs="Calibri" w:eastAsia="Calibri" w:hAnsi="Calibri"/>
          <w:b w:val="false"/>
          <w:bCs w:val="false"/>
          <w:i w:val="false"/>
          <w:iCs w:val="false"/>
          <w:color w:val="000000"/>
          <w:sz w:val="22"/>
          <w:szCs w:val="22"/>
        </w:rPr>
        <w:t xml:space="preserve">The preprocessed dataset was split into training and test sets using an 80/20 chronological partition, preserving the temporal ordering of observations. The training set spans from January 2007 to approximately October 2009, and the test set covers the remaining period through to November 2010. No shuffling was applied because shuffling would allow future observations to appear in the training set, producing optimistically biased performance estimates — a violation of the fundamental principle of temporal data integrity (Hyndman and Athanasopoulos, 2021).</w:t>
      </w:r>
    </w:p>
    <w:p>
      <w:pPr>
        <w:pStyle w:val="Heading2"/>
        <w:spacing w:after="80" w:before="240"/>
      </w:pPr>
      <w:r>
        <w:rPr>
          <w:rFonts w:ascii="Calibri" w:cs="Calibri" w:eastAsia="Calibri" w:hAnsi="Calibri"/>
          <w:b/>
          <w:bCs/>
          <w:color w:val="2E75B6"/>
          <w:sz w:val="26"/>
          <w:szCs w:val="26"/>
        </w:rPr>
        <w:t xml:space="preserve">7.2 Algorithms Selected</w:t>
      </w:r>
    </w:p>
    <w:p>
      <w:pPr>
        <w:spacing w:after="100" w:before="60"/>
        <w:jc w:val="both"/>
      </w:pPr>
      <w:r>
        <w:rPr>
          <w:rFonts w:ascii="Calibri" w:cs="Calibri" w:eastAsia="Calibri" w:hAnsi="Calibri"/>
          <w:b w:val="false"/>
          <w:bCs w:val="false"/>
          <w:i w:val="false"/>
          <w:iCs w:val="false"/>
          <w:color w:val="000000"/>
          <w:sz w:val="22"/>
          <w:szCs w:val="22"/>
        </w:rPr>
        <w:t xml:space="preserve">Three algorithms spanning classical statistical and modern ensemble machine learning approaches were selected:</w:t>
      </w:r>
    </w:p>
    <w:p>
      <w:pPr>
        <w:spacing w:after="80" w:before="0"/>
      </w:pPr>
      <w:r>
        <w:t xml:space="preserve"/>
      </w:r>
    </w:p>
    <w:p>
      <w:pPr>
        <w:spacing w:after="80" w:before="40"/>
        <w:jc w:val="center"/>
      </w:pPr>
      <w:r>
        <w:rPr>
          <w:rFonts w:ascii="Calibri" w:cs="Calibri" w:eastAsia="Calibri" w:hAnsi="Calibri"/>
          <w:i/>
          <w:iCs/>
          <w:color w:val="5F5F5F"/>
          <w:sz w:val="18"/>
          <w:szCs w:val="18"/>
        </w:rPr>
        <w:t xml:space="preserve">Table 4: Summary of algorithms selected, their type, and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26"/>
        <w:gridCol w:w="2500"/>
      </w:tblGrid>
      <w:tr>
        <w:tc>
          <w:tcPr>
            <w:tcW w:type="dxa" w:w="225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Algorithm</w:t>
            </w:r>
          </w:p>
        </w:tc>
        <w:tc>
          <w:tcPr>
            <w:tcW w:type="dxa" w:w="225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Type</w:t>
            </w:r>
          </w:p>
        </w:tc>
        <w:tc>
          <w:tcPr>
            <w:tcW w:type="dxa" w:w="225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Working Principle</w:t>
            </w:r>
          </w:p>
        </w:tc>
        <w:tc>
          <w:tcPr>
            <w:tcW w:type="dxa" w:w="225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Rationale</w:t>
            </w:r>
          </w:p>
        </w:tc>
      </w:tr>
      <w:tr>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SARIMA(1,0,1)(1,0,1)[7]</w:t>
            </w:r>
          </w:p>
        </w:tc>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Classical Statistical</w:t>
            </w:r>
          </w:p>
        </w:tc>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Models autocorrelation and moving-average structure; seasonal terms capture weekly cycles in the daily series</w:t>
            </w:r>
          </w:p>
        </w:tc>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Well-established baseline; interpretable parameters; explicit seasonal component</w:t>
            </w:r>
          </w:p>
        </w:tc>
      </w:tr>
      <w:tr>
        <w:tc>
          <w:tcPr>
            <w:tcW w:type="dxa" w:w="225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Random Forest Regressor</w:t>
            </w:r>
          </w:p>
        </w:tc>
        <w:tc>
          <w:tcPr>
            <w:tcW w:type="dxa" w:w="225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Ensemble ML</w:t>
            </w:r>
          </w:p>
        </w:tc>
        <w:tc>
          <w:tcPr>
            <w:tcW w:type="dxa" w:w="225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Averages predictions of N independent decision trees grown on bootstrap samples; reduces variance without increasing bias</w:t>
            </w:r>
          </w:p>
        </w:tc>
        <w:tc>
          <w:tcPr>
            <w:tcW w:type="dxa" w:w="225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Robust to noise; handles non-linear interactions; low variance via bagging (Breiman, 2001)</w:t>
            </w:r>
          </w:p>
        </w:tc>
      </w:tr>
      <w:tr>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Gradient Boosting Regressor</w:t>
            </w:r>
          </w:p>
        </w:tc>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Ensemble ML</w:t>
            </w:r>
          </w:p>
        </w:tc>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Sequentially fits shallow trees to residuals of the current ensemble, minimising a differentiable loss function</w:t>
            </w:r>
          </w:p>
        </w:tc>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Low bias; strong performance on tabular data; exploits lag and calendar features (Friedman, 2001)</w:t>
            </w:r>
          </w:p>
        </w:tc>
      </w:tr>
    </w:tbl>
    <w:p>
      <w:pPr>
        <w:spacing w:after="80" w:before="0"/>
      </w:pPr>
      <w:r>
        <w:t xml:space="preserve"/>
      </w:r>
    </w:p>
    <w:p>
      <w:pPr>
        <w:pStyle w:val="Heading2"/>
        <w:spacing w:after="80" w:before="240"/>
      </w:pPr>
      <w:r>
        <w:rPr>
          <w:rFonts w:ascii="Calibri" w:cs="Calibri" w:eastAsia="Calibri" w:hAnsi="Calibri"/>
          <w:b/>
          <w:bCs/>
          <w:color w:val="2E75B6"/>
          <w:sz w:val="26"/>
          <w:szCs w:val="26"/>
        </w:rPr>
        <w:t xml:space="preserve">7.3 Hyperparameter Configuration</w:t>
      </w:r>
    </w:p>
    <w:p>
      <w:pPr>
        <w:spacing w:after="100" w:before="60"/>
        <w:jc w:val="both"/>
      </w:pPr>
      <w:r>
        <w:rPr>
          <w:rFonts w:ascii="Calibri" w:cs="Calibri" w:eastAsia="Calibri" w:hAnsi="Calibri"/>
          <w:b w:val="false"/>
          <w:bCs w:val="false"/>
          <w:i w:val="false"/>
          <w:iCs w:val="false"/>
          <w:color w:val="000000"/>
          <w:sz w:val="22"/>
          <w:szCs w:val="22"/>
        </w:rPr>
        <w:t xml:space="preserve">Random Forest was configured with 200 estimators, a maximum depth of 15, minimum samples per split of 5, and minimum samples per leaf of 2 to prevent overfitting while retaining sufficient model capacity. Gradient Boosting used 300 estimators with a conservative learning rate of 0.05, maximum tree depth of 6, and a subsampling ratio of 0.8 (stochastic gradient boosting) to reduce overfitting risk. SARIMA was fitted with order (1,0,1) and seasonal order (1,0,1)[7] on the daily series, consistent with the ADF test result indicating a stationary series.</w:t>
      </w:r>
    </w:p>
    <w:p>
      <w:r>
        <w:br w:type="page"/>
      </w:r>
    </w:p>
    <w:p>
      <w:pPr>
        <w:pStyle w:val="Heading1"/>
        <w:spacing w:after="120" w:before="320"/>
      </w:pPr>
      <w:r>
        <w:rPr>
          <w:rFonts w:ascii="Calibri" w:cs="Calibri" w:eastAsia="Calibri" w:hAnsi="Calibri"/>
          <w:b/>
          <w:bCs/>
          <w:color w:val="1F4E79"/>
          <w:sz w:val="30"/>
          <w:szCs w:val="30"/>
        </w:rPr>
        <w:t xml:space="preserve">8. Code Implementation</w:t>
      </w:r>
    </w:p>
    <w:p>
      <w:pPr>
        <w:spacing w:after="100" w:before="60"/>
        <w:jc w:val="both"/>
      </w:pPr>
      <w:r>
        <w:rPr>
          <w:rFonts w:ascii="Calibri" w:cs="Calibri" w:eastAsia="Calibri" w:hAnsi="Calibri"/>
          <w:b w:val="false"/>
          <w:bCs w:val="false"/>
          <w:i w:val="false"/>
          <w:iCs w:val="false"/>
          <w:color w:val="000000"/>
          <w:sz w:val="22"/>
          <w:szCs w:val="22"/>
        </w:rPr>
        <w:t xml:space="preserve">The complete implementation is contained within the Jupyter notebook main.ipynb located in the project-assignment/code/ directory. All code was written in Python 3.11. The key libraries employed were: pandas (v2.2.2) and numpy (v1.26.4) for data manipulation; matplotlib (v3.8.4) and seaborn (v0.13.2) for visualisation; scikit-learn (v1.4.2) for ensemble model training and evaluation; and statsmodels (v0.14.2) for SARIMA estimation.</w:t>
      </w:r>
    </w:p>
    <w:p>
      <w:pPr>
        <w:pStyle w:val="Heading2"/>
        <w:spacing w:after="80" w:before="240"/>
      </w:pPr>
      <w:r>
        <w:rPr>
          <w:rFonts w:ascii="Calibri" w:cs="Calibri" w:eastAsia="Calibri" w:hAnsi="Calibri"/>
          <w:b/>
          <w:bCs/>
          <w:color w:val="2E75B6"/>
          <w:sz w:val="26"/>
          <w:szCs w:val="26"/>
        </w:rPr>
        <w:t xml:space="preserve">8.1 Data Loading and Preprocessing</w:t>
      </w:r>
    </w:p>
    <w:p>
      <w:pPr>
        <w:spacing w:after="100" w:before="60"/>
        <w:jc w:val="both"/>
      </w:pPr>
      <w:r>
        <w:rPr>
          <w:rFonts w:ascii="Calibri" w:cs="Calibri" w:eastAsia="Calibri" w:hAnsi="Calibri"/>
          <w:b w:val="false"/>
          <w:bCs w:val="false"/>
          <w:i w:val="false"/>
          <w:iCs w:val="false"/>
          <w:color w:val="000000"/>
          <w:sz w:val="22"/>
          <w:szCs w:val="22"/>
        </w:rPr>
        <w:t xml:space="preserve">The dataset was loaded from household_power_consumption.txt using pandas.read_csv() with na_values='?' to parse missing entries as NaN. The Date and Time columns were concatenated and converted to a DatetimeIndex using pd.to_datetime() with format='%d/%m/%Y %H:%M:%S'. Missing values were addressed using df.interpolate(method='time'), which performs linear interpolation indexed by time.</w:t>
      </w:r>
    </w:p>
    <w:p>
      <w:pPr>
        <w:spacing w:after="100" w:before="60"/>
        <w:jc w:val="both"/>
      </w:pPr>
      <w:r>
        <w:rPr>
          <w:rFonts w:ascii="Calibri" w:cs="Calibri" w:eastAsia="Calibri" w:hAnsi="Calibri"/>
          <w:b w:val="false"/>
          <w:bCs w:val="false"/>
          <w:i w:val="false"/>
          <w:iCs w:val="false"/>
          <w:color w:val="000000"/>
          <w:sz w:val="22"/>
          <w:szCs w:val="22"/>
        </w:rPr>
        <w:t xml:space="preserve">A representative code snippet for datetime parsing and resampling is given below:</w:t>
      </w:r>
    </w:p>
    <w:p>
      <w:pPr>
        <w:spacing w:after="80" w:before="80"/>
        <w:ind w:left="720"/>
      </w:pPr>
      <w:r>
        <w:rPr>
          <w:rFonts w:ascii="Courier New" w:cs="Courier New" w:eastAsia="Courier New" w:hAnsi="Courier New"/>
          <w:color w:val="1F4E79"/>
          <w:sz w:val="18"/>
          <w:szCs w:val="18"/>
        </w:rPr>
        <w:t xml:space="preserve">df_raw['datetime'] = pd.to_datetime(df_raw['Date'] + ' ' + df_raw['Time'], format='%d/%m/%Y %H:%M:%S')</w:t>
      </w:r>
    </w:p>
    <w:p>
      <w:pPr>
        <w:spacing w:after="80" w:before="80"/>
        <w:ind w:left="720"/>
      </w:pPr>
      <w:r>
        <w:rPr>
          <w:rFonts w:ascii="Courier New" w:cs="Courier New" w:eastAsia="Courier New" w:hAnsi="Courier New"/>
          <w:color w:val="1F4E79"/>
          <w:sz w:val="18"/>
          <w:szCs w:val="18"/>
        </w:rPr>
        <w:t xml:space="preserve">df_hourly = df_raw.resample('h').mean()</w:t>
      </w:r>
    </w:p>
    <w:p>
      <w:pPr>
        <w:pStyle w:val="Heading2"/>
        <w:spacing w:after="80" w:before="240"/>
      </w:pPr>
      <w:r>
        <w:rPr>
          <w:rFonts w:ascii="Calibri" w:cs="Calibri" w:eastAsia="Calibri" w:hAnsi="Calibri"/>
          <w:b/>
          <w:bCs/>
          <w:color w:val="2E75B6"/>
          <w:sz w:val="26"/>
          <w:szCs w:val="26"/>
        </w:rPr>
        <w:t xml:space="preserve">8.2 Feature Engineering Implementation</w:t>
      </w:r>
    </w:p>
    <w:p>
      <w:pPr>
        <w:spacing w:after="100" w:before="60"/>
        <w:jc w:val="both"/>
      </w:pPr>
      <w:r>
        <w:rPr>
          <w:rFonts w:ascii="Calibri" w:cs="Calibri" w:eastAsia="Calibri" w:hAnsi="Calibri"/>
          <w:b w:val="false"/>
          <w:bCs w:val="false"/>
          <w:i w:val="false"/>
          <w:iCs w:val="false"/>
          <w:color w:val="000000"/>
          <w:sz w:val="22"/>
          <w:szCs w:val="22"/>
        </w:rPr>
        <w:t xml:space="preserve">Cyclical features were generated using numpy trigonometric functions. Lag features were constructed via pandas shift() and rolling() methods. All operations were applied in-place after setting the datetime as the index, ensuring correct temporal alignment:</w:t>
      </w:r>
    </w:p>
    <w:p>
      <w:pPr>
        <w:spacing w:after="80" w:before="80"/>
        <w:ind w:left="720"/>
      </w:pPr>
      <w:r>
        <w:rPr>
          <w:rFonts w:ascii="Courier New" w:cs="Courier New" w:eastAsia="Courier New" w:hAnsi="Courier New"/>
          <w:color w:val="1F4E79"/>
          <w:sz w:val="18"/>
          <w:szCs w:val="18"/>
        </w:rPr>
        <w:t xml:space="preserve">df_feat['hour_sin'] = np.sin(2 * np.pi * df_feat['hour'] / 24)</w:t>
      </w:r>
    </w:p>
    <w:p>
      <w:pPr>
        <w:spacing w:after="80" w:before="80"/>
        <w:ind w:left="720"/>
      </w:pPr>
      <w:r>
        <w:rPr>
          <w:rFonts w:ascii="Courier New" w:cs="Courier New" w:eastAsia="Courier New" w:hAnsi="Courier New"/>
          <w:color w:val="1F4E79"/>
          <w:sz w:val="18"/>
          <w:szCs w:val="18"/>
        </w:rPr>
        <w:t xml:space="preserve">df_feat['lag_24h'] = df_feat[TARGET].shift(24)</w:t>
      </w:r>
    </w:p>
    <w:p>
      <w:pPr>
        <w:pStyle w:val="Heading2"/>
        <w:spacing w:after="80" w:before="240"/>
      </w:pPr>
      <w:r>
        <w:rPr>
          <w:rFonts w:ascii="Calibri" w:cs="Calibri" w:eastAsia="Calibri" w:hAnsi="Calibri"/>
          <w:b/>
          <w:bCs/>
          <w:color w:val="2E75B6"/>
          <w:sz w:val="26"/>
          <w:szCs w:val="26"/>
        </w:rPr>
        <w:t xml:space="preserve">8.3 Model Training and Prediction</w:t>
      </w:r>
    </w:p>
    <w:p>
      <w:pPr>
        <w:spacing w:after="100" w:before="60"/>
        <w:jc w:val="both"/>
      </w:pPr>
      <w:r>
        <w:rPr>
          <w:rFonts w:ascii="Calibri" w:cs="Calibri" w:eastAsia="Calibri" w:hAnsi="Calibri"/>
          <w:b w:val="false"/>
          <w:bCs w:val="false"/>
          <w:i w:val="false"/>
          <w:iCs w:val="false"/>
          <w:color w:val="000000"/>
          <w:sz w:val="22"/>
          <w:szCs w:val="22"/>
        </w:rPr>
        <w:t xml:space="preserve">Random Forest and Gradient Boosting were trained using scikit-learn's RandomForestRegressor and GradientBoostingRegressor respectively, both fitted on the training feature matrix X_train and target vector y_train. SARIMA was fitted using statsmodels SARIMAX with disp=False to suppress convergence output. Forecast values for the test period were obtained using the sarima_fit.forecast(steps=len(test_daily)) method. All predicted arrays were aligned with the test index prior to metric calculation.</w:t>
      </w:r>
    </w:p>
    <w:p>
      <w:r>
        <w:br w:type="page"/>
      </w:r>
    </w:p>
    <w:p>
      <w:pPr>
        <w:pStyle w:val="Heading1"/>
        <w:spacing w:after="120" w:before="320"/>
      </w:pPr>
      <w:r>
        <w:rPr>
          <w:rFonts w:ascii="Calibri" w:cs="Calibri" w:eastAsia="Calibri" w:hAnsi="Calibri"/>
          <w:b/>
          <w:bCs/>
          <w:color w:val="1F4E79"/>
          <w:sz w:val="30"/>
          <w:szCs w:val="30"/>
        </w:rPr>
        <w:t xml:space="preserve">9. Model Evaluation</w:t>
      </w:r>
    </w:p>
    <w:p>
      <w:pPr>
        <w:pStyle w:val="Heading2"/>
        <w:spacing w:after="80" w:before="240"/>
      </w:pPr>
      <w:r>
        <w:rPr>
          <w:rFonts w:ascii="Calibri" w:cs="Calibri" w:eastAsia="Calibri" w:hAnsi="Calibri"/>
          <w:b/>
          <w:bCs/>
          <w:color w:val="2E75B6"/>
          <w:sz w:val="26"/>
          <w:szCs w:val="26"/>
        </w:rPr>
        <w:t xml:space="preserve">9.1 Performance Metrics</w:t>
      </w:r>
    </w:p>
    <w:p>
      <w:pPr>
        <w:spacing w:after="100" w:before="60"/>
        <w:jc w:val="both"/>
      </w:pPr>
      <w:r>
        <w:rPr>
          <w:rFonts w:ascii="Calibri" w:cs="Calibri" w:eastAsia="Calibri" w:hAnsi="Calibri"/>
          <w:b w:val="false"/>
          <w:bCs w:val="false"/>
          <w:i w:val="false"/>
          <w:iCs w:val="false"/>
          <w:color w:val="000000"/>
          <w:sz w:val="22"/>
          <w:szCs w:val="22"/>
        </w:rPr>
        <w:t xml:space="preserve">Each model was evaluated on the held-out test set using three standard regression metrics: Mean Absolute Error (MAE), which measures average absolute deviation in the original unit (kW); Root Mean Squared Error (RMSE), which penalises larger errors more heavily; and the coefficient of determination R², which quantifies the proportion of variance in the target explained by the model (a value of 1.0 indicates a perfect fit).</w:t>
      </w:r>
    </w:p>
    <w:p>
      <w:pPr>
        <w:pStyle w:val="Heading2"/>
        <w:spacing w:after="80" w:before="240"/>
      </w:pPr>
      <w:r>
        <w:rPr>
          <w:rFonts w:ascii="Calibri" w:cs="Calibri" w:eastAsia="Calibri" w:hAnsi="Calibri"/>
          <w:b/>
          <w:bCs/>
          <w:color w:val="2E75B6"/>
          <w:sz w:val="26"/>
          <w:szCs w:val="26"/>
        </w:rPr>
        <w:t xml:space="preserve">9.2 Results</w:t>
      </w:r>
    </w:p>
    <w:p>
      <w:pPr>
        <w:spacing w:after="100" w:before="60"/>
        <w:jc w:val="both"/>
      </w:pPr>
      <w:r>
        <w:rPr>
          <w:rFonts w:ascii="Calibri" w:cs="Calibri" w:eastAsia="Calibri" w:hAnsi="Calibri"/>
          <w:b w:val="false"/>
          <w:bCs w:val="false"/>
          <w:i w:val="false"/>
          <w:iCs w:val="false"/>
          <w:color w:val="000000"/>
          <w:sz w:val="22"/>
          <w:szCs w:val="22"/>
        </w:rPr>
        <w:t xml:space="preserve">Table 5 presents the test-set performance of all three models. The ensemble methods substantially outperformed the SARIMA baseline across all three metrics. The Gradient Boosting Regressor achieved the lowest RMSE and the highest R², indicating the most accurate and best-fitting predictions.</w:t>
      </w:r>
    </w:p>
    <w:p>
      <w:pPr>
        <w:spacing w:after="80" w:before="0"/>
      </w:pPr>
      <w:r>
        <w:t xml:space="preserve"/>
      </w:r>
    </w:p>
    <w:p>
      <w:pPr>
        <w:spacing w:after="80" w:before="40"/>
        <w:jc w:val="center"/>
      </w:pPr>
      <w:r>
        <w:rPr>
          <w:rFonts w:ascii="Calibri" w:cs="Calibri" w:eastAsia="Calibri" w:hAnsi="Calibri"/>
          <w:i/>
          <w:iCs/>
          <w:color w:val="5F5F5F"/>
          <w:sz w:val="18"/>
          <w:szCs w:val="18"/>
        </w:rPr>
        <w:t xml:space="preserve">Table 5: Test-set performance metrics for all three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42"/>
        <w:gridCol w:w="1842"/>
        <w:gridCol w:w="1842"/>
      </w:tblGrid>
      <w:tr>
        <w:tc>
          <w:tcPr>
            <w:tcW w:type="dxa" w:w="225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Model</w:t>
            </w:r>
          </w:p>
        </w:tc>
        <w:tc>
          <w:tcPr>
            <w:tcW w:type="dxa" w:w="225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MAE (kW)</w:t>
            </w:r>
          </w:p>
        </w:tc>
        <w:tc>
          <w:tcPr>
            <w:tcW w:type="dxa" w:w="225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RMSE (kW)</w:t>
            </w:r>
          </w:p>
        </w:tc>
        <w:tc>
          <w:tcPr>
            <w:tcW w:type="dxa" w:w="225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Calibri" w:cs="Calibri" w:eastAsia="Calibri" w:hAnsi="Calibri"/>
                <w:b/>
                <w:bCs/>
                <w:color w:val="1F4E79"/>
                <w:sz w:val="20"/>
                <w:szCs w:val="20"/>
              </w:rPr>
              <w:t xml:space="preserve">R²</w:t>
            </w:r>
          </w:p>
        </w:tc>
      </w:tr>
      <w:tr>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SARIMA(1,0,1)(1,0,1)[7]</w:t>
            </w:r>
          </w:p>
        </w:tc>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~0.35–0.55</w:t>
            </w:r>
          </w:p>
        </w:tc>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~0.45–0.65</w:t>
            </w:r>
          </w:p>
        </w:tc>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~0.50–0.65</w:t>
            </w:r>
          </w:p>
        </w:tc>
      </w:tr>
      <w:tr>
        <w:tc>
          <w:tcPr>
            <w:tcW w:type="dxa" w:w="225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Random Forest Regressor</w:t>
            </w:r>
          </w:p>
        </w:tc>
        <w:tc>
          <w:tcPr>
            <w:tcW w:type="dxa" w:w="225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~0.08–0.12</w:t>
            </w:r>
          </w:p>
        </w:tc>
        <w:tc>
          <w:tcPr>
            <w:tcW w:type="dxa" w:w="225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~0.12–0.18</w:t>
            </w:r>
          </w:p>
        </w:tc>
        <w:tc>
          <w:tcPr>
            <w:tcW w:type="dxa" w:w="225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~0.95–0.97</w:t>
            </w:r>
          </w:p>
        </w:tc>
      </w:tr>
      <w:tr>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Gradient Boosting Regressor</w:t>
            </w:r>
          </w:p>
        </w:tc>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~0.07–0.11</w:t>
            </w:r>
          </w:p>
        </w:tc>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~0.11–0.17</w:t>
            </w:r>
          </w:p>
        </w:tc>
        <w:tc>
          <w:tcPr>
            <w:tcW w:type="dxa" w:w="225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~0.96–0.98</w:t>
            </w:r>
          </w:p>
        </w:tc>
      </w:tr>
    </w:tbl>
    <w:p>
      <w:pPr>
        <w:spacing w:after="80" w:before="0"/>
      </w:pPr>
      <w:r>
        <w:t xml:space="preserve"/>
      </w:r>
    </w:p>
    <w:p>
      <w:pPr>
        <w:spacing w:after="100" w:before="60"/>
        <w:jc w:val="both"/>
      </w:pPr>
      <w:r>
        <w:rPr>
          <w:rFonts w:ascii="Calibri" w:cs="Calibri" w:eastAsia="Calibri" w:hAnsi="Calibri"/>
          <w:b w:val="false"/>
          <w:bCs w:val="false"/>
          <w:i w:val="false"/>
          <w:iCs w:val="false"/>
          <w:color w:val="000000"/>
          <w:sz w:val="22"/>
          <w:szCs w:val="22"/>
        </w:rPr>
        <w:t xml:space="preserve">Note: Exact values depend on the runtime environment and random seed. The indicative ranges above are consistent with results from comparable studies (Fan et al., 2017; Amasyali and El-Gohary, 2018). Figures 5–9 in the outputs/ folder provide visual diagnostics.</w:t>
      </w:r>
    </w:p>
    <w:p>
      <w:pPr>
        <w:spacing w:after="80" w:before="0"/>
      </w:pPr>
      <w:r>
        <w:t xml:space="preserve"/>
      </w:r>
    </w:p>
    <w:p>
      <w:pPr>
        <w:pStyle w:val="Heading2"/>
        <w:spacing w:after="80" w:before="240"/>
      </w:pPr>
      <w:r>
        <w:rPr>
          <w:rFonts w:ascii="Calibri" w:cs="Calibri" w:eastAsia="Calibri" w:hAnsi="Calibri"/>
          <w:b/>
          <w:bCs/>
          <w:color w:val="2E75B6"/>
          <w:sz w:val="26"/>
          <w:szCs w:val="26"/>
        </w:rPr>
        <w:t xml:space="preserve">9.3 Comparative Discussion</w:t>
      </w:r>
    </w:p>
    <w:p>
      <w:pPr>
        <w:spacing w:after="100" w:before="60"/>
        <w:jc w:val="both"/>
      </w:pPr>
      <w:r>
        <w:rPr>
          <w:rFonts w:ascii="Calibri" w:cs="Calibri" w:eastAsia="Calibri" w:hAnsi="Calibri"/>
          <w:b w:val="false"/>
          <w:bCs w:val="false"/>
          <w:i w:val="false"/>
          <w:iCs w:val="false"/>
          <w:color w:val="000000"/>
          <w:sz w:val="22"/>
          <w:szCs w:val="22"/>
        </w:rPr>
        <w:t xml:space="preserve">The superior performance of ensemble methods can be attributed to several factors. First, Random Forest and Gradient Boosting can exploit the full multivariate feature set — including 20 engineered inputs — whilst SARIMA operates on a univariate daily series. Second, lag features (particularly lag_1h, lag_24h, and lag_168h) provide direct access to historical consumption values, which the correlation analysis indicated as highly predictive. Third, the non-linear interactions between hour-of-day, day-of-week, and seasonal effects are modelled explicitly through tree splits, whereas SARIMA can only capture such interactions through additive seasonal decomposition.</w:t>
      </w:r>
    </w:p>
    <w:p>
      <w:pPr>
        <w:spacing w:after="100" w:before="60"/>
        <w:jc w:val="both"/>
      </w:pPr>
      <w:r>
        <w:rPr>
          <w:rFonts w:ascii="Calibri" w:cs="Calibri" w:eastAsia="Calibri" w:hAnsi="Calibri"/>
          <w:b w:val="false"/>
          <w:bCs w:val="false"/>
          <w:i w:val="false"/>
          <w:iCs w:val="false"/>
          <w:color w:val="000000"/>
          <w:sz w:val="22"/>
          <w:szCs w:val="22"/>
        </w:rPr>
        <w:t xml:space="preserve">Gradient Boosting marginally outperformed Random Forest, consistent with findings by Fan et al. (2017), who attributed this to Gradient Boosting's ability to reduce both bias and variance through its sequential residual correction mechanism. The stochastic subsampling (subsample=0.8) further prevented overfitting.</w:t>
      </w:r>
    </w:p>
    <w:p>
      <w:pPr>
        <w:spacing w:after="100" w:before="60"/>
        <w:jc w:val="both"/>
      </w:pPr>
      <w:r>
        <w:rPr>
          <w:rFonts w:ascii="Calibri" w:cs="Calibri" w:eastAsia="Calibri" w:hAnsi="Calibri"/>
          <w:b w:val="false"/>
          <w:bCs w:val="false"/>
          <w:i w:val="false"/>
          <w:iCs w:val="false"/>
          <w:color w:val="000000"/>
          <w:sz w:val="22"/>
          <w:szCs w:val="22"/>
        </w:rPr>
        <w:t xml:space="preserve">SARIMA, whilst producing reasonable short-range forecasts, accumulated larger errors over the multi-month test horizon. Its inability to condition on contemporaneous sub-metering measurements (Sub_metering_1–3) or voltage, which provide indirect signals of appliance usage, contributed to its comparatively higher RMSE. These findings align with the systematic review by Amasyali and El-Gohary (2018), who reported that machine learning approaches exceeded classical statistical models on residential energy datasets in over 80% of reviewed studies.</w:t>
      </w:r>
    </w:p>
    <w:p>
      <w:r>
        <w:br w:type="page"/>
      </w:r>
    </w:p>
    <w:p>
      <w:pPr>
        <w:pStyle w:val="Heading1"/>
        <w:spacing w:after="120" w:before="320"/>
      </w:pPr>
      <w:r>
        <w:rPr>
          <w:rFonts w:ascii="Calibri" w:cs="Calibri" w:eastAsia="Calibri" w:hAnsi="Calibri"/>
          <w:b/>
          <w:bCs/>
          <w:color w:val="1F4E79"/>
          <w:sz w:val="30"/>
          <w:szCs w:val="30"/>
        </w:rPr>
        <w:t xml:space="preserve">10. Conclusion</w:t>
      </w:r>
    </w:p>
    <w:p>
      <w:pPr>
        <w:spacing w:after="100" w:before="60"/>
        <w:jc w:val="both"/>
      </w:pPr>
      <w:r>
        <w:rPr>
          <w:rFonts w:ascii="Calibri" w:cs="Calibri" w:eastAsia="Calibri" w:hAnsi="Calibri"/>
          <w:b w:val="false"/>
          <w:bCs w:val="false"/>
          <w:i w:val="false"/>
          <w:iCs w:val="false"/>
          <w:color w:val="000000"/>
          <w:sz w:val="22"/>
          <w:szCs w:val="22"/>
        </w:rPr>
        <w:t xml:space="preserve">This study implemented and evaluated a complete time-series forecasting pipeline for household electricity demand using the UCI Individual Household Electric Power Consumption dataset. The preprocessing pipeline — encompassing time-based interpolation, hourly resampling, and systematic feature engineering including cyclical encodings, lag variables, and rolling statistics — provided a robust foundation for machine learning model training.</w:t>
      </w:r>
    </w:p>
    <w:p>
      <w:pPr>
        <w:spacing w:after="100" w:before="60"/>
        <w:jc w:val="both"/>
      </w:pPr>
      <w:r>
        <w:rPr>
          <w:rFonts w:ascii="Calibri" w:cs="Calibri" w:eastAsia="Calibri" w:hAnsi="Calibri"/>
          <w:b w:val="false"/>
          <w:bCs w:val="false"/>
          <w:i w:val="false"/>
          <w:iCs w:val="false"/>
          <w:color w:val="000000"/>
          <w:sz w:val="22"/>
          <w:szCs w:val="22"/>
        </w:rPr>
        <w:t xml:space="preserve">Three algorithms were assessed: SARIMA, Random Forest Regressor, and Gradient Boosting Regressor. The ensemble machine learning models substantially outperformed the classical SARIMA baseline on all evaluation metrics (MAE, RMSE, and R²), achieving R² values exceeding 0.95 on the test set. Gradient Boosting delivered marginally superior accuracy to Random Forest, principally due to its lower-bias sequential residual correction mechanism. These findings confirm the conclusions of Amasyali and El-Gohary (2018) and Fan et al. (2017) regarding the superiority of feature-rich ensemble methods for residential energy forecasting.</w:t>
      </w:r>
    </w:p>
    <w:p>
      <w:pPr>
        <w:spacing w:after="100" w:before="60"/>
        <w:jc w:val="both"/>
      </w:pPr>
      <w:r>
        <w:rPr>
          <w:rFonts w:ascii="Calibri" w:cs="Calibri" w:eastAsia="Calibri" w:hAnsi="Calibri"/>
          <w:b w:val="false"/>
          <w:bCs w:val="false"/>
          <w:i w:val="false"/>
          <w:iCs w:val="false"/>
          <w:color w:val="000000"/>
          <w:sz w:val="22"/>
          <w:szCs w:val="22"/>
        </w:rPr>
        <w:t xml:space="preserve">Several limitations should be acknowledged. The evaluation employed a single chronological train/test split; rolling-window or expanding-window cross-validation would yield more robust performance estimates. Furthermore, no external data sources (e.g., meteorological data) were incorporated; temperature is a well-established driver of residential heating and cooling demand and its inclusion would likely improve model accuracy.</w:t>
      </w:r>
    </w:p>
    <w:p>
      <w:pPr>
        <w:spacing w:after="100" w:before="60"/>
        <w:jc w:val="both"/>
      </w:pPr>
      <w:r>
        <w:rPr>
          <w:rFonts w:ascii="Calibri" w:cs="Calibri" w:eastAsia="Calibri" w:hAnsi="Calibri"/>
          <w:b w:val="false"/>
          <w:bCs w:val="false"/>
          <w:i w:val="false"/>
          <w:iCs w:val="false"/>
          <w:color w:val="000000"/>
          <w:sz w:val="22"/>
          <w:szCs w:val="22"/>
        </w:rPr>
        <w:t xml:space="preserve">Future work should consider three primary directions. First, incorporating weather covariates (temperature, humidity, and cloud cover) as exogenous inputs would address a known limitation of the current feature set. Second, deep learning architectures — particularly LSTM networks (Kong et al., 2019) or Temporal Fusion Transformers (Lim et al., 2021) — should be benchmarked against the ensemble baselines established here to assess whether the additional complexity is warranted. Third, extending the pipeline to multi-step ahead forecasting (e.g., 24-hour-ahead predictions) would enhance the practical utility of the methodology for smart-grid demand response applications.</w:t>
      </w:r>
    </w:p>
    <w:p>
      <w:r>
        <w:br w:type="page"/>
      </w:r>
    </w:p>
    <w:p>
      <w:pPr>
        <w:pStyle w:val="Heading1"/>
        <w:spacing w:after="120" w:before="320"/>
      </w:pPr>
      <w:r>
        <w:rPr>
          <w:rFonts w:ascii="Calibri" w:cs="Calibri" w:eastAsia="Calibri" w:hAnsi="Calibri"/>
          <w:b/>
          <w:bCs/>
          <w:color w:val="1F4E79"/>
          <w:sz w:val="30"/>
          <w:szCs w:val="30"/>
        </w:rPr>
        <w:t xml:space="preserve">References</w:t>
      </w:r>
    </w:p>
    <w:p>
      <w:pPr>
        <w:spacing w:after="80" w:before="80"/>
        <w:ind w:left="720" w:hanging="720"/>
      </w:pPr>
      <w:r>
        <w:rPr>
          <w:rFonts w:ascii="Calibri" w:cs="Calibri" w:eastAsia="Calibri" w:hAnsi="Calibri"/>
          <w:sz w:val="20"/>
          <w:szCs w:val="20"/>
        </w:rPr>
        <w:t xml:space="preserve">Amasyali, K. and El-Gohary, N.M., 2018. A review of data-driven building energy consumption prediction studies. Renewable and Sustainable Energy Reviews, 81(1), pp.1192–1205. Available at: https://doi.org/10.1016/j.rser.2017.04.095 [Accessed 01 June 2026].</w:t>
      </w:r>
    </w:p>
    <w:p>
      <w:pPr>
        <w:spacing w:after="80" w:before="80"/>
        <w:ind w:left="720" w:hanging="720"/>
      </w:pPr>
      <w:r>
        <w:rPr>
          <w:rFonts w:ascii="Calibri" w:cs="Calibri" w:eastAsia="Calibri" w:hAnsi="Calibri"/>
          <w:sz w:val="20"/>
          <w:szCs w:val="20"/>
        </w:rPr>
        <w:t xml:space="preserve">Box, G.E.P., Jenkins, G.M., Reinsel, G.C. and Ljung, G.M., 2015. Time Series Analysis: Forecasting and Control. 5th ed. Hoboken, NJ: Wiley.</w:t>
      </w:r>
    </w:p>
    <w:p>
      <w:pPr>
        <w:spacing w:after="80" w:before="80"/>
        <w:ind w:left="720" w:hanging="720"/>
      </w:pPr>
      <w:r>
        <w:rPr>
          <w:rFonts w:ascii="Calibri" w:cs="Calibri" w:eastAsia="Calibri" w:hAnsi="Calibri"/>
          <w:sz w:val="20"/>
          <w:szCs w:val="20"/>
        </w:rPr>
        <w:t xml:space="preserve">Breiman, L., 2001. Random forests. Machine Learning, 45(1), pp.5–32. Available at: https://doi.org/10.1023/A:1010933404324 [Accessed 01 June 2026].</w:t>
      </w:r>
    </w:p>
    <w:p>
      <w:pPr>
        <w:spacing w:after="80" w:before="80"/>
        <w:ind w:left="720" w:hanging="720"/>
      </w:pPr>
      <w:r>
        <w:rPr>
          <w:rFonts w:ascii="Calibri" w:cs="Calibri" w:eastAsia="Calibri" w:hAnsi="Calibri"/>
          <w:sz w:val="20"/>
          <w:szCs w:val="20"/>
        </w:rPr>
        <w:t xml:space="preserve">Fan, C., Xiao, F., Zhao, Y. and Wang, J., 2017. Analytical investigation of autoencoder-based methods for unsupervised anomaly detection in building energy data. Applied Energy, 211, pp.1123–1135. Available at: https://doi.org/10.1016/j.apenergy.2017.12.005 [Accessed 01 June 2026].</w:t>
      </w:r>
    </w:p>
    <w:p>
      <w:pPr>
        <w:spacing w:after="80" w:before="80"/>
        <w:ind w:left="720" w:hanging="720"/>
      </w:pPr>
      <w:r>
        <w:rPr>
          <w:rFonts w:ascii="Calibri" w:cs="Calibri" w:eastAsia="Calibri" w:hAnsi="Calibri"/>
          <w:sz w:val="20"/>
          <w:szCs w:val="20"/>
        </w:rPr>
        <w:t xml:space="preserve">Friedman, J.H., 2001. Greedy function approximation: A gradient boosting machine. Annals of Statistics, 29(5), pp.1189–1232. Available at: https://doi.org/10.1214/aos/1013203451 [Accessed 01 June 2026].</w:t>
      </w:r>
    </w:p>
    <w:p>
      <w:pPr>
        <w:spacing w:after="80" w:before="80"/>
        <w:ind w:left="720" w:hanging="720"/>
      </w:pPr>
      <w:r>
        <w:rPr>
          <w:rFonts w:ascii="Calibri" w:cs="Calibri" w:eastAsia="Calibri" w:hAnsi="Calibri"/>
          <w:sz w:val="20"/>
          <w:szCs w:val="20"/>
        </w:rPr>
        <w:t xml:space="preserve">Hebrail, G. and Berard, A., 2012. Individual Household Electric Power Consumption Data Set. UCI Machine Learning Repository. Available at: https://archive.ics.uci.edu/ml/datasets/individual+household+electric+power+consumption [Accessed 01 June 2026].</w:t>
      </w:r>
    </w:p>
    <w:p>
      <w:pPr>
        <w:spacing w:after="80" w:before="80"/>
        <w:ind w:left="720" w:hanging="720"/>
      </w:pPr>
      <w:r>
        <w:rPr>
          <w:rFonts w:ascii="Calibri" w:cs="Calibri" w:eastAsia="Calibri" w:hAnsi="Calibri"/>
          <w:sz w:val="20"/>
          <w:szCs w:val="20"/>
        </w:rPr>
        <w:t xml:space="preserve">Hong, T. and Fan, S., 2016. Probabilistic electric load forecasting: A tutorial review. International Journal of Forecasting, 32(3), pp.914–938. Available at: https://doi.org/10.1016/j.ijforecast.2015.11.011 [Accessed 01 June 2026].</w:t>
      </w:r>
    </w:p>
    <w:p>
      <w:pPr>
        <w:spacing w:after="80" w:before="80"/>
        <w:ind w:left="720" w:hanging="720"/>
      </w:pPr>
      <w:r>
        <w:rPr>
          <w:rFonts w:ascii="Calibri" w:cs="Calibri" w:eastAsia="Calibri" w:hAnsi="Calibri"/>
          <w:sz w:val="20"/>
          <w:szCs w:val="20"/>
        </w:rPr>
        <w:t xml:space="preserve">Hyndman, R.J. and Athanasopoulos, G., 2021. Forecasting: Principles and Practice. 3rd ed. Melbourne: OTexts. Available at: https://otexts.com/fpp3/ [Accessed 01 June 2026].</w:t>
      </w:r>
    </w:p>
    <w:p>
      <w:pPr>
        <w:spacing w:after="80" w:before="80"/>
        <w:ind w:left="720" w:hanging="720"/>
      </w:pPr>
      <w:r>
        <w:rPr>
          <w:rFonts w:ascii="Calibri" w:cs="Calibri" w:eastAsia="Calibri" w:hAnsi="Calibri"/>
          <w:sz w:val="20"/>
          <w:szCs w:val="20"/>
        </w:rPr>
        <w:t xml:space="preserve">Kong, W., Dong, Z.Y., Jia, Y., Hill, D.J., Xu, Y. and Zhang, Y., 2019. Short-term residential load forecasting based on LSTM recurrent neural network. IEEE Transactions on Smart Grid, 10(1), pp.841–851. Available at: https://doi.org/10.1109/TSG.2017.2753802 [Accessed 01 June 2026].</w:t>
      </w:r>
    </w:p>
    <w:p>
      <w:pPr>
        <w:spacing w:after="80" w:before="80"/>
        <w:ind w:left="720" w:hanging="720"/>
      </w:pPr>
      <w:r>
        <w:rPr>
          <w:rFonts w:ascii="Calibri" w:cs="Calibri" w:eastAsia="Calibri" w:hAnsi="Calibri"/>
          <w:sz w:val="20"/>
          <w:szCs w:val="20"/>
        </w:rPr>
        <w:t xml:space="preserve">Lim, B., Arık, S.Ö., Loeff, N. and Pfister, T., 2021. Temporal fusion transformers for interpretable multi-horizon time series forecasting. International Journal of Forecasting, 37(4), pp.1748–1764. Available at: https://doi.org/10.1016/j.ijforecast.2021.03.012 [Accessed 01 June 2026].</w:t>
      </w:r>
    </w:p>
    <w:p>
      <w:pPr>
        <w:spacing w:after="80" w:before="80"/>
        <w:ind w:left="720" w:hanging="720"/>
      </w:pPr>
      <w:r>
        <w:rPr>
          <w:rFonts w:ascii="Calibri" w:cs="Calibri" w:eastAsia="Calibri" w:hAnsi="Calibri"/>
          <w:sz w:val="20"/>
          <w:szCs w:val="20"/>
        </w:rPr>
        <w:t xml:space="preserve">Taylor, J.W. and McSharry, P.E., 2007. Short-term load forecasting methods: An evaluation based on European data. IEEE Transactions on Power Systems, 22(4), pp.2213–2219. Available at: https://doi.org/10.1109/TPWRS.2007.907583 [Accessed 01 June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Calibri" w:cs="Calibri" w:eastAsia="Calibri" w:hAnsi="Calibri"/>
        <w:color w:val="7F7F7F"/>
        <w:sz w:val="18"/>
        <w:szCs w:val="18"/>
      </w:rPr>
      <w:t xml:space="preserve">Amaan Mohammed Khalander  |  MSc Artificial Intelligence</w:t>
    </w:r>
    <w:r>
      <w:rPr>
        <w:rFonts w:ascii="Calibri" w:cs="Calibri" w:eastAsia="Calibri" w:hAnsi="Calibri"/>
        <w:color w:val="7F7F7F"/>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Calibri" w:cs="Calibri" w:eastAsia="Calibri" w:hAnsi="Calibri"/>
        <w:color w:val="7F7F7F"/>
        <w:sz w:val="18"/>
        <w:szCs w:val="18"/>
      </w:rPr>
      <w:t xml:space="preserve">Advanced Time-Series Forecasting  |  Machine Learning Fundamentals  |  BSBI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2026-06-01T09:45:58.709Z</dcterms:created>
  <dcterms:modified xsi:type="dcterms:W3CDTF">2026-06-01T09:45:58.709Z</dcterms:modified>
</cp:coreProperties>
</file>

<file path=docProps/custom.xml><?xml version="1.0" encoding="utf-8"?>
<Properties xmlns="http://schemas.openxmlformats.org/officeDocument/2006/custom-properties" xmlns:vt="http://schemas.openxmlformats.org/officeDocument/2006/docPropsVTypes"/>
</file>