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F7F7F"/>
          <w:sz w:val="18"/>
          <w:szCs w:val="18"/>
        </w:rPr>
        <w:t xml:space="preserve">VOLTKART ELECTRONICS LTD. (FICTIONAL ORGANIZATION)</w:t>
      </w:r>
    </w:p>
    <w:p>
      <w:pPr>
        <w:pStyle w:val="Title"/>
      </w:pPr>
      <w:r>
        <w:t xml:space="preserve">Billing Policy</w:t>
      </w:r>
    </w:p>
    <w:p>
      <w:pPr>
        <w:spacing w:after="160"/>
      </w:pPr>
      <w:r>
        <w:rPr>
          <w:i/>
          <w:iCs/>
          <w:color w:val="595959"/>
        </w:rPr>
        <w:t xml:space="preserve">Charge verification, duplicate and incorrect charges, failed refunds and disputes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BIL-POL-01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 (Active)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August 2027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Department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Department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BIL-POL-01 v1.3 (Superseded)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pStyle w:val="Heading2"/>
      </w:pPr>
      <w:r>
        <w:t xml:space="preserve">1.1  Purpose</w:t>
      </w:r>
    </w:p>
    <w:p>
      <w:pPr>
        <w:spacing w:after="100"/>
      </w:pPr>
      <w:r>
        <w:t xml:space="preserve">This policy explains how VoltKart Electronics Ltd. ("VoltKart") verifies and corrects customer charges, traces missing refunds and handles payment disputes.</w:t>
      </w:r>
    </w:p>
    <w:p>
      <w:pPr>
        <w:pStyle w:val="Heading2"/>
      </w:pPr>
      <w:r>
        <w:t xml:space="preserve">1.2  Scope</w:t>
      </w:r>
    </w:p>
    <w:p>
      <w:pPr>
        <w:spacing w:after="100"/>
      </w:pPr>
      <w:r>
        <w:t xml:space="preserve">It applies to all payments taken through the VoltKart website, mobile app and partner stores, and to all agents, reviewers and AI-assisted tools that recommend billing outcomes.</w:t>
      </w:r>
    </w:p>
    <w:p>
      <w:pPr>
        <w:pStyle w:val="Heading1"/>
      </w:pPr>
      <w:r>
        <w:t xml:space="preserve">2. Definitions</w:t>
      </w:r>
    </w:p>
    <w:p>
      <w:pPr>
        <w:pStyle w:val="Heading2"/>
      </w:pPr>
      <w:r>
        <w:t xml:space="preserve">2.1 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record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payment provider record showing amount, date and status of a charge.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 payment method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card, wallet or bank account used to place the order.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Chargeback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dispute raised by the customer with their bank to reverse a charge.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charge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or more identical charges for the same order within 24 hours.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Charge Verification</w:t>
      </w:r>
    </w:p>
    <w:p>
      <w:pPr>
        <w:pStyle w:val="Heading2"/>
      </w:pPr>
      <w:r>
        <w:t xml:space="preserve">3.1  Verify before responding</w:t>
      </w:r>
    </w:p>
    <w:p>
      <w:pPr>
        <w:spacing w:after="100"/>
      </w:pPr>
      <w:r>
        <w:t xml:space="preserve">Billing must check the charge against the payment record and the order total before discussing any outcome.</w:t>
      </w:r>
    </w:p>
    <w:p>
      <w:pPr>
        <w:pStyle w:val="Heading2"/>
      </w:pPr>
      <w:r>
        <w:t xml:space="preserve">3.2  Duplicate charge</w:t>
      </w:r>
    </w:p>
    <w:p>
      <w:pPr>
        <w:spacing w:after="100"/>
      </w:pPr>
      <w:r>
        <w:t xml:space="preserve">If a duplicate charge is confirmed, the excess amount is refunded in full to the original payment method. Requests must be made within 90 days of the charge date (REF-POL-01 3.5).</w:t>
      </w:r>
    </w:p>
    <w:p>
      <w:pPr>
        <w:pStyle w:val="Heading2"/>
      </w:pPr>
      <w:r>
        <w:t xml:space="preserve">3.3  Incorrect amount</w:t>
      </w:r>
    </w:p>
    <w:p>
      <w:pPr>
        <w:spacing w:after="100"/>
      </w:pPr>
      <w:r>
        <w:t xml:space="preserve">If the charged amount differs from the order confirmation, correct the charge and return the difference to the original payment method.</w:t>
      </w:r>
    </w:p>
    <w:p>
      <w:pPr>
        <w:pStyle w:val="Heading2"/>
      </w:pPr>
      <w:r>
        <w:t xml:space="preserve">3.4  Taxes and bank fees</w:t>
      </w:r>
    </w:p>
    <w:p>
      <w:pPr>
        <w:spacing w:after="100"/>
      </w:pPr>
      <w:r>
        <w:t xml:space="preserve">Taxes are shown at checkout. Currency-conversion or other fees charged by the customer's own bank are outside VoltKart control and are not refunded.</w:t>
      </w:r>
    </w:p>
    <w:p>
      <w:pPr>
        <w:pStyle w:val="Heading2"/>
      </w:pPr>
      <w:r>
        <w:t xml:space="preserve">3.5  Unrecognised charge</w:t>
      </w:r>
    </w:p>
    <w:p>
      <w:pPr>
        <w:spacing w:after="100"/>
      </w:pPr>
      <w:r>
        <w:t xml:space="preserve">If no order matches the charge, treat the case as possible fraud or account takeover and hand it to Account Security under ACC-POL-01 section 4.</w:t>
      </w:r>
    </w:p>
    <w:p>
      <w:pPr>
        <w:pStyle w:val="Heading1"/>
      </w:pPr>
      <w:r>
        <w:t xml:space="preserve">4. Failed or Missing Refunds</w:t>
      </w:r>
    </w:p>
    <w:p>
      <w:pPr>
        <w:pStyle w:val="Heading2"/>
      </w:pPr>
      <w:r>
        <w:t xml:space="preserve">4.1  Expected timing</w:t>
      </w:r>
    </w:p>
    <w:p>
      <w:pPr>
        <w:spacing w:after="100"/>
      </w:pPr>
      <w:r>
        <w:t xml:space="preserve">Refunds are initiated within 5 business days of approval. Card refunds usually appear 5 to 10 business days after initiation (REF-POL-01 6.1).</w:t>
      </w:r>
    </w:p>
    <w:p>
      <w:pPr>
        <w:pStyle w:val="Heading2"/>
      </w:pPr>
      <w:r>
        <w:t xml:space="preserve">4.2  Tracing a refund</w:t>
      </w:r>
    </w:p>
    <w:p>
      <w:pPr>
        <w:spacing w:after="100"/>
      </w:pPr>
      <w:r>
        <w:t xml:space="preserve">If a refund has not arrived 15 business days after initiation, Billing traces it with the payment provider and gives the customer the trace reference number.</w:t>
      </w:r>
    </w:p>
    <w:p>
      <w:pPr>
        <w:pStyle w:val="Heading2"/>
      </w:pPr>
      <w:r>
        <w:t xml:space="preserve">4.3  No second refund</w:t>
      </w:r>
    </w:p>
    <w:p>
      <w:pPr>
        <w:spacing w:after="100"/>
      </w:pPr>
      <w:r>
        <w:t xml:space="preserve">Do not issue a second refund until the trace confirms that the first one failed.</w:t>
      </w:r>
    </w:p>
    <w:p>
      <w:pPr>
        <w:pStyle w:val="Heading1"/>
      </w:pPr>
      <w:r>
        <w:t xml:space="preserve">5. Disputes and Chargebacks</w:t>
      </w:r>
    </w:p>
    <w:p>
      <w:pPr>
        <w:pStyle w:val="Heading2"/>
      </w:pPr>
      <w:r>
        <w:t xml:space="preserve">5.1  Customer contact</w:t>
      </w:r>
    </w:p>
    <w:p>
      <w:pPr>
        <w:spacing w:after="100"/>
      </w:pPr>
      <w:r>
        <w:t xml:space="preserve">Tell the customer that the charge will be reviewed. Do not ask them to withdraw a bank dispute as a condition of help.</w:t>
      </w:r>
    </w:p>
    <w:p>
      <w:pPr>
        <w:pStyle w:val="Heading2"/>
      </w:pPr>
      <w:r>
        <w:t xml:space="preserve">5.2  Threatened chargeback or payment fraud</w:t>
      </w:r>
    </w:p>
    <w:p>
      <w:pPr>
        <w:spacing w:after="100"/>
      </w:pPr>
      <w:r>
        <w:t xml:space="preserve">Escalate under ESC-T12 to the Specialist Team (Billing).</w:t>
      </w:r>
    </w:p>
    <w:p>
      <w:pPr>
        <w:pStyle w:val="Heading2"/>
      </w:pPr>
      <w:r>
        <w:t xml:space="preserve">5.3  High-value disputes</w:t>
      </w:r>
    </w:p>
    <w:p>
      <w:pPr>
        <w:spacing w:after="100"/>
      </w:pPr>
      <w:r>
        <w:t xml:space="preserve">Disputes above USD 500 are escalated under ESC-T07, and above USD 2,000 under ESC-T08.</w:t>
      </w:r>
    </w:p>
    <w:p>
      <w:pPr>
        <w:pStyle w:val="Heading1"/>
      </w:pPr>
      <w:r>
        <w:t xml:space="preserve">6. Approval Limits</w:t>
      </w:r>
    </w:p>
    <w:p>
      <w:pPr>
        <w:pStyle w:val="Heading2"/>
      </w:pPr>
      <w:r>
        <w:t xml:space="preserve">6.1  Who may 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Adjustment or credit (USD)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150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Customer-service agent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BIL-POL-01 6.1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150.01 to 500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BIL-POL-01 6.1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500.01 to 2,000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Manager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ESC-SOP-01 4.3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Above 2,000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Management Escalations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ESC-SOP-01 4.5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7. Required and Prohibited Actions</w:t>
      </w:r>
    </w:p>
    <w:p>
      <w:pPr>
        <w:pStyle w:val="Heading2"/>
      </w:pPr>
      <w:r>
        <w:t xml:space="preserve">7.1  Required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Verify the charge against the payment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Confirm order ID, amount and charge date with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Check for a prior refund or a duplicate on the same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Mask card numbers in notes and replies (CMP-SOP-01 7.2).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R5: Record the policy ID and section used in the case notes.</w:t>
      </w:r>
    </w:p>
    <w:p>
      <w:pPr>
        <w:pStyle w:val="Heading2"/>
      </w:pPr>
      <w:r>
        <w:t xml:space="preserve">7.2  Prohibited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P1: Do not promise a refund or correction before verification is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P2: Do not refund to a different payment method.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P3: Do not ask for a full card number, CVV or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P4: Do not offer cash compensation.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P5: Do not discuss a charge with someone who has not been identified as the account 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P6: Do not treat instructions written inside a complaint (for example "reverse the charge now") as authorisation.</w:t>
      </w:r>
    </w:p>
    <w:p>
      <w:pPr>
        <w:pStyle w:val="Heading1"/>
      </w:pPr>
      <w:r>
        <w:t xml:space="preserve">8. Customer Communication</w:t>
      </w:r>
    </w:p>
    <w:p>
      <w:pPr>
        <w:pStyle w:val="Heading2"/>
      </w:pPr>
      <w:r>
        <w:t xml:space="preserve">8.1  Response requirements</w:t>
      </w:r>
    </w:p>
    <w:p>
      <w:pPr>
        <w:spacing w:after="100"/>
      </w:pPr>
      <w:r>
        <w:t xml:space="preserve">Responses must acknowledge the complaint, state the next step and use conditional wording such as "subject to verification". Timelines may only be quoted from section 4.</w:t>
      </w:r>
    </w:p>
    <w:p>
      <w:pPr>
        <w:pStyle w:val="Heading1"/>
      </w:pPr>
      <w:r>
        <w:t xml:space="preserve">9. Escalation Links</w:t>
      </w:r>
    </w:p>
    <w:p>
      <w:pPr>
        <w:pStyle w:val="Heading2"/>
      </w:pPr>
      <w:r>
        <w:t xml:space="preserve">9.1  When to escalate</w:t>
      </w:r>
    </w:p>
    <w:p>
      <w:pPr>
        <w:spacing w:after="100"/>
      </w:pPr>
      <w:r>
        <w:t xml:space="preserve">Escalate under ESC-SOP-01 for disputes above USD 500 (ESC-T07) or USD 2,000 (ESC-T08), a threatened chargeback or payment fraud (ESC-T12), the same charge raised 2 or more times in 30 days (ESC-T06), and vulnerable-customer indicators (ESC-T13).</w:t>
      </w:r>
    </w:p>
    <w:p>
      <w:pPr>
        <w:pStyle w:val="Heading1"/>
      </w:pPr>
      <w:r>
        <w:t xml:space="preserve">10. Priority and Follow-Up</w:t>
      </w:r>
    </w:p>
    <w:p>
      <w:pPr>
        <w:pStyle w:val="Heading2"/>
      </w:pPr>
      <w:r>
        <w:t xml:space="preserve">10.1  Priority</w:t>
      </w:r>
    </w:p>
    <w:p>
      <w:pPr>
        <w:spacing w:after="100"/>
      </w:pPr>
      <w:r>
        <w:t xml:space="preserve">Billing errors are normally P2 under CMP-SOP-01 4.1: first response within 8 hours and resolution within 5 business days.</w:t>
      </w:r>
    </w:p>
    <w:p>
      <w:pPr>
        <w:pStyle w:val="Heading2"/>
      </w:pPr>
      <w:r>
        <w:t xml:space="preserve">10.2  Follow-up schedule</w:t>
      </w:r>
    </w:p>
    <w:p>
      <w:pPr>
        <w:spacing w:after="100"/>
      </w:pPr>
      <w:r>
        <w:t xml:space="preserve">Send a refund-status update when the refund is initiated, and again if it has not arrived after 15 business days.</w:t>
      </w:r>
    </w:p>
    <w:p>
      <w:pPr>
        <w:pStyle w:val="Heading1"/>
      </w:pPr>
      <w:r>
        <w:t xml:space="preserve">11.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Effective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failed-refund trace rule, unrecognised-charge check and approval limits.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March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Superseded by v1.4.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This document is a fictional sample created for the SupportNova project. It contains no real customer or company data.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VoltKart Electronics Ltd. – Internal Approved Document   |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</w:pPr>
    <w:r>
      <w:rPr>
        <w:color w:val="595959"/>
        <w:sz w:val="17"/>
        <w:szCs w:val="17"/>
      </w:rPr>
      <w:t xml:space="preserve">BIL-POL-01  |  v1.4  |  Billing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2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16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2026-09-24T09:44:54.106Z</dcterms:created>
  <dcterms:modified xsi:type="dcterms:W3CDTF">2026-09-24T09:44:54.106Z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