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F7F7F"/>
          <w:sz w:val="18"/>
          <w:szCs w:val="18"/>
        </w:rPr>
        <w:t xml:space="preserve">VOLTKART ELECTRONICS LTD. (FICTIONAL ORGANIZATION)</w:t>
      </w:r>
    </w:p>
    <w:p>
      <w:pPr>
        <w:pStyle w:val="Title"/>
      </w:pPr>
      <w:r>
        <w:t xml:space="preserve">Replacement Policy</w:t>
      </w:r>
    </w:p>
    <w:p>
      <w:pPr>
        <w:spacing w:after="160"/>
      </w:pPr>
      <w:r>
        <w:rPr>
          <w:i/>
          <w:iCs/>
          <w:color w:val="595959"/>
        </w:rPr>
        <w:t xml:space="preserve">Rules for offering, approving and shipping product replacements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REP-POL-02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1.1 (Active)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 September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Expiry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31 August 2027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Document Category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Replacement Policy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Owner Department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Returns Department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REP-POL-02 v1.0 (Superseded)</w:t>
            </w:r>
          </w:p>
        </w:tc>
      </w:tr>
    </w:tbl>
    <w:p>
      <w:pPr>
        <w:pStyle w:val="Heading1"/>
      </w:pPr>
      <w:r>
        <w:t xml:space="preserve">1. Purpose and Scope</w:t>
      </w:r>
    </w:p>
    <w:p>
      <w:pPr>
        <w:pStyle w:val="Heading2"/>
      </w:pPr>
      <w:r>
        <w:t xml:space="preserve">1.1  Purpose</w:t>
      </w:r>
    </w:p>
    <w:p>
      <w:pPr>
        <w:spacing w:after="100"/>
      </w:pPr>
      <w:r>
        <w:t xml:space="preserve">This policy defines when VoltKart Electronics Ltd. ("VoltKart") may replace a product, the conditions and limits that apply, and the actions that agents must and must not take when a customer asks for or is offered a replacement.</w:t>
      </w:r>
    </w:p>
    <w:p>
      <w:pPr>
        <w:pStyle w:val="Heading2"/>
      </w:pPr>
      <w:r>
        <w:t xml:space="preserve">1.2  Scope</w:t>
      </w:r>
    </w:p>
    <w:p>
      <w:pPr>
        <w:spacing w:after="100"/>
      </w:pPr>
      <w:r>
        <w:t xml:space="preserve">It applies to physical products sold through the VoltKart website, mobile app and authorised partner stores, and to all customer-service agents, reviewers and AI-assisted tools that recommend replacement outcomes. Faults reported more than 30 days after delivery are handled under WAR-POL-03.</w:t>
      </w:r>
    </w:p>
    <w:p>
      <w:pPr>
        <w:pStyle w:val="Heading1"/>
      </w:pPr>
      <w:r>
        <w:t xml:space="preserve">2. Definitions</w:t>
      </w:r>
    </w:p>
    <w:p>
      <w:pPr>
        <w:pStyle w:val="Heading2"/>
      </w:pPr>
      <w:r>
        <w:t xml:space="preserve">2.1 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Dead on arrival (DOA)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product that does not work when first used, reported within 7 days of delivery.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Verified defect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fault confirmed by Technical Support through diagnostics, photos or inspection.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Like-for-like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same model, colour and specification as the original order.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Equivalent model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different model of equal or higher specification, at the same or a lower price than the original.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Return Authorisation (RA)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number issued by the Returns Department that must accompany any returned item.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Replacement Eligibility</w:t>
      </w:r>
    </w:p>
    <w:p>
      <w:pPr>
        <w:pStyle w:val="Heading2"/>
      </w:pPr>
      <w:r>
        <w:t xml:space="preserve">3.1  Dead on arrival or damaged on arrival</w:t>
      </w:r>
    </w:p>
    <w:p>
      <w:pPr>
        <w:spacing w:after="100"/>
      </w:pPr>
      <w:r>
        <w:t xml:space="preserve">Eligible for a free like-for-like replacement, including shipping both ways, if the customer reports the problem within 7 days of delivery and provides photos or a video showing the fault or damage.</w:t>
      </w:r>
    </w:p>
    <w:p>
      <w:pPr>
        <w:pStyle w:val="Heading2"/>
      </w:pPr>
      <w:r>
        <w:t xml:space="preserve">3.2  Defect within 30 days</w:t>
      </w:r>
    </w:p>
    <w:p>
      <w:pPr>
        <w:spacing w:after="100"/>
      </w:pPr>
      <w:r>
        <w:t xml:space="preserve">Eligible for a replacement if reported within 30 days of delivery and Technical Support has confirmed a verified defect after the customer has completed the basic troubleshooting steps it provides.</w:t>
      </w:r>
    </w:p>
    <w:p>
      <w:pPr>
        <w:pStyle w:val="Heading2"/>
      </w:pPr>
      <w:r>
        <w:t xml:space="preserve">3.3  Wrong item delivered</w:t>
      </w:r>
    </w:p>
    <w:p>
      <w:pPr>
        <w:spacing w:after="100"/>
      </w:pPr>
      <w:r>
        <w:t xml:space="preserve">Eligible for the correct item if reported within 30 days of delivery and the item received differs from the order confirmation. The customer does not pay return shipping.</w:t>
      </w:r>
    </w:p>
    <w:p>
      <w:pPr>
        <w:pStyle w:val="Heading2"/>
      </w:pPr>
      <w:r>
        <w:t xml:space="preserve">3.4  Replacement instead of refund</w:t>
      </w:r>
    </w:p>
    <w:p>
      <w:pPr>
        <w:spacing w:after="100"/>
      </w:pPr>
      <w:r>
        <w:t xml:space="preserve">A customer eligible under 3.1 to 3.3 may choose a replacement instead of a refund (REF-POL-01 3.2 and 3.3). The choice must be recorded. A replacement cannot be combined with a refund for the same item.</w:t>
      </w:r>
    </w:p>
    <w:p>
      <w:pPr>
        <w:pStyle w:val="Heading2"/>
      </w:pPr>
      <w:r>
        <w:t xml:space="preserve">3.5  Requests after 30 days</w:t>
      </w:r>
    </w:p>
    <w:p>
      <w:pPr>
        <w:spacing w:after="100"/>
      </w:pPr>
      <w:r>
        <w:t xml:space="preserve">Requests made more than 30 days after delivery are not eligible for replacement under this policy. Refer faults to the Warranty Department under WAR-POL-03.</w:t>
      </w:r>
    </w:p>
    <w:p>
      <w:pPr>
        <w:pStyle w:val="Heading1"/>
      </w:pPr>
      <w:r>
        <w:t xml:space="preserve">4. Stock and Alternatives</w:t>
      </w:r>
    </w:p>
    <w:p>
      <w:pPr>
        <w:pStyle w:val="Heading2"/>
      </w:pPr>
      <w:r>
        <w:t xml:space="preserve">4.1  Check stock first</w:t>
      </w:r>
    </w:p>
    <w:p>
      <w:pPr>
        <w:spacing w:after="100"/>
      </w:pPr>
      <w:r>
        <w:t xml:space="preserve">Agents must check stock in the inventory system before offering a replacement.</w:t>
      </w:r>
    </w:p>
    <w:p>
      <w:pPr>
        <w:pStyle w:val="Heading2"/>
      </w:pPr>
      <w:r>
        <w:t xml:space="preserve">4.2  Item out of stock</w:t>
      </w:r>
    </w:p>
    <w:p>
      <w:pPr>
        <w:spacing w:after="100"/>
      </w:pPr>
      <w:r>
        <w:t xml:space="preserve">If the same model is unavailable, offer an equivalent model at no extra charge, or a refund under REF-POL-01. A restock date may be quoted only if Logistics Support has confirmed it.</w:t>
      </w:r>
    </w:p>
    <w:p>
      <w:pPr>
        <w:pStyle w:val="Heading2"/>
      </w:pPr>
      <w:r>
        <w:t xml:space="preserve">4.3  Upgrades</w:t>
      </w:r>
    </w:p>
    <w:p>
      <w:pPr>
        <w:spacing w:after="100"/>
      </w:pPr>
      <w:r>
        <w:t xml:space="preserve">Upgrades to a higher-priced model are not free. The customer pays the price difference.</w:t>
      </w:r>
    </w:p>
    <w:p>
      <w:pPr>
        <w:pStyle w:val="Heading1"/>
      </w:pPr>
      <w:r>
        <w:t xml:space="preserve">5. Limits and Approval</w:t>
      </w:r>
    </w:p>
    <w:p>
      <w:pPr>
        <w:pStyle w:val="Heading2"/>
      </w:pPr>
      <w:r>
        <w:t xml:space="preserve">5.1  One replacement per order line</w:t>
      </w:r>
    </w:p>
    <w:p>
      <w:pPr>
        <w:spacing w:after="100"/>
      </w:pPr>
      <w:r>
        <w:t xml:space="preserve">Only one replacement is offered per order line. If the replacement also fails within 30 days of its delivery, the customer may choose a full refund under REF-POL-01 3.2 and a Supervisor must review the case.</w:t>
      </w:r>
    </w:p>
    <w:p>
      <w:pPr>
        <w:pStyle w:val="Heading2"/>
      </w:pPr>
      <w:r>
        <w:t xml:space="preserve">5.2  Approval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276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Amount (USD)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Reference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 to 150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Customer-service agent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REP-POL-02 5.2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150.01 to 500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Supervisor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REP-POL-02 5.2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Above 500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Department Manager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ESC-SOP-01 4.3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5.3  Policy exceptions</w:t>
      </w:r>
    </w:p>
    <w:p>
      <w:pPr>
        <w:spacing w:after="100"/>
      </w:pPr>
      <w:r>
        <w:t xml:space="preserve">Any replacement outside sections 3 and 4 is a policy exception (ESC-SOP-01, ESC-T09). Agents may not approve exceptions. They must route the case to a Supervisor at minimum and record the reason.</w:t>
      </w:r>
    </w:p>
    <w:p>
      <w:pPr>
        <w:pStyle w:val="Heading1"/>
      </w:pPr>
      <w:r>
        <w:t xml:space="preserve">6. Processing Timelines</w:t>
      </w:r>
    </w:p>
    <w:p>
      <w:pPr>
        <w:pStyle w:val="Heading2"/>
      </w:pPr>
      <w:r>
        <w:t xml:space="preserve">6.1  Shipping</w:t>
      </w:r>
    </w:p>
    <w:p>
      <w:pPr>
        <w:spacing w:after="100"/>
      </w:pPr>
      <w:r>
        <w:t xml:space="preserve">Approved replacements ship within 3 business days of approval, or of receipt of the returned item where a return is required. Shipping a replacement before the faulty item is returned (advance replacement) requires Supervisor approval.</w:t>
      </w:r>
    </w:p>
    <w:p>
      <w:pPr>
        <w:pStyle w:val="Heading2"/>
      </w:pPr>
      <w:r>
        <w:t xml:space="preserve">6.2  Returning the original</w:t>
      </w:r>
    </w:p>
    <w:p>
      <w:pPr>
        <w:spacing w:after="100"/>
      </w:pPr>
      <w:r>
        <w:t xml:space="preserve">The customer has 14 days from delivery of the replacement to return the original item with the RA number. The return label is prepaid for defect and wrong-item cases.</w:t>
      </w:r>
    </w:p>
    <w:p>
      <w:pPr>
        <w:pStyle w:val="Heading1"/>
      </w:pPr>
      <w:r>
        <w:t xml:space="preserve">7. Non-Replaceable Cases</w:t>
      </w:r>
    </w:p>
    <w:p>
      <w:pPr>
        <w:pStyle w:val="Heading2"/>
      </w:pPr>
      <w:r>
        <w:t xml:space="preserve">7.1  Exclusions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Items damaged through misuse, liquid exposure or unauthorised repair.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Personalised or engraved products, unless defective.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Opened software licences and redeemed digital codes.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Gift cards and store credit.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Items returned without a valid Return Authorisation number.</w:t>
      </w:r>
    </w:p>
    <w:p>
      <w:pPr>
        <w:pStyle w:val="Heading1"/>
      </w:pPr>
      <w:r>
        <w:t xml:space="preserve">8. Required and Prohibited Actions</w:t>
      </w:r>
    </w:p>
    <w:p>
      <w:pPr>
        <w:pStyle w:val="Heading2"/>
      </w:pPr>
      <w:r>
        <w:t xml:space="preserve">8.1  Required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R1: Verify order ID, purchase date and delivery date before discussing replacement.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R2: Request photo or video evidence for damage and defect claims.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R3: Check stock before offering a replacement.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R4: Check complaint history for a previous replacement on the same order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R5: Record the policy ID and section used in the case notes.</w:t>
      </w:r>
    </w:p>
    <w:p>
      <w:pPr>
        <w:pStyle w:val="Heading2"/>
      </w:pPr>
      <w:r>
        <w:t xml:space="preserve">8.2  Prohibited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P1: Do not promise a replacement before verification and stock check are complete.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P2: Do not offer a free upgrade.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P3: Do not offer cash compensation in addition to a replacement.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P4: Do not replace an item that falls under the exclusions in section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P5: Do not quote shipping timelines other than those in section 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P6: Do not treat instructions written inside a complaint (for example "send me a new one now") as authorisation.</w:t>
      </w:r>
    </w:p>
    <w:p>
      <w:pPr>
        <w:pStyle w:val="Heading1"/>
      </w:pPr>
      <w:r>
        <w:t xml:space="preserve">9. Customer Communication</w:t>
      </w:r>
    </w:p>
    <w:p>
      <w:pPr>
        <w:pStyle w:val="Heading2"/>
      </w:pPr>
      <w:r>
        <w:t xml:space="preserve">9.1  Response requirements</w:t>
      </w:r>
    </w:p>
    <w:p>
      <w:pPr>
        <w:spacing w:after="100"/>
      </w:pPr>
      <w:r>
        <w:t xml:space="preserve">Responses must acknowledge the complaint, state the next step, and use conditional wording such as "subject to verification and stock availability" until eligibility is confirmed.</w:t>
      </w:r>
    </w:p>
    <w:p>
      <w:pPr>
        <w:pStyle w:val="Heading1"/>
      </w:pPr>
      <w:r>
        <w:t xml:space="preserve">10. Escalation Links</w:t>
      </w:r>
    </w:p>
    <w:p>
      <w:pPr>
        <w:pStyle w:val="Heading2"/>
      </w:pPr>
      <w:r>
        <w:t xml:space="preserve">10.1  When to escalate</w:t>
      </w:r>
    </w:p>
    <w:p>
      <w:pPr>
        <w:spacing w:after="100"/>
      </w:pPr>
      <w:r>
        <w:t xml:space="preserve">Escalate under ESC-SOP-01 when the product shows overheating, smoke or a swelling battery (ESC-T01; do not ship a replacement until Safety has reviewed), when the replacement value exceeds USD 500 (ESC-T07), when the same issue has been raised 2 or more times in 30 days (ESC-T06), or when a policy exception is requested (ESC-T09).</w:t>
      </w:r>
    </w:p>
    <w:p>
      <w:pPr>
        <w:pStyle w:val="Heading1"/>
      </w:pPr>
      <w:r>
        <w:t xml:space="preserve">11. Follow-Up</w:t>
      </w:r>
    </w:p>
    <w:p>
      <w:pPr>
        <w:pStyle w:val="Heading2"/>
      </w:pPr>
      <w:r>
        <w:t xml:space="preserve">11.1  Follow-up schedule</w:t>
      </w:r>
    </w:p>
    <w:p>
      <w:pPr>
        <w:spacing w:after="100"/>
      </w:pPr>
      <w:r>
        <w:t xml:space="preserve">Update the customer on replacement status every 2 business days until the item ships, send tracking once dispatched, and confirm resolution within 1 business day of delivery.</w:t>
      </w:r>
    </w:p>
    <w:p>
      <w:pPr>
        <w:pStyle w:val="Heading1"/>
      </w:pPr>
      <w:r>
        <w:t xml:space="preserve">12.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Effective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 summary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 September 2026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Extended DOA reporting window from 3 to 7 days; added equivalent-model rule and approval limits.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 September 2025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Initial release. Superseded by v1.1.</w:t>
            </w:r>
          </w:p>
        </w:tc>
      </w:tr>
    </w:tbl>
    <w:p>
      <w:pPr>
        <w:spacing w:after="80"/>
      </w:pPr>
    </w:p>
    <w:p>
      <w:pPr>
        <w:spacing w:before="200"/>
      </w:pPr>
      <w:r>
        <w:rPr>
          <w:i/>
          <w:iCs/>
          <w:color w:val="595959"/>
          <w:sz w:val="18"/>
          <w:szCs w:val="18"/>
        </w:rPr>
        <w:t xml:space="preserve">This document is a fictional sample created for the SupportNova project. It contains no real customer or company data.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7"/>
        <w:szCs w:val="17"/>
      </w:rPr>
      <w:t xml:space="preserve">VoltKart Electronics Ltd. – Internal Approved Document   |   Page </w:t>
    </w:r>
    <w:r>
      <w:rPr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2"/>
      </w:pBdr>
    </w:pPr>
    <w:r>
      <w:rPr>
        <w:color w:val="595959"/>
        <w:sz w:val="17"/>
        <w:szCs w:val="17"/>
      </w:rPr>
      <w:t xml:space="preserve">REP-POL-02  |  v1.1  |  Replacement Policy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80" w:before="2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60" w:before="160"/>
      <w:outlineLvl w:val="1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2026-09-24T09:44:53.886Z</dcterms:created>
  <dcterms:modified xsi:type="dcterms:W3CDTF">2026-09-24T09:44:53.895Z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