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F7F7F"/>
          <w:sz w:val="18"/>
          <w:szCs w:val="18"/>
        </w:rPr>
        <w:t xml:space="preserve">VOLTKART ELECTRONICS LTD. (FICTIONAL ORGANIZATION)</w:t>
      </w:r>
    </w:p>
    <w:p>
      <w:pPr>
        <w:pStyle w:val="Title"/>
      </w:pPr>
      <w:r>
        <w:t xml:space="preserve">Warranty Policy</w:t>
      </w:r>
    </w:p>
    <w:p>
      <w:pPr>
        <w:spacing w:after="160"/>
      </w:pPr>
      <w:r>
        <w:rPr>
          <w:i/>
          <w:iCs/>
          <w:color w:val="595959"/>
        </w:rPr>
        <w:t xml:space="preserve">Warranty periods, claim eligibility, repair, replacement and denial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Document ID</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WAR-POL-03</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Version</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1.2 (Active)</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Status</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Active</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Effective Date</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01 September 2026</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Expiry Date</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31 August 2027</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Document Category</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Warranty Policy</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Owner Department</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Warranty Department</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Supersedes</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WAR-POL-03 v1.1 (Superseded)</w:t>
            </w:r>
          </w:p>
        </w:tc>
      </w:tr>
    </w:tbl>
    <w:p>
      <w:pPr>
        <w:pStyle w:val="Heading1"/>
      </w:pPr>
      <w:r>
        <w:t xml:space="preserve">1. Purpose and Scope</w:t>
      </w:r>
    </w:p>
    <w:p>
      <w:pPr>
        <w:pStyle w:val="Heading2"/>
      </w:pPr>
      <w:r>
        <w:t xml:space="preserve">1.1  Purpose</w:t>
      </w:r>
    </w:p>
    <w:p>
      <w:pPr>
        <w:spacing w:after="100"/>
      </w:pPr>
      <w:r>
        <w:t xml:space="preserve">This policy defines how VoltKart Electronics Ltd. ("VoltKart") handles faults that occur after the 30-day refund and replacement window but within the warranty period.</w:t>
      </w:r>
    </w:p>
    <w:p>
      <w:pPr>
        <w:pStyle w:val="Heading2"/>
      </w:pPr>
      <w:r>
        <w:t xml:space="preserve">1.2  Scope</w:t>
      </w:r>
    </w:p>
    <w:p>
      <w:pPr>
        <w:spacing w:after="100"/>
      </w:pPr>
      <w:r>
        <w:t xml:space="preserve">It applies to physical products sold by VoltKart. Faults reported within 30 days of delivery are handled by the Returns Department under REF-POL-01 and REP-POL-02.</w:t>
      </w:r>
    </w:p>
    <w:p>
      <w:pPr>
        <w:pStyle w:val="Heading1"/>
      </w:pPr>
      <w:r>
        <w:t xml:space="preserve">2. Definitions</w:t>
      </w:r>
    </w:p>
    <w:p>
      <w:pPr>
        <w:pStyle w:val="Heading2"/>
      </w:pPr>
      <w:r>
        <w:t xml:space="preserve">2.1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Term</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Warranty period</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The time after delivery during which a covered fault is repaired or resolved at no charge.</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Covered fault</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 manufacturing or functional fault that is not listed in the exclusions in section 4.2.</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Proof of purchase</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The order confirmation or invoice showing the product serial number and delivery date.</w:t>
            </w:r>
          </w:p>
        </w:tc>
      </w:tr>
      <w:t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VoltKart Care</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An optional paid extension of the standard warranty period.</w:t>
            </w:r>
          </w:p>
        </w:tc>
      </w:tr>
    </w:tbl>
    <w:p>
      <w:pPr>
        <w:spacing w:after="80"/>
      </w:pPr>
    </w:p>
    <w:p>
      <w:pPr>
        <w:pStyle w:val="Heading1"/>
      </w:pPr>
      <w:r>
        <w:t xml:space="preserve">3. Warranty Coverage</w:t>
      </w:r>
    </w:p>
    <w:p>
      <w:pPr>
        <w:pStyle w:val="Heading2"/>
      </w:pPr>
      <w:r>
        <w:t xml:space="preserve">3.1  Standard period</w:t>
      </w:r>
    </w:p>
    <w:p>
      <w:pPr>
        <w:spacing w:after="100"/>
      </w:pPr>
      <w:r>
        <w:t xml:space="preserve">Electronics are covered for 12 months from the delivery date.</w:t>
      </w:r>
    </w:p>
    <w:p>
      <w:pPr>
        <w:pStyle w:val="Heading2"/>
      </w:pPr>
      <w:r>
        <w:t xml:space="preserve">3.2  Accessories and batteries</w:t>
      </w:r>
    </w:p>
    <w:p>
      <w:pPr>
        <w:spacing w:after="100"/>
      </w:pPr>
      <w:r>
        <w:t xml:space="preserve">Accessories, chargers and batteries are covered for 6 months from the delivery date.</w:t>
      </w:r>
    </w:p>
    <w:p>
      <w:pPr>
        <w:pStyle w:val="Heading2"/>
      </w:pPr>
      <w:r>
        <w:t xml:space="preserve">3.3  VoltKart Care extension</w:t>
      </w:r>
    </w:p>
    <w:p>
      <w:pPr>
        <w:spacing w:after="100"/>
      </w:pPr>
      <w:r>
        <w:t xml:space="preserve">If VoltKart Care was bought within 30 days of delivery, coverage is extended by 24 months, giving a total of 36 months for electronics.</w:t>
      </w:r>
    </w:p>
    <w:p>
      <w:pPr>
        <w:pStyle w:val="Heading2"/>
      </w:pPr>
      <w:r>
        <w:t xml:space="preserve">3.4  Replacement units</w:t>
      </w:r>
    </w:p>
    <w:p>
      <w:pPr>
        <w:spacing w:after="100"/>
      </w:pPr>
      <w:r>
        <w:t xml:space="preserve">A replacement unit inherits the remaining warranty period of the original, with a minimum of 90 days.</w:t>
      </w:r>
    </w:p>
    <w:p>
      <w:pPr>
        <w:pStyle w:val="Heading1"/>
      </w:pPr>
      <w:r>
        <w:t xml:space="preserve">4. Claim Eligibility</w:t>
      </w:r>
    </w:p>
    <w:p>
      <w:pPr>
        <w:pStyle w:val="Heading2"/>
      </w:pPr>
      <w:r>
        <w:t xml:space="preserve">4.1  Conditions</w:t>
      </w:r>
    </w:p>
    <w:p>
      <w:pPr>
        <w:spacing w:after="100"/>
      </w:pPr>
      <w:r>
        <w:t xml:space="preserve">A claim is eligible if the fault is a covered fault, the claim is made within the warranty period, proof of purchase is provided, and the product serial number matches the order.</w:t>
      </w:r>
    </w:p>
    <w:p>
      <w:pPr>
        <w:pStyle w:val="Heading2"/>
      </w:pPr>
      <w:r>
        <w:t xml:space="preserve">4.2  Exclusions</w:t>
      </w:r>
    </w:p>
    <w:p>
      <w:pPr>
        <w:pStyle w:val="ListParagraph"/>
        <w:numPr>
          <w:ilvl w:val="0"/>
          <w:numId w:val="2"/>
        </w:numPr>
        <w:spacing w:after="60"/>
      </w:pPr>
      <w:r>
        <w:t xml:space="preserve">Physical damage, cracked screens, or damage from drops or crushing.</w:t>
      </w:r>
    </w:p>
    <w:p>
      <w:pPr>
        <w:pStyle w:val="ListParagraph"/>
        <w:numPr>
          <w:ilvl w:val="0"/>
          <w:numId w:val="2"/>
        </w:numPr>
        <w:spacing w:after="60"/>
      </w:pPr>
      <w:r>
        <w:t xml:space="preserve">Liquid exposure or corrosion.</w:t>
      </w:r>
    </w:p>
    <w:p>
      <w:pPr>
        <w:pStyle w:val="ListParagraph"/>
        <w:numPr>
          <w:ilvl w:val="0"/>
          <w:numId w:val="2"/>
        </w:numPr>
        <w:spacing w:after="60"/>
      </w:pPr>
      <w:r>
        <w:t xml:space="preserve">Unauthorised repair, opening or modification of the product.</w:t>
      </w:r>
    </w:p>
    <w:p>
      <w:pPr>
        <w:pStyle w:val="ListParagraph"/>
        <w:numPr>
          <w:ilvl w:val="0"/>
          <w:numId w:val="2"/>
        </w:numPr>
        <w:spacing w:after="60"/>
      </w:pPr>
      <w:r>
        <w:t xml:space="preserve">Normal wear and cosmetic marks that do not affect function.</w:t>
      </w:r>
    </w:p>
    <w:p>
      <w:pPr>
        <w:pStyle w:val="ListParagraph"/>
        <w:numPr>
          <w:ilvl w:val="0"/>
          <w:numId w:val="2"/>
        </w:numPr>
        <w:spacing w:after="60"/>
      </w:pPr>
      <w:r>
        <w:t xml:space="preserve">Damage from non-VoltKart chargers or accessories that are not compatible with the product.</w:t>
      </w:r>
    </w:p>
    <w:p>
      <w:pPr>
        <w:pStyle w:val="Heading1"/>
      </w:pPr>
      <w:r>
        <w:t xml:space="preserve">5. Claim Handling</w:t>
      </w:r>
    </w:p>
    <w:p>
      <w:pPr>
        <w:pStyle w:val="Heading2"/>
      </w:pPr>
      <w:r>
        <w:t xml:space="preserve">5.1  Diagnostics</w:t>
      </w:r>
    </w:p>
    <w:p>
      <w:pPr>
        <w:spacing w:after="100"/>
      </w:pPr>
      <w:r>
        <w:t xml:space="preserve">Technical Support runs diagnostics or reviews evidence to confirm the fault before any outcome is offered.</w:t>
      </w:r>
    </w:p>
    <w:p>
      <w:pPr>
        <w:pStyle w:val="Heading2"/>
      </w:pPr>
      <w:r>
        <w:t xml:space="preserve">5.2  Outcomes</w:t>
      </w:r>
    </w:p>
    <w:p>
      <w:pPr>
        <w:spacing w:after="100"/>
      </w:pPr>
      <w:r>
        <w:t xml:space="preserve">The default outcome is repair. A replacement is offered if repair is not possible within 15 business days or if the same fault returns after repair. A refund may be offered only if no equivalent replacement exists, with Supervisor approval.</w:t>
      </w:r>
    </w:p>
    <w:p>
      <w:pPr>
        <w:pStyle w:val="Heading2"/>
      </w:pPr>
      <w:r>
        <w:t xml:space="preserve">5.3  Pro-rata refund</w:t>
      </w:r>
    </w:p>
    <w:p>
      <w:pPr>
        <w:spacing w:after="100"/>
      </w:pPr>
      <w:r>
        <w:t xml:space="preserve">Where a refund is approved under 5.2, the purchase price is reduced by one twelfth for each full month since delivery (or one thirty-sixth where VoltKart Care applies).</w:t>
      </w:r>
    </w:p>
    <w:p>
      <w:pPr>
        <w:pStyle w:val="Heading2"/>
      </w:pPr>
      <w:r>
        <w:t xml:space="preserve">5.4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Step</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Target</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Acknowledge claim</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1 business day</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Complete diagnostics</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3 business days</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Complete repair after receiving the item</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15 business days</w:t>
            </w:r>
          </w:p>
        </w:tc>
      </w:tr>
    </w:tbl>
    <w:p>
      <w:pPr>
        <w:spacing w:after="80"/>
      </w:pPr>
    </w:p>
    <w:p>
      <w:pPr>
        <w:spacing w:after="100"/>
      </w:pPr>
      <w:r>
        <w:t xml:space="preserve"/>
      </w:r>
    </w:p>
    <w:p>
      <w:pPr>
        <w:pStyle w:val="Heading1"/>
      </w:pPr>
      <w:r>
        <w:t xml:space="preserve">6. Denied Claims</w:t>
      </w:r>
    </w:p>
    <w:p>
      <w:pPr>
        <w:pStyle w:val="Heading2"/>
      </w:pPr>
      <w:r>
        <w:t xml:space="preserve">6.1  Written reason</w:t>
      </w:r>
    </w:p>
    <w:p>
      <w:pPr>
        <w:spacing w:after="100"/>
      </w:pPr>
      <w:r>
        <w:t xml:space="preserve">A denied claim must include a written reason that cites the section of this policy applied.</w:t>
      </w:r>
    </w:p>
    <w:p>
      <w:pPr>
        <w:pStyle w:val="Heading2"/>
      </w:pPr>
      <w:r>
        <w:t xml:space="preserve">6.2  Review</w:t>
      </w:r>
    </w:p>
    <w:p>
      <w:pPr>
        <w:spacing w:after="100"/>
      </w:pPr>
      <w:r>
        <w:t xml:space="preserve">The customer may ask once for a Supervisor to review a denial.</w:t>
      </w:r>
    </w:p>
    <w:p>
      <w:pPr>
        <w:pStyle w:val="Heading2"/>
      </w:pPr>
      <w:r>
        <w:t xml:space="preserve">6.3  Goodwill</w:t>
      </w:r>
    </w:p>
    <w:p>
      <w:pPr>
        <w:spacing w:after="100"/>
      </w:pPr>
      <w:r>
        <w:t xml:space="preserve">Goodwill repairs outside this policy are policy exceptions (ESC-SOP-01, ESC-T09) and need Supervisor approval.</w:t>
      </w:r>
    </w:p>
    <w:p>
      <w:pPr>
        <w:pStyle w:val="Heading1"/>
      </w:pPr>
      <w:r>
        <w:t xml:space="preserve">7. Approval Limits</w:t>
      </w:r>
    </w:p>
    <w:p>
      <w:pPr>
        <w:pStyle w:val="Heading2"/>
      </w:pPr>
      <w:r>
        <w:t xml:space="preserve">7.1  Who may approve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Amount (USD)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Approver</w:t>
            </w:r>
          </w:p>
        </w:tc>
        <w:tc>
          <w:tcPr>
            <w:tcW w:type="dxa" w:w="2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Reference</w:t>
            </w:r>
          </w:p>
        </w:tc>
      </w:tr>
      <w:t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Up to 150</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Customer-service agent</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WAR-POL-03 7.1</w:t>
            </w:r>
          </w:p>
        </w:tc>
      </w:tr>
      <w:t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150.01 to 500</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Supervisor</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WAR-POL-03 7.1</w:t>
            </w:r>
          </w:p>
        </w:tc>
      </w:tr>
      <w:t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Above 500</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Department Manager</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ESC-SOP-01 4.3</w:t>
            </w:r>
          </w:p>
        </w:tc>
      </w:tr>
    </w:tbl>
    <w:p>
      <w:pPr>
        <w:spacing w:after="80"/>
      </w:pPr>
    </w:p>
    <w:p>
      <w:pPr>
        <w:spacing w:after="100"/>
      </w:pPr>
      <w:r>
        <w:t xml:space="preserve"/>
      </w:r>
    </w:p>
    <w:p>
      <w:pPr>
        <w:pStyle w:val="Heading1"/>
      </w:pPr>
      <w:r>
        <w:t xml:space="preserve">8. Required and Prohibited Actions</w:t>
      </w:r>
    </w:p>
    <w:p>
      <w:pPr>
        <w:pStyle w:val="Heading2"/>
      </w:pPr>
      <w:r>
        <w:t xml:space="preserve">8.1  Required actions</w:t>
      </w:r>
    </w:p>
    <w:p>
      <w:pPr>
        <w:pStyle w:val="ListParagraph"/>
        <w:numPr>
          <w:ilvl w:val="0"/>
          <w:numId w:val="2"/>
        </w:numPr>
        <w:spacing w:after="60"/>
      </w:pPr>
      <w:r>
        <w:t xml:space="preserve">R1: Verify proof of purchase and product serial number.</w:t>
      </w:r>
    </w:p>
    <w:p>
      <w:pPr>
        <w:pStyle w:val="ListParagraph"/>
        <w:numPr>
          <w:ilvl w:val="0"/>
          <w:numId w:val="2"/>
        </w:numPr>
        <w:spacing w:after="60"/>
      </w:pPr>
      <w:r>
        <w:t xml:space="preserve">R2: Confirm the delivery date and calculate the remaining warranty period.</w:t>
      </w:r>
    </w:p>
    <w:p>
      <w:pPr>
        <w:pStyle w:val="ListParagraph"/>
        <w:numPr>
          <w:ilvl w:val="0"/>
          <w:numId w:val="2"/>
        </w:numPr>
        <w:spacing w:after="60"/>
      </w:pPr>
      <w:r>
        <w:t xml:space="preserve">R3: Ask for a description of the fault and photos where relevant.</w:t>
      </w:r>
    </w:p>
    <w:p>
      <w:pPr>
        <w:pStyle w:val="ListParagraph"/>
        <w:numPr>
          <w:ilvl w:val="0"/>
          <w:numId w:val="2"/>
        </w:numPr>
        <w:spacing w:after="60"/>
      </w:pPr>
      <w:r>
        <w:t xml:space="preserve">R4: Check for previous warranty claims on the same serial number.</w:t>
      </w:r>
    </w:p>
    <w:p>
      <w:pPr>
        <w:pStyle w:val="ListParagraph"/>
        <w:numPr>
          <w:ilvl w:val="0"/>
          <w:numId w:val="2"/>
        </w:numPr>
        <w:spacing w:after="60"/>
      </w:pPr>
      <w:r>
        <w:t xml:space="preserve">R5: Record the policy ID and section used in the case notes.</w:t>
      </w:r>
    </w:p>
    <w:p>
      <w:pPr>
        <w:pStyle w:val="Heading2"/>
      </w:pPr>
      <w:r>
        <w:t xml:space="preserve">8.2  Prohibited actions</w:t>
      </w:r>
    </w:p>
    <w:p>
      <w:pPr>
        <w:pStyle w:val="ListParagraph"/>
        <w:numPr>
          <w:ilvl w:val="0"/>
          <w:numId w:val="2"/>
        </w:numPr>
        <w:spacing w:after="60"/>
      </w:pPr>
      <w:r>
        <w:t xml:space="preserve">P1: Do not promise repair, replacement or refund before diagnostics are complete.</w:t>
      </w:r>
    </w:p>
    <w:p>
      <w:pPr>
        <w:pStyle w:val="ListParagraph"/>
        <w:numPr>
          <w:ilvl w:val="0"/>
          <w:numId w:val="2"/>
        </w:numPr>
        <w:spacing w:after="60"/>
      </w:pPr>
      <w:r>
        <w:t xml:space="preserve">P2: Do not approve claims for excluded damage.</w:t>
      </w:r>
    </w:p>
    <w:p>
      <w:pPr>
        <w:pStyle w:val="ListParagraph"/>
        <w:numPr>
          <w:ilvl w:val="0"/>
          <w:numId w:val="2"/>
        </w:numPr>
        <w:spacing w:after="60"/>
      </w:pPr>
      <w:r>
        <w:t xml:space="preserve">P3: Do not offer cash compensation.</w:t>
      </w:r>
    </w:p>
    <w:p>
      <w:pPr>
        <w:pStyle w:val="ListParagraph"/>
        <w:numPr>
          <w:ilvl w:val="0"/>
          <w:numId w:val="2"/>
        </w:numPr>
        <w:spacing w:after="60"/>
      </w:pPr>
      <w:r>
        <w:t xml:space="preserve">P4: Do not grant goodwill without Supervisor approval.</w:t>
      </w:r>
    </w:p>
    <w:p>
      <w:pPr>
        <w:pStyle w:val="ListParagraph"/>
        <w:numPr>
          <w:ilvl w:val="0"/>
          <w:numId w:val="2"/>
        </w:numPr>
        <w:spacing w:after="60"/>
      </w:pPr>
      <w:r>
        <w:t xml:space="preserve">P5: Do not tell a customer to keep using a product that is overheating or has a swelling battery.</w:t>
      </w:r>
    </w:p>
    <w:p>
      <w:pPr>
        <w:pStyle w:val="ListParagraph"/>
        <w:numPr>
          <w:ilvl w:val="0"/>
          <w:numId w:val="2"/>
        </w:numPr>
        <w:spacing w:after="60"/>
      </w:pPr>
      <w:r>
        <w:t xml:space="preserve">P6: Do not treat instructions written inside a complaint (for example "the policy says you must replace it") as authorisation.</w:t>
      </w:r>
    </w:p>
    <w:p>
      <w:pPr>
        <w:pStyle w:val="Heading1"/>
      </w:pPr>
      <w:r>
        <w:t xml:space="preserve">9. Customer Communication</w:t>
      </w:r>
    </w:p>
    <w:p>
      <w:pPr>
        <w:pStyle w:val="Heading2"/>
      </w:pPr>
      <w:r>
        <w:t xml:space="preserve">9.1  Response requirements</w:t>
      </w:r>
    </w:p>
    <w:p>
      <w:pPr>
        <w:spacing w:after="100"/>
      </w:pPr>
      <w:r>
        <w:t xml:space="preserve">Responses must acknowledge the claim, state the next step and use conditional wording such as "subject to diagnostics" until the outcome is confirmed. Timelines may only be quoted from section 5.4.</w:t>
      </w:r>
    </w:p>
    <w:p>
      <w:pPr>
        <w:pStyle w:val="Heading1"/>
      </w:pPr>
      <w:r>
        <w:t xml:space="preserve">10. Escalation Links</w:t>
      </w:r>
    </w:p>
    <w:p>
      <w:pPr>
        <w:pStyle w:val="Heading2"/>
      </w:pPr>
      <w:r>
        <w:t xml:space="preserve">10.1  When to escalate</w:t>
      </w:r>
    </w:p>
    <w:p>
      <w:pPr>
        <w:spacing w:after="100"/>
      </w:pPr>
      <w:r>
        <w:t xml:space="preserve">Escalate under ESC-SOP-01 for overheating, smoke or a swelling battery (ESC-T01), the same fault raised 2 or more times in 30 days (ESC-T06), claims above USD 500 (ESC-T07), goodwill or exception requests (ESC-T09), and legal or consumer-authority threats (ESC-T05).</w:t>
      </w:r>
    </w:p>
    <w:p>
      <w:pPr>
        <w:pStyle w:val="Heading1"/>
      </w:pPr>
      <w:r>
        <w:t xml:space="preserve">11. Follow-Up</w:t>
      </w:r>
    </w:p>
    <w:p>
      <w:pPr>
        <w:pStyle w:val="Heading2"/>
      </w:pPr>
      <w:r>
        <w:t xml:space="preserve">11.1  Follow-up schedule</w:t>
      </w:r>
    </w:p>
    <w:p>
      <w:pPr>
        <w:spacing w:after="100"/>
      </w:pPr>
      <w:r>
        <w:t xml:space="preserve">While a product is in repair, update the customer every 5 business days. Confirm resolution within 1 business day of the repaired or replacement item being delivered.</w:t>
      </w:r>
    </w:p>
    <w:p>
      <w:pPr>
        <w:pStyle w:val="Heading1"/>
      </w:pPr>
      <w: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Version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Effective</w:t>
            </w:r>
          </w:p>
        </w:tc>
        <w:tc>
          <w:tcPr>
            <w:tcW w:type="dxa" w:w="5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Change summary</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1.2</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01 September 2026</w:t>
            </w:r>
          </w:p>
        </w:tc>
        <w:tc>
          <w:tcPr>
            <w:tcW w:type="dxa" w:w="5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Added VoltKart Care extension, pro-rata refund rule and approval limits.</w:t>
            </w:r>
          </w:p>
        </w:tc>
      </w:tr>
      <w:t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1.1</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01 September 2025</w:t>
            </w:r>
          </w:p>
        </w:tc>
        <w:tc>
          <w:tcPr>
            <w:tcW w:type="dxa" w:w="5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sz w:val="19"/>
                <w:szCs w:val="19"/>
              </w:rPr>
              <w:t xml:space="preserve">Superseded by v1.2.</w:t>
            </w:r>
          </w:p>
        </w:tc>
      </w:tr>
    </w:tbl>
    <w:p>
      <w:pPr>
        <w:spacing w:after="80"/>
      </w:pPr>
    </w:p>
    <w:p>
      <w:pPr>
        <w:spacing w:before="200"/>
      </w:pPr>
      <w:r>
        <w:rPr>
          <w:i/>
          <w:iCs/>
          <w:color w:val="595959"/>
          <w:sz w:val="18"/>
          <w:szCs w:val="18"/>
        </w:rPr>
        <w:t xml:space="preserve">This document is a fictional sample created for the SupportNova project. It contains no real customer or company data.</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VoltKart Electronics Ltd. – Internal Approved Document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pPr>
    <w:r>
      <w:rPr>
        <w:color w:val="595959"/>
        <w:sz w:val="17"/>
        <w:szCs w:val="17"/>
      </w:rPr>
      <w:t xml:space="preserve">WAR-POL-03  |  v1.2  |  Warranty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b/>
      <w:bCs/>
      <w:color w:val="1F3864"/>
      <w:sz w:val="56"/>
      <w:szCs w:val="56"/>
    </w:rPr>
  </w:style>
  <w:style w:type="paragraph" w:styleId="Heading1">
    <w:name w:val="Heading 1"/>
    <w:basedOn w:val="Normal"/>
    <w:next w:val="Normal"/>
    <w:qFormat/>
    <w:pPr>
      <w:keepNext/>
      <w:spacing w:after="80" w:before="280"/>
      <w:outlineLvl w:val="0"/>
    </w:pPr>
    <w:rPr>
      <w:b/>
      <w:bCs/>
      <w:color w:val="1F3864"/>
      <w:sz w:val="32"/>
      <w:szCs w:val="32"/>
    </w:rPr>
  </w:style>
  <w:style w:type="paragraph" w:styleId="Heading2">
    <w:name w:val="Heading 2"/>
    <w:basedOn w:val="Normal"/>
    <w:next w:val="Normal"/>
    <w:qFormat/>
    <w:pPr>
      <w:keepNext/>
      <w:spacing w:after="60" w:before="16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2026-09-24T09:44:54.020Z</dcterms:created>
  <dcterms:modified xsi:type="dcterms:W3CDTF">2026-09-24T09:44:54.020Z</dcterms:modified>
</cp:coreProperties>
</file>

<file path=docProps/custom.xml><?xml version="1.0" encoding="utf-8"?>
<Properties xmlns="http://schemas.openxmlformats.org/officeDocument/2006/custom-properties" xmlns:vt="http://schemas.openxmlformats.org/officeDocument/2006/docPropsVTypes"/>
</file>