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DC2626"/>
          <w:sz w:val="52"/>
          <w:szCs w:val="52"/>
        </w:rPr>
        <w:t xml:space="preserve">F1 2026 Championship</w:t>
      </w:r>
    </w:p>
    <w:p>
      <w:pPr>
        <w:jc w:val="center"/>
      </w:pPr>
      <w:r>
        <w:rPr>
          <w:rFonts w:ascii="Arial" w:cs="Arial" w:eastAsia="Arial" w:hAnsi="Arial"/>
          <w:b/>
          <w:bCs/>
          <w:color w:val="1F2937"/>
          <w:sz w:val="52"/>
          <w:szCs w:val="52"/>
        </w:rPr>
        <w:t xml:space="preserve">Prediction Model</w:t>
      </w:r>
    </w:p>
    <w:p>
      <w:pPr>
        <w:spacing w:before="200"/>
        <w:jc w:val="center"/>
      </w:pPr>
      <w:r>
        <w:rPr>
          <w:rFonts w:ascii="Arial" w:cs="Arial" w:eastAsia="Arial" w:hAnsi="Arial"/>
          <w:color w:val="6B7280"/>
          <w:sz w:val="28"/>
          <w:szCs w:val="28"/>
        </w:rPr>
        <w:t xml:space="preserve">Technical Documentation v3.0</w:t>
      </w:r>
    </w:p>
    <w:p>
      <w:pPr>
        <w:spacing w:before="600"/>
        <w:jc w:val="center"/>
      </w:pPr>
      <w:r>
        <w:rPr>
          <w:rFonts w:ascii="Arial" w:cs="Arial" w:eastAsia="Arial" w:hAnsi="Arial"/>
          <w:i/>
          <w:iCs/>
          <w:color w:val="6B7280"/>
          <w:sz w:val="24"/>
          <w:szCs w:val="24"/>
        </w:rPr>
        <w:t xml:space="preserve">Multi-Model ML Pipeline with Monte Carlo Simulation</w:t>
      </w:r>
    </w:p>
    <w:p>
      <w:pPr>
        <w:spacing w:before="200"/>
        <w:jc w:val="center"/>
      </w:pPr>
      <w:r>
        <w:rPr>
          <w:rFonts w:ascii="Arial" w:cs="Arial" w:eastAsia="Arial" w:hAnsi="Arial"/>
          <w:color w:val="9CA3AF"/>
          <w:sz w:val="22"/>
          <w:szCs w:val="22"/>
        </w:rPr>
        <w:t xml:space="preserve">Ayoob | February 2026</w:t>
      </w:r>
    </w:p>
    <w:p>
      <w:pPr>
        <w:spacing w:before="200"/>
        <w:jc w:val="center"/>
      </w:pPr>
      <w:r>
        <w:rPr>
          <w:rFonts w:ascii="Arial" w:cs="Arial" w:eastAsia="Arial" w:hAnsi="Arial"/>
          <w:color w:val="3B82F6"/>
          <w:sz w:val="20"/>
          <w:szCs w:val="20"/>
        </w:rPr>
        <w:t xml:space="preserve">github.com/AmaarAyoob1/f1-2026-predictor</w:t>
      </w:r>
    </w:p>
    <w:p>
      <w:r>
        <w:br w:type="page"/>
      </w:r>
    </w:p>
    <w:p>
      <w:pPr>
        <w:pStyle w:val="Heading1"/>
      </w:pPr>
      <w:r>
        <w:rPr>
          <w:rFonts w:ascii="Arial" w:cs="Arial" w:eastAsia="Arial" w:hAnsi="Arial"/>
        </w:rPr>
        <w:t xml:space="preserve">1. Executive Summary</w:t>
      </w:r>
    </w:p>
    <w:p>
      <w:pPr>
        <w:spacing w:after="120" w:before="0"/>
      </w:pPr>
      <w:r>
        <w:rPr>
          <w:rFonts w:ascii="Arial" w:cs="Arial" w:eastAsia="Arial" w:hAnsi="Arial"/>
          <w:b w:val="false"/>
          <w:bCs w:val="false"/>
          <w:i w:val="false"/>
          <w:iCs w:val="false"/>
          <w:sz w:val="22"/>
          <w:szCs w:val="22"/>
        </w:rPr>
        <w:t xml:space="preserve">This document describes a multi-model machine learning pipeline that predicts the 2026 Formula 1 World Drivers' and Constructors' Championships. The system combines Gradient Boosting position prediction, Bayesian probability estimation, and Monte Carlo season simulation into a weighted ensemble, producing championship win probabilities and expected points totals for all 22 drivers on the 2026 grid.</w:t>
      </w:r>
    </w:p>
    <w:p>
      <w:pPr>
        <w:spacing w:after="120" w:before="0"/>
      </w:pPr>
      <w:r>
        <w:rPr>
          <w:rFonts w:ascii="Arial" w:cs="Arial" w:eastAsia="Arial" w:hAnsi="Arial"/>
          <w:b w:val="false"/>
          <w:bCs w:val="false"/>
          <w:i w:val="false"/>
          <w:iCs w:val="false"/>
          <w:sz w:val="22"/>
          <w:szCs w:val="22"/>
        </w:rPr>
        <w:t xml:space="preserve">The 2026 season presents a unique forecasting challenge: the most radical regulation change since 2014 introduces new power units (50/50 ICE/electric split), active aerodynamics, and revised chassis dimensions. Historical analysis of prior regulation resets (2014, 2017, 2022) demonstrates that pre-regulation performance is a poor predictor of post-regulation outcomes, necessitating a model architecture that heavily weights forward-looking signals over backward-looking statistics.</w:t>
      </w:r>
    </w:p>
    <w:p>
      <w:pPr>
        <w:spacing w:after="120" w:before="120"/>
      </w:pPr>
      <w:r>
        <w:rPr>
          <w:rFonts w:ascii="Arial" w:cs="Arial" w:eastAsia="Arial" w:hAnsi="Arial"/>
          <w:b/>
          <w:bCs/>
          <w:i w:val="false"/>
          <w:iCs w:val="false"/>
          <w:sz w:val="22"/>
          <w:szCs w:val="22"/>
        </w:rPr>
        <w:t xml:space="preserve">Key Results:</w:t>
      </w:r>
    </w:p>
    <w:p>
      <w:pPr>
        <w:spacing w:after="120" w:before="0"/>
      </w:pPr>
      <w:r>
        <w:rPr>
          <w:rFonts w:ascii="Arial" w:cs="Arial" w:eastAsia="Arial" w:hAnsi="Arial"/>
          <w:b w:val="false"/>
          <w:bCs w:val="false"/>
          <w:i w:val="false"/>
          <w:iCs w:val="false"/>
          <w:sz w:val="22"/>
          <w:szCs w:val="22"/>
        </w:rPr>
        <w:t xml:space="preserve">The model predicts Max Verstappen (34.8%), Lando Norris (23.0%), and George Russell (12.7%) as the top three championship contenders. The GBM position predictor, trained on 270 driver-seasons loaded from the Kaggle F1 World Championship dataset, achieves a Leave-One-Out RMSE of 1.72, meaning predictions are accurate to within approximately 2 championship positions.</w:t>
      </w:r>
    </w:p>
    <w:p>
      <w:pPr>
        <w:pStyle w:val="Heading1"/>
      </w:pPr>
      <w:r>
        <w:rPr>
          <w:rFonts w:ascii="Arial" w:cs="Arial" w:eastAsia="Arial" w:hAnsi="Arial"/>
        </w:rPr>
        <w:t xml:space="preserve">2. Data Sources &amp; Feature Set</w:t>
      </w:r>
    </w:p>
    <w:p>
      <w:pPr>
        <w:pStyle w:val="Heading2"/>
      </w:pPr>
      <w:r>
        <w:rPr>
          <w:rFonts w:ascii="Arial" w:cs="Arial" w:eastAsia="Arial" w:hAnsi="Arial"/>
        </w:rPr>
        <w:t xml:space="preserve">2.1 Historical Data (2014-2025)</w:t>
      </w:r>
    </w:p>
    <w:p>
      <w:pPr>
        <w:spacing w:after="120" w:before="0"/>
      </w:pPr>
      <w:r>
        <w:rPr>
          <w:rFonts w:ascii="Arial" w:cs="Arial" w:eastAsia="Arial" w:hAnsi="Arial"/>
          <w:b w:val="false"/>
          <w:bCs w:val="false"/>
          <w:i w:val="false"/>
          <w:iCs w:val="false"/>
          <w:sz w:val="22"/>
          <w:szCs w:val="22"/>
        </w:rPr>
        <w:t xml:space="preserve">The training dataset contains 270 driver-season records spanning the hybrid era (2014-2025). For 2014-2024, all data is loaded at runtime from the Kaggle F1 World Championship dataset via an ETL pipeline (kaggle_loader.py) that extracts championship standings, race results, qualifying performance, top-10 rates, and DNF rates directly from CSV files. This replaced 300+ lines of manually curated data with a reproducible data pipeline, expanding training records from 159 to 270 (+70%) by including all grid drivers rather than a curated top-10 subset. The 2025 season data is hardcoded from official FIA standings and Fox Sports.</w:t>
      </w:r>
    </w:p>
    <w:p>
      <w:pPr>
        <w:spacing w:after="120" w:before="0"/>
      </w:pPr>
      <w:r>
        <w:rPr>
          <w:rFonts w:ascii="Arial" w:cs="Arial" w:eastAsia="Arial" w:hAnsi="Arial"/>
          <w:b w:val="false"/>
          <w:bCs w:val="false"/>
          <w:i w:val="false"/>
          <w:iCs w:val="false"/>
          <w:sz w:val="22"/>
          <w:szCs w:val="22"/>
        </w:rPr>
        <w:t xml:space="preserve">For each driver-season, the following raw statistics are captured: championship position, total points, wins, podiums, pole positions, races started, qualifying performance (average position, Q3 rate, front row rate), top-10 finish rate, and DNF rate. The 2025 season data was verified against official FIA standings, with top-10 and DNF statistics sourced from Fox Sports.</w:t>
      </w:r>
    </w:p>
    <w:p>
      <w:pPr>
        <w:pStyle w:val="Heading2"/>
      </w:pPr>
      <w:r>
        <w:rPr>
          <w:rFonts w:ascii="Arial" w:cs="Arial" w:eastAsia="Arial" w:hAnsi="Arial"/>
        </w:rPr>
        <w:t xml:space="preserve">2.2 Forward-Looking 2026 Data</w:t>
      </w:r>
    </w:p>
    <w:p>
      <w:pPr>
        <w:spacing w:after="120" w:before="0"/>
      </w:pPr>
      <w:r>
        <w:rPr>
          <w:rFonts w:ascii="Arial" w:cs="Arial" w:eastAsia="Arial" w:hAnsi="Arial"/>
          <w:b w:val="false"/>
          <w:bCs w:val="false"/>
          <w:i w:val="false"/>
          <w:iCs w:val="false"/>
          <w:sz w:val="22"/>
          <w:szCs w:val="22"/>
        </w:rPr>
        <w:t xml:space="preserve">Pre-season signals include: expert testing ratings (scale 0-100 per team from aggregated journalist assessments), engine maturity scores (years of hybrid PU development + works team bonus), preseason reliability ratings, regulation adaptation scores (based on team resource allocation and technical staff changes), and bookmaker odds for the WDC.</w:t>
      </w:r>
    </w:p>
    <w:p>
      <w:pPr>
        <w:pStyle w:val="Heading2"/>
      </w:pPr>
      <w:r>
        <w:rPr>
          <w:rFonts w:ascii="Arial" w:cs="Arial" w:eastAsia="Arial" w:hAnsi="Arial"/>
        </w:rPr>
        <w:t xml:space="preserve">2.3 Rolling Feature Engineering</w:t>
      </w:r>
    </w:p>
    <w:p>
      <w:pPr>
        <w:spacing w:after="120" w:before="0"/>
      </w:pPr>
      <w:r>
        <w:rPr>
          <w:rFonts w:ascii="Arial" w:cs="Arial" w:eastAsia="Arial" w:hAnsi="Arial"/>
          <w:b w:val="false"/>
          <w:bCs w:val="false"/>
          <w:i w:val="false"/>
          <w:iCs w:val="false"/>
          <w:sz w:val="22"/>
          <w:szCs w:val="22"/>
        </w:rPr>
        <w:t xml:space="preserve">All backward-looking features use a 3-year rolling window to capture recent form while filtering out outdated performance. Rolling features include: average points per race, average championship position, win rate, podium rate, top-10 finish rate, and DNF rate. Career-level features (total seasons, total wins) use the full historical window.</w:t>
      </w:r>
    </w:p>
    <w:p>
      <w:pPr>
        <w:pStyle w:val="Heading1"/>
      </w:pPr>
      <w:r>
        <w:rPr>
          <w:rFonts w:ascii="Arial" w:cs="Arial" w:eastAsia="Arial" w:hAnsi="Arial"/>
        </w:rPr>
        <w:t xml:space="preserve">3. Model Architecture</w:t>
      </w:r>
    </w:p>
    <w:p>
      <w:pPr>
        <w:pStyle w:val="Heading2"/>
      </w:pPr>
      <w:r>
        <w:rPr>
          <w:rFonts w:ascii="Arial" w:cs="Arial" w:eastAsia="Arial" w:hAnsi="Arial"/>
        </w:rPr>
        <w:t xml:space="preserve">3.1 Gradient Boosting Position Predictor</w:t>
      </w:r>
    </w:p>
    <w:p>
      <w:pPr>
        <w:spacing w:after="120" w:before="0"/>
      </w:pPr>
      <w:r>
        <w:rPr>
          <w:rFonts w:ascii="Arial" w:cs="Arial" w:eastAsia="Arial" w:hAnsi="Arial"/>
          <w:b w:val="false"/>
          <w:bCs w:val="false"/>
          <w:i w:val="false"/>
          <w:iCs w:val="false"/>
          <w:sz w:val="22"/>
          <w:szCs w:val="22"/>
        </w:rPr>
        <w:t xml:space="preserve">A scikit-learn GradientBoostingRegressor trained on 19 features to predict championship position. Hyperparameters: n_estimators=100, max_depth=3, learning_rate=0.1, subsample=0.8. The model is evaluated using Leave-One-Out cross-validation (LOO-CV), achieving an average RMSE of 1.72 across all 270 records. The 14% RMSE improvement (from 1.99 with 159 records) is primarily due to backfield calibration: the expanded dataset includes 20-25 drivers per year instead of 10-16, giving the GBM anchor points for P15-P22 finishers.</w:t>
      </w:r>
    </w:p>
    <w:p>
      <w:pPr>
        <w:spacing w:after="120" w:before="0"/>
      </w:pPr>
      <w:r>
        <w:rPr>
          <w:rFonts w:ascii="Arial" w:cs="Arial" w:eastAsia="Arial" w:hAnsi="Arial"/>
          <w:b w:val="false"/>
          <w:bCs w:val="false"/>
          <w:i w:val="false"/>
          <w:iCs w:val="false"/>
          <w:sz w:val="22"/>
          <w:szCs w:val="22"/>
        </w:rPr>
        <w:t xml:space="preserve">The 19 training features are: rolling_avg_ppr, rolling_avg_position, rolling_win_rate, rolling_podium_rate, career_seasons, career_total_wins, performance_trend, team_rolling_position, team_rolling_points, team_rolling_wins, team_development_rate, reg_change_score, elo_at_season, engine_hybrid_years, engine_titles_won, engine_maturity_score, is_reg_change_year, elo_x_team_pos, and trend_x_reg.</w:t>
      </w:r>
    </w:p>
    <w:p>
      <w:pPr>
        <w:pStyle w:val="Heading2"/>
      </w:pPr>
      <w:r>
        <w:rPr>
          <w:rFonts w:ascii="Arial" w:cs="Arial" w:eastAsia="Arial" w:hAnsi="Arial"/>
        </w:rPr>
        <w:t xml:space="preserve">3.2 Elo Rating System</w:t>
      </w:r>
    </w:p>
    <w:p>
      <w:pPr>
        <w:spacing w:after="120" w:before="0"/>
      </w:pPr>
      <w:r>
        <w:rPr>
          <w:rFonts w:ascii="Arial" w:cs="Arial" w:eastAsia="Arial" w:hAnsi="Arial"/>
          <w:b w:val="false"/>
          <w:bCs w:val="false"/>
          <w:i w:val="false"/>
          <w:iCs w:val="false"/>
          <w:sz w:val="22"/>
          <w:szCs w:val="22"/>
        </w:rPr>
        <w:t xml:space="preserve">A custom Elo system tracks driver skill evolution across seasons. The implementation uses a K-factor of 32 for rapid adaptation, with seasonal updates based on championship position. Starting ratings are initialized at 1500, and the system processes all 270 driver-seasons chronologically. Final 2025 Elo ratings range from 1375 (Hulkenberg) to 1710 (Verstappen). The expanded dataset (from 159 to 270 records) caused Elo ratings to drop 30-40 points across the board, as more opponents in the system spread ratings more realistically.</w:t>
      </w:r>
    </w:p>
    <w:p>
      <w:pPr>
        <w:pStyle w:val="Heading2"/>
      </w:pPr>
      <w:r>
        <w:rPr>
          <w:rFonts w:ascii="Arial" w:cs="Arial" w:eastAsia="Arial" w:hAnsi="Arial"/>
        </w:rPr>
        <w:t xml:space="preserve">3.3 Bayesian Championship Probability</w:t>
      </w:r>
    </w:p>
    <w:p>
      <w:pPr>
        <w:spacing w:after="120" w:before="0"/>
      </w:pPr>
      <w:r>
        <w:rPr>
          <w:rFonts w:ascii="Arial" w:cs="Arial" w:eastAsia="Arial" w:hAnsi="Arial"/>
          <w:b w:val="false"/>
          <w:bCs w:val="false"/>
          <w:i w:val="false"/>
          <w:iCs w:val="false"/>
          <w:sz w:val="22"/>
          <w:szCs w:val="22"/>
        </w:rPr>
        <w:t xml:space="preserve">Bookmaker odds are converted to implied probabilities, then calibrated using a Bayesian framework that adjusts for bookmaker overround (vig). The Bayesian model incorporates a prior distribution based on historical Elo ratings and updates with forward-looking testing data. This produces a separate win probability for each driver.</w:t>
      </w:r>
    </w:p>
    <w:p>
      <w:pPr>
        <w:pStyle w:val="Heading2"/>
      </w:pPr>
      <w:r>
        <w:rPr>
          <w:rFonts w:ascii="Arial" w:cs="Arial" w:eastAsia="Arial" w:hAnsi="Arial"/>
        </w:rPr>
        <w:t xml:space="preserve">3.4 Monte Carlo Season Simulator</w:t>
      </w:r>
    </w:p>
    <w:p>
      <w:pPr>
        <w:spacing w:after="120" w:before="0"/>
      </w:pPr>
      <w:r>
        <w:rPr>
          <w:rFonts w:ascii="Arial" w:cs="Arial" w:eastAsia="Arial" w:hAnsi="Arial"/>
          <w:b w:val="false"/>
          <w:bCs w:val="false"/>
          <w:i w:val="false"/>
          <w:iCs w:val="false"/>
          <w:sz w:val="22"/>
          <w:szCs w:val="22"/>
        </w:rPr>
        <w:t xml:space="preserve">The MC simulator runs 10,000 complete season simulations, each consisting of 24 races. For each simulation, driver performance is drawn from a normal distribution centered on their composite strength score with per-race noise. The simulator was extensively redesigned to address issues with early versions that produced unrealistic results (e.g., Piastri at 0% win probability, backmarkers scoring 0 points).</w:t>
      </w:r>
    </w:p>
    <w:p>
      <w:pPr>
        <w:pStyle w:val="Heading1"/>
      </w:pPr>
      <w:r>
        <w:rPr>
          <w:rFonts w:ascii="Arial" w:cs="Arial" w:eastAsia="Arial" w:hAnsi="Arial"/>
        </w:rPr>
        <w:t xml:space="preserve">4. Composite Driver Strength Formula</w:t>
      </w:r>
    </w:p>
    <w:p>
      <w:pPr>
        <w:spacing w:after="200" w:before="0"/>
      </w:pPr>
      <w:r>
        <w:rPr>
          <w:rFonts w:ascii="Arial" w:cs="Arial" w:eastAsia="Arial" w:hAnsi="Arial"/>
          <w:b w:val="false"/>
          <w:bCs w:val="false"/>
          <w:i w:val="false"/>
          <w:iCs w:val="false"/>
          <w:sz w:val="22"/>
          <w:szCs w:val="22"/>
        </w:rPr>
        <w:t xml:space="preserve">Each driver's strength is computed from six weighted components. The formula reflects the unique dynamics of a regulation-change year, where forward-looking signals (car quality, engine maturity) are weighted more heavily than backward-looking statistics.</w:t>
      </w:r>
    </w:p>
    <w:p>
      <w:pPr>
        <w:pStyle w:val="Heading2"/>
      </w:pPr>
      <w:r>
        <w:rPr>
          <w:rFonts w:ascii="Arial" w:cs="Arial" w:eastAsia="Arial" w:hAnsi="Arial"/>
        </w:rPr>
        <w:t xml:space="preserve">4.1 Historical Component (40% regulation discount)</w:t>
      </w:r>
    </w:p>
    <w:p>
      <w:pPr>
        <w:spacing w:after="120" w:before="0"/>
      </w:pPr>
      <w:r>
        <w:rPr>
          <w:rFonts w:ascii="Arial" w:cs="Arial" w:eastAsia="Arial" w:hAnsi="Arial"/>
          <w:b w:val="false"/>
          <w:bCs w:val="false"/>
          <w:i w:val="false"/>
          <w:iCs w:val="false"/>
          <w:sz w:val="22"/>
          <w:szCs w:val="22"/>
        </w:rPr>
        <w:t xml:space="preserve">Formula: (Elo/20 + (22 - avg_position)*1.5 + win_rate*25) × 0.40</w:t>
      </w:r>
    </w:p>
    <w:p>
      <w:pPr>
        <w:spacing w:after="120" w:before="0"/>
      </w:pPr>
      <w:r>
        <w:rPr>
          <w:rFonts w:ascii="Arial" w:cs="Arial" w:eastAsia="Arial" w:hAnsi="Arial"/>
          <w:b w:val="false"/>
          <w:bCs w:val="false"/>
          <w:i w:val="false"/>
          <w:iCs w:val="false"/>
          <w:sz w:val="22"/>
          <w:szCs w:val="22"/>
        </w:rPr>
        <w:t xml:space="preserve">The 0.40 regulation discount means only 40% of historical performance carries forward. Justification: in 2014's comparable regulation reset, the pre-regulation champion (Vettel/Red Bull) dropped from P1 to P5 as engine advantage dominated.</w:t>
      </w:r>
    </w:p>
    <w:p>
      <w:pPr>
        <w:pStyle w:val="Heading2"/>
      </w:pPr>
      <w:r>
        <w:rPr>
          <w:rFonts w:ascii="Arial" w:cs="Arial" w:eastAsia="Arial" w:hAnsi="Arial"/>
        </w:rPr>
        <w:t xml:space="preserve">4.2 Forward-Looking Component (Car/Engine)</w:t>
      </w:r>
    </w:p>
    <w:p>
      <w:pPr>
        <w:spacing w:after="120" w:before="0"/>
      </w:pPr>
      <w:r>
        <w:rPr>
          <w:rFonts w:ascii="Arial" w:cs="Arial" w:eastAsia="Arial" w:hAnsi="Arial"/>
          <w:b w:val="false"/>
          <w:bCs w:val="false"/>
          <w:i w:val="false"/>
          <w:iCs w:val="false"/>
          <w:sz w:val="22"/>
          <w:szCs w:val="22"/>
        </w:rPr>
        <w:t xml:space="preserve">Formula: expert_rating*0.65 + engine_maturity*0.55 + reliability*0.12 + reg_change_score*0.18</w:t>
      </w:r>
    </w:p>
    <w:p>
      <w:pPr>
        <w:spacing w:after="120" w:before="0"/>
      </w:pPr>
      <w:r>
        <w:rPr>
          <w:rFonts w:ascii="Arial" w:cs="Arial" w:eastAsia="Arial" w:hAnsi="Arial"/>
          <w:b w:val="false"/>
          <w:bCs w:val="false"/>
          <w:i w:val="false"/>
          <w:iCs w:val="false"/>
          <w:sz w:val="22"/>
          <w:szCs w:val="22"/>
        </w:rPr>
        <w:t xml:space="preserve">This is the dominant component, contributing 78-141 points to total strength. Expert testing ratings carry the highest weight (0.65) because pre-season testing form is the strongest available signal for year-1 performance. Works teams receive a +15 engine maturity bonus reflecting their ability to optimize PU-chassis integration.</w:t>
      </w:r>
    </w:p>
    <w:p>
      <w:pPr>
        <w:pStyle w:val="Heading3"/>
      </w:pPr>
      <w:r>
        <w:rPr>
          <w:rFonts w:ascii="Arial" w:cs="Arial" w:eastAsia="Arial" w:hAnsi="Arial"/>
        </w:rPr>
        <w:t xml:space="preserve">4.3 Driver Talent: Podium Rate</w:t>
      </w:r>
    </w:p>
    <w:p>
      <w:pPr>
        <w:spacing w:after="120" w:before="0"/>
      </w:pPr>
      <w:r>
        <w:rPr>
          <w:rFonts w:ascii="Arial" w:cs="Arial" w:eastAsia="Arial" w:hAnsi="Arial"/>
          <w:b w:val="false"/>
          <w:bCs w:val="false"/>
          <w:i w:val="false"/>
          <w:iCs w:val="false"/>
          <w:sz w:val="22"/>
          <w:szCs w:val="22"/>
        </w:rPr>
        <w:t xml:space="preserve">Formula: rolling_podium_rate × 15. Measures sustained excellence — a high podium rate means the driver consistently extracts maximum performance from the machinery.</w:t>
      </w:r>
    </w:p>
    <w:p>
      <w:pPr>
        <w:pStyle w:val="Heading3"/>
      </w:pPr>
      <w:r>
        <w:rPr>
          <w:rFonts w:ascii="Arial" w:cs="Arial" w:eastAsia="Arial" w:hAnsi="Arial"/>
        </w:rPr>
        <w:t xml:space="preserve">4.4 Driver Talent: F1 Experience</w:t>
      </w:r>
    </w:p>
    <w:p>
      <w:pPr>
        <w:spacing w:after="120" w:before="0"/>
      </w:pPr>
      <w:r>
        <w:rPr>
          <w:rFonts w:ascii="Arial" w:cs="Arial" w:eastAsia="Arial" w:hAnsi="Arial"/>
          <w:b w:val="false"/>
          <w:bCs w:val="false"/>
          <w:i w:val="false"/>
          <w:iCs w:val="false"/>
          <w:sz w:val="22"/>
          <w:szCs w:val="22"/>
        </w:rPr>
        <w:t xml:space="preserve">Formula: 1.2 × sqrt(actual_career_years). Uses actual career length, not limited by the 2014-2025 data window. Alonso gets credit for his full 22 years, not just the 9 seasons in our dataset. The square root provides diminishing returns — going from 0 to 5 years of experience matters far more than going from 15 to 20.</w:t>
      </w:r>
    </w:p>
    <w:p>
      <w:pPr>
        <w:pStyle w:val="Heading3"/>
      </w:pPr>
      <w:r>
        <w:rPr>
          <w:rFonts w:ascii="Arial" w:cs="Arial" w:eastAsia="Arial" w:hAnsi="Arial"/>
        </w:rPr>
        <w:t xml:space="preserve">4.5 Driver Talent: Regulation Veteran Bonus</w:t>
      </w:r>
    </w:p>
    <w:p>
      <w:pPr>
        <w:spacing w:after="120" w:before="0"/>
      </w:pPr>
      <w:r>
        <w:rPr>
          <w:rFonts w:ascii="Arial" w:cs="Arial" w:eastAsia="Arial" w:hAnsi="Arial"/>
          <w:b w:val="false"/>
          <w:bCs w:val="false"/>
          <w:i w:val="false"/>
          <w:iCs w:val="false"/>
          <w:sz w:val="22"/>
          <w:szCs w:val="22"/>
        </w:rPr>
        <w:t xml:space="preserve">Formula: reg_changes_survived × 2.5. Each prior regulation change survived (2014, 2017, 2022) earns 2.5 points. Drivers who adapted through the 2014 turbo-hybrid revolution have proven adaptation ability. Maximum: 7.5 points (Alonso, Hamilton, Bottas, Perez with 3 changes each).</w:t>
      </w:r>
    </w:p>
    <w:p>
      <w:pPr>
        <w:pStyle w:val="Heading3"/>
      </w:pPr>
      <w:r>
        <w:rPr>
          <w:rFonts w:ascii="Arial" w:cs="Arial" w:eastAsia="Arial" w:hAnsi="Arial"/>
        </w:rPr>
        <w:t xml:space="preserve">4.6 Driver Talent: Age-Prime Curve</w:t>
      </w:r>
    </w:p>
    <w:p>
      <w:pPr>
        <w:spacing w:after="120" w:before="0"/>
      </w:pPr>
      <w:r>
        <w:rPr>
          <w:rFonts w:ascii="Arial" w:cs="Arial" w:eastAsia="Arial" w:hAnsi="Arial"/>
          <w:b w:val="false"/>
          <w:bCs w:val="false"/>
          <w:i w:val="false"/>
          <w:iCs w:val="false"/>
          <w:sz w:val="22"/>
          <w:szCs w:val="22"/>
        </w:rPr>
        <w:t xml:space="preserve">Models the competing forces of physical peak vs. cognitive experience. Based on historical F1 performance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060"/>
        <w:gridCol w:w="3000"/>
      </w:tblGrid>
      <w:tr>
        <w:tc>
          <w:tcPr>
            <w:tcW w:type="dxa" w:w="1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Age Range</w:t>
            </w:r>
          </w:p>
        </w:tc>
        <w:tc>
          <w:tcPr>
            <w:tcW w:type="dxa" w:w="25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0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Modifier</w:t>
            </w:r>
          </w:p>
        </w:tc>
        <w:tc>
          <w:tcPr>
            <w:tcW w:type="dxa" w:w="30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Example Drivers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18-21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Developing</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0 to +1.5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Lindblad (18), Antonelli (19)</w:t>
            </w:r>
          </w:p>
        </w:tc>
      </w:tr>
      <w:tr>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22-24</w:t>
            </w:r>
          </w:p>
        </w:tc>
        <w:tc>
          <w:tcPr>
            <w:tcW w:type="dxa" w:w="2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Rising</w:t>
            </w:r>
          </w:p>
        </w:tc>
        <w:tc>
          <w:tcPr>
            <w:tcW w:type="dxa" w:w="20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+2 to +4</w:t>
            </w:r>
          </w:p>
        </w:tc>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Colapinto (22), Lawson (24)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25-31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PEAK</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+4 to +5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Verstappen (28), Sainz (31)</w:t>
            </w:r>
          </w:p>
        </w:tc>
      </w:tr>
      <w:tr>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32-35</w:t>
            </w:r>
          </w:p>
        </w:tc>
        <w:tc>
          <w:tcPr>
            <w:tcW w:type="dxa" w:w="2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Early Decline</w:t>
            </w:r>
          </w:p>
        </w:tc>
        <w:tc>
          <w:tcPr>
            <w:tcW w:type="dxa" w:w="20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+1.8 to +4.2</w:t>
            </w:r>
          </w:p>
        </w:tc>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36-40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Mid Decline</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-4.2 to +0.6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Bottas (36), Hulk (38)</w:t>
            </w:r>
          </w:p>
        </w:tc>
      </w:tr>
      <w:tr>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41+</w:t>
            </w:r>
          </w:p>
        </w:tc>
        <w:tc>
          <w:tcPr>
            <w:tcW w:type="dxa" w:w="25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Late Career</w:t>
            </w:r>
          </w:p>
        </w:tc>
        <w:tc>
          <w:tcPr>
            <w:tcW w:type="dxa" w:w="20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-5.7+</w:t>
            </w:r>
          </w:p>
        </w:tc>
        <w:tc>
          <w:tcPr>
            <w:tcW w:type="dxa" w:w="30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Hamilton (41), Alonso (44)</w:t>
            </w:r>
          </w:p>
        </w:tc>
      </w:tr>
    </w:tbl>
    <w:p>
      <w:pPr>
        <w:pStyle w:val="Heading3"/>
      </w:pPr>
      <w:r>
        <w:rPr>
          <w:rFonts w:ascii="Arial" w:cs="Arial" w:eastAsia="Arial" w:hAnsi="Arial"/>
        </w:rPr>
        <w:t xml:space="preserve">4.7 Driver Talent: Consistency Bonus (Top-10 Rate)</w:t>
      </w:r>
    </w:p>
    <w:p>
      <w:pPr>
        <w:spacing w:after="120" w:before="0"/>
      </w:pPr>
      <w:r>
        <w:rPr>
          <w:rFonts w:ascii="Arial" w:cs="Arial" w:eastAsia="Arial" w:hAnsi="Arial"/>
          <w:b w:val="false"/>
          <w:bCs w:val="false"/>
          <w:i w:val="false"/>
          <w:iCs w:val="false"/>
          <w:sz w:val="22"/>
          <w:szCs w:val="22"/>
        </w:rPr>
        <w:t xml:space="preserve">Formula: (rolling_top_10_rate - 0.50) × 10. Drivers who consistently finish in the points (P1-P10) earn a bonus, while inconsistent drivers are penalized. Verstappen's 96% top-10 rate earns +4.6, while Bortoleto's 21% rate incurs a -2.9 penalty. This captures the difference between drivers who reliably bring the car home vs. those who swing between brilliance and failure.</w:t>
      </w:r>
    </w:p>
    <w:p>
      <w:pPr>
        <w:pStyle w:val="Heading3"/>
      </w:pPr>
      <w:r>
        <w:rPr>
          <w:rFonts w:ascii="Arial" w:cs="Arial" w:eastAsia="Arial" w:hAnsi="Arial"/>
        </w:rPr>
        <w:t xml:space="preserve">4.8 Driver Talent: Reliability Penalty (DNF Rate)</w:t>
      </w:r>
    </w:p>
    <w:p>
      <w:pPr>
        <w:spacing w:after="120" w:before="0"/>
      </w:pPr>
      <w:r>
        <w:rPr>
          <w:rFonts w:ascii="Arial" w:cs="Arial" w:eastAsia="Arial" w:hAnsi="Arial"/>
          <w:b w:val="false"/>
          <w:bCs w:val="false"/>
          <w:i w:val="false"/>
          <w:iCs w:val="false"/>
          <w:sz w:val="22"/>
          <w:szCs w:val="22"/>
        </w:rPr>
        <w:t xml:space="preserve">Formula: (rolling_dnf_rate - 0.08) × -30. Baseline DNF rate of 8% is treated as neutral. Drivers with higher DNF rates (due to crashes or unreliable cars) are penalized, while those with lower rates get a small bonus. Russell's 0% DNF in 2025 earns +2.4, while Antonelli's 17% rookie DNF rate incurs a -2.7 penalty.</w:t>
      </w:r>
    </w:p>
    <w:p>
      <w:r>
        <w:br w:type="page"/>
      </w:r>
    </w:p>
    <w:p>
      <w:pPr>
        <w:pStyle w:val="Heading1"/>
      </w:pPr>
      <w:r>
        <w:rPr>
          <w:rFonts w:ascii="Arial" w:cs="Arial" w:eastAsia="Arial" w:hAnsi="Arial"/>
        </w:rPr>
        <w:t xml:space="preserve">5. Monte Carlo Simulator Design</w:t>
      </w:r>
    </w:p>
    <w:p>
      <w:pPr>
        <w:pStyle w:val="Heading2"/>
      </w:pPr>
      <w:r>
        <w:rPr>
          <w:rFonts w:ascii="Arial" w:cs="Arial" w:eastAsia="Arial" w:hAnsi="Arial"/>
        </w:rPr>
        <w:t xml:space="preserve">5.1 Strength Normalization</w:t>
      </w:r>
    </w:p>
    <w:p>
      <w:pPr>
        <w:spacing w:after="120" w:before="0"/>
      </w:pPr>
      <w:r>
        <w:rPr>
          <w:rFonts w:ascii="Arial" w:cs="Arial" w:eastAsia="Arial" w:hAnsi="Arial"/>
          <w:b w:val="false"/>
          <w:bCs w:val="false"/>
          <w:i w:val="false"/>
          <w:iCs w:val="false"/>
          <w:sz w:val="22"/>
          <w:szCs w:val="22"/>
        </w:rPr>
        <w:t xml:space="preserve">Raw strength scores (range ~113-200) are compressed to a 30-100 scale. The floor of 30 ensures even the weakest driver has a non-zero probability of scoring points in chaotic races, matching real F1 where backmarkers occasionally score (e.g., Hulkenberg P3 from P19 at Silverstone 2025).</w:t>
      </w:r>
    </w:p>
    <w:p>
      <w:pPr>
        <w:pStyle w:val="Heading2"/>
      </w:pPr>
      <w:r>
        <w:rPr>
          <w:rFonts w:ascii="Arial" w:cs="Arial" w:eastAsia="Arial" w:hAnsi="Arial"/>
        </w:rPr>
        <w:t xml:space="preserve">5.2 Per-Season Form Variance</w:t>
      </w:r>
    </w:p>
    <w:p>
      <w:pPr>
        <w:spacing w:after="120" w:before="0"/>
      </w:pPr>
      <w:r>
        <w:rPr>
          <w:rFonts w:ascii="Arial" w:cs="Arial" w:eastAsia="Arial" w:hAnsi="Arial"/>
          <w:b w:val="false"/>
          <w:bCs w:val="false"/>
          <w:i w:val="false"/>
          <w:iCs w:val="false"/>
          <w:sz w:val="22"/>
          <w:szCs w:val="22"/>
        </w:rPr>
        <w:t xml:space="preserve">At the start of each simulated season, every driver receives a random seasonal offset drawn from N(0, 5). This models unpredictable factors: car setup affinity, personal confidence, adaptation speed to new regulations. For a 6.7-point teammate gap, the σ=5 offset allows the weaker teammate to outperform in roughly 30% of simulated seasons, matching real-world teammate battles.</w:t>
      </w:r>
    </w:p>
    <w:p>
      <w:pPr>
        <w:pStyle w:val="Heading2"/>
      </w:pPr>
      <w:r>
        <w:rPr>
          <w:rFonts w:ascii="Arial" w:cs="Arial" w:eastAsia="Arial" w:hAnsi="Arial"/>
        </w:rPr>
        <w:t xml:space="preserve">5.3 Race Chaos Modeling</w:t>
      </w:r>
    </w:p>
    <w:p>
      <w:pPr>
        <w:spacing w:after="120" w:before="0"/>
      </w:pPr>
      <w:r>
        <w:rPr>
          <w:rFonts w:ascii="Arial" w:cs="Arial" w:eastAsia="Arial" w:hAnsi="Arial"/>
          <w:b w:val="false"/>
          <w:bCs w:val="false"/>
          <w:i w:val="false"/>
          <w:iCs w:val="false"/>
          <w:sz w:val="22"/>
          <w:szCs w:val="22"/>
        </w:rPr>
        <w:t xml:space="preserve">Each simulated race includes: per-race noise σ=15 (increased from 12 for regulation-change uncertainty), safety car probability 40% adding ±6 strategy luck, first-lap incident probability 20% with 12% driver involvement and potential DNF, wet race probability 15% compressing the field (reducing top-team advantage 30%, adding σ=10 variance), and mid-season convergence factor 0.10 (weaker teams copy frontrunners as season progresses).</w:t>
      </w:r>
    </w:p>
    <w:p>
      <w:pPr>
        <w:pStyle w:val="Heading1"/>
      </w:pPr>
      <w:r>
        <w:rPr>
          <w:rFonts w:ascii="Arial" w:cs="Arial" w:eastAsia="Arial" w:hAnsi="Arial"/>
        </w:rPr>
        <w:t xml:space="preserve">6. Ensemble Weighting</w:t>
      </w:r>
    </w:p>
    <w:p>
      <w:pPr>
        <w:spacing w:after="120" w:before="0"/>
      </w:pPr>
      <w:r>
        <w:rPr>
          <w:rFonts w:ascii="Arial" w:cs="Arial" w:eastAsia="Arial" w:hAnsi="Arial"/>
          <w:b w:val="false"/>
          <w:bCs w:val="false"/>
          <w:i w:val="false"/>
          <w:iCs w:val="false"/>
          <w:sz w:val="22"/>
          <w:szCs w:val="22"/>
        </w:rPr>
        <w:t xml:space="preserve">The final championship win probability is computed as: Ensemble = 0.50 × MC_Win% + 0.50 × Bayesian_Win%. The equal weighting reflects uncertainty about which model better captures 2026's unique regulation-change dynamics. The MC model excels at modeling car-dependent performance (forward-looking), while the Bayesian model captures champion pedigree and market consensus (backward-looking).</w:t>
      </w:r>
    </w:p>
    <w:p>
      <w:pPr>
        <w:spacing w:after="120" w:before="0"/>
      </w:pPr>
      <w:r>
        <w:rPr>
          <w:rFonts w:ascii="Arial" w:cs="Arial" w:eastAsia="Arial" w:hAnsi="Arial"/>
          <w:b w:val="false"/>
          <w:bCs w:val="false"/>
          <w:i w:val="false"/>
          <w:iCs w:val="false"/>
          <w:sz w:val="22"/>
          <w:szCs w:val="22"/>
        </w:rPr>
        <w:t xml:space="preserve">Expected points (Avg Pts) come exclusively from the MC simulator's 10,000-season average, not from the ensemble. This means a driver can have lower expected points but higher ensemble win probability if the Bayesian model favors them (e.g., Norris: 293 pts but 23.0% win probability, vs. Russell: 291 pts but 12.7%).</w:t>
      </w:r>
    </w:p>
    <w:p>
      <w:pPr>
        <w:pStyle w:val="Heading1"/>
      </w:pPr>
      <w:r>
        <w:rPr>
          <w:rFonts w:ascii="Arial" w:cs="Arial" w:eastAsia="Arial" w:hAnsi="Arial"/>
        </w:rPr>
        <w:t xml:space="preserve">7. Model Evaluation</w:t>
      </w:r>
    </w:p>
    <w:p>
      <w:pPr>
        <w:pStyle w:val="Heading2"/>
      </w:pPr>
      <w:r>
        <w:rPr>
          <w:rFonts w:ascii="Arial" w:cs="Arial" w:eastAsia="Arial" w:hAnsi="Arial"/>
        </w:rPr>
        <w:t xml:space="preserve">7.1 GBM Position Predictor</w:t>
      </w:r>
    </w:p>
    <w:p>
      <w:pPr>
        <w:spacing w:after="120" w:before="0"/>
      </w:pPr>
      <w:r>
        <w:rPr>
          <w:rFonts w:ascii="Arial" w:cs="Arial" w:eastAsia="Arial" w:hAnsi="Arial"/>
          <w:b w:val="false"/>
          <w:bCs w:val="false"/>
          <w:i w:val="false"/>
          <w:iCs w:val="false"/>
          <w:sz w:val="22"/>
          <w:szCs w:val="22"/>
        </w:rPr>
        <w:t xml:space="preserve">Leave-One-Out Cross-Validation RMSE: 1.72. This means the model predicts championship finishing position within approximately 2 places on average, a 14% improvement over the previous curated dataset (RMSE 1.99 with 159 records).</w:t>
      </w:r>
    </w:p>
    <w:p>
      <w:pPr>
        <w:pStyle w:val="Heading2"/>
      </w:pPr>
      <w:r>
        <w:rPr>
          <w:rFonts w:ascii="Arial" w:cs="Arial" w:eastAsia="Arial" w:hAnsi="Arial"/>
        </w:rPr>
        <w:t xml:space="preserve">7.2 Feature Ablation Studies</w:t>
      </w:r>
    </w:p>
    <w:p>
      <w:pPr>
        <w:spacing w:after="120" w:before="0"/>
      </w:pPr>
      <w:r>
        <w:rPr>
          <w:rFonts w:ascii="Arial" w:cs="Arial" w:eastAsia="Arial" w:hAnsi="Arial"/>
          <w:b w:val="false"/>
          <w:bCs w:val="false"/>
          <w:i w:val="false"/>
          <w:iCs w:val="false"/>
          <w:sz w:val="22"/>
          <w:szCs w:val="22"/>
        </w:rPr>
        <w:t xml:space="preserve">Qualifying performance features (avg_quali_pos, q3_rate, front_row_rate) were tested and rejected. Adding them increased LOO RMSE from 1.98 to 2.08 due to multicollinearity with existing features (win_rate, podium_rate). Top-10 rate and DNF rate were intentionally added only to the MC strength formula, not the GBM, to avoid this issue. Additionally, race-by-race finishing position variance (CV) and grid-to-finish delta were analyzed from the Kaggle dataset as potential features but excluded from the model to avoid overfitting (19 features on 270 records is already near the practical limit). These metrics are instead presented as exploratory insights in the dashboard's Insights tab.</w:t>
      </w:r>
    </w:p>
    <w:p>
      <w:pPr>
        <w:pStyle w:val="Heading1"/>
      </w:pPr>
      <w:r>
        <w:rPr>
          <w:rFonts w:ascii="Arial" w:cs="Arial" w:eastAsia="Arial" w:hAnsi="Arial"/>
        </w:rPr>
        <w:t xml:space="preserve">8. Final Predictions</w:t>
      </w:r>
    </w:p>
    <w:p>
      <w:pPr>
        <w:pStyle w:val="Heading2"/>
      </w:pPr>
      <w:r>
        <w:rPr>
          <w:rFonts w:ascii="Arial" w:cs="Arial" w:eastAsia="Arial" w:hAnsi="Arial"/>
        </w:rPr>
        <w:t xml:space="preserve">8.1 World Drivers' Championship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1800"/>
        <w:gridCol w:w="1100"/>
        <w:gridCol w:w="1100"/>
        <w:gridCol w:w="1100"/>
        <w:gridCol w:w="1460"/>
      </w:tblGrid>
      <w:tr>
        <w:tc>
          <w:tcPr>
            <w:tcW w:type="dxa" w:w="6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Pos</w:t>
            </w:r>
          </w:p>
        </w:tc>
        <w:tc>
          <w:tcPr>
            <w:tcW w:type="dxa" w:w="22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Driver</w:t>
            </w:r>
          </w:p>
        </w:tc>
        <w:tc>
          <w:tcPr>
            <w:tcW w:type="dxa" w:w="18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Team</w:t>
            </w:r>
          </w:p>
        </w:tc>
        <w:tc>
          <w:tcPr>
            <w:tcW w:type="dxa" w:w="1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MC%</w:t>
            </w:r>
          </w:p>
        </w:tc>
        <w:tc>
          <w:tcPr>
            <w:tcW w:type="dxa" w:w="1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Bayes%</w:t>
            </w:r>
          </w:p>
        </w:tc>
        <w:tc>
          <w:tcPr>
            <w:tcW w:type="dxa" w:w="1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Ens%</w:t>
            </w:r>
          </w:p>
        </w:tc>
        <w:tc>
          <w:tcPr>
            <w:tcW w:type="dxa" w:w="14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Avg Pts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Max Verstappen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Red Bull</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37.8</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31.8</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34.8</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325</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2</w:t>
            </w:r>
          </w:p>
        </w:tc>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Lando Norris</w:t>
            </w:r>
          </w:p>
        </w:tc>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McLaren</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18.3</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27.8</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23.0</w:t>
            </w:r>
          </w:p>
        </w:tc>
        <w:tc>
          <w:tcPr>
            <w:tcW w:type="dxa" w:w="14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293</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George Russell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Mercedes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17.0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8.3</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12.7</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291</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4</w:t>
            </w:r>
          </w:p>
        </w:tc>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Charles Leclerc</w:t>
            </w:r>
          </w:p>
        </w:tc>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Ferrari</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16.1</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3.7</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9.9</w:t>
            </w:r>
          </w:p>
        </w:tc>
        <w:tc>
          <w:tcPr>
            <w:tcW w:type="dxa" w:w="14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287</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Oscar Piastri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McLaren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20.3</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11.8</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232</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6</w:t>
            </w:r>
          </w:p>
        </w:tc>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Lewis Hamilton</w:t>
            </w:r>
          </w:p>
        </w:tc>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Ferrari</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7.3</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0.9</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4.1</w:t>
            </w:r>
          </w:p>
        </w:tc>
        <w:tc>
          <w:tcPr>
            <w:tcW w:type="dxa" w:w="14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258</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Carlos Sainz</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Williams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1.8</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0.9</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137</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8</w:t>
            </w:r>
          </w:p>
        </w:tc>
        <w:tc>
          <w:tcPr>
            <w:tcW w:type="dxa" w:w="2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Kimi Antonelli</w:t>
            </w:r>
          </w:p>
        </w:tc>
        <w:tc>
          <w:tcPr>
            <w:tcW w:type="dxa" w:w="18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Mercedes</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0.4</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1.1</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0.8</w:t>
            </w:r>
          </w:p>
        </w:tc>
        <w:tc>
          <w:tcPr>
            <w:tcW w:type="dxa" w:w="14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189</w:t>
            </w:r>
          </w:p>
        </w:tc>
      </w:tr>
    </w:tbl>
    <w:p>
      <w:pPr>
        <w:spacing w:after="120" w:before="0"/>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8.2 World Constructors' Championship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200"/>
        <w:gridCol w:w="1200"/>
        <w:gridCol w:w="1100"/>
        <w:gridCol w:w="1360"/>
      </w:tblGrid>
      <w:tr>
        <w:tc>
          <w:tcPr>
            <w:tcW w:type="dxa" w:w="6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Pos</w:t>
            </w:r>
          </w:p>
        </w:tc>
        <w:tc>
          <w:tcPr>
            <w:tcW w:type="dxa" w:w="19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Team</w:t>
            </w:r>
          </w:p>
        </w:tc>
        <w:tc>
          <w:tcPr>
            <w:tcW w:type="dxa" w:w="32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Drivers</w:t>
            </w:r>
          </w:p>
        </w:tc>
        <w:tc>
          <w:tcPr>
            <w:tcW w:type="dxa" w:w="12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Pts</w:t>
            </w:r>
          </w:p>
        </w:tc>
        <w:tc>
          <w:tcPr>
            <w:tcW w:type="dxa" w:w="110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1360"/>
            <w:tcBorders>
              <w:top w:val="single" w:color="CCCCCC" w:sz="1"/>
              <w:left w:val="single" w:color="CCCCCC" w:sz="1"/>
              <w:bottom w:val="single" w:color="CCCCCC" w:sz="1"/>
              <w:right w:val="single" w:color="CCCCCC" w:sz="1"/>
            </w:tcBorders>
            <w:shd w:fill="1F2937" w:val="clear"/>
            <w:tcMar>
              <w:top w:type="dxa" w:w="80"/>
              <w:left w:type="dxa" w:w="120"/>
              <w:bottom w:type="dxa" w:w="80"/>
              <w:right w:type="dxa" w:w="120"/>
            </w:tcMar>
          </w:tcPr>
          <w:p>
            <w:r>
              <w:rPr>
                <w:rFonts w:ascii="Arial" w:cs="Arial" w:eastAsia="Arial" w:hAnsi="Arial"/>
                <w:b/>
                <w:bCs/>
                <w:color w:val="FFFFFF"/>
                <w:sz w:val="20"/>
                <w:szCs w:val="20"/>
              </w:rPr>
              <w:t xml:space="preserve">Engine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1</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Ferrari</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Leclerc &amp; Hamilton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545</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30%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Ferrari</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2</w:t>
            </w:r>
          </w:p>
        </w:tc>
        <w:tc>
          <w:tcPr>
            <w:tcW w:type="dxa" w:w="19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McLaren</w:t>
            </w:r>
          </w:p>
        </w:tc>
        <w:tc>
          <w:tcPr>
            <w:tcW w:type="dxa" w:w="3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Norris &amp; Piastri</w:t>
            </w:r>
          </w:p>
        </w:tc>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525</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23%</w:t>
            </w:r>
          </w:p>
        </w:tc>
        <w:tc>
          <w:tcPr>
            <w:tcW w:type="dxa" w:w="1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Merc (cust)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3</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Mercedes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Russell &amp; Antonelli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480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22%</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Mercedes</w:t>
            </w:r>
          </w:p>
        </w:tc>
      </w:tr>
      <w:tr>
        <w:tc>
          <w:tcPr>
            <w:tcW w:type="dxa" w:w="6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4</w:t>
            </w:r>
          </w:p>
        </w:tc>
        <w:tc>
          <w:tcPr>
            <w:tcW w:type="dxa" w:w="19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bCs/>
                <w:sz w:val="20"/>
                <w:szCs w:val="20"/>
              </w:rPr>
              <w:t xml:space="preserve">Red Bull</w:t>
            </w:r>
          </w:p>
        </w:tc>
        <w:tc>
          <w:tcPr>
            <w:tcW w:type="dxa" w:w="3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Verstappen &amp; Hadjar</w:t>
            </w:r>
          </w:p>
        </w:tc>
        <w:tc>
          <w:tcPr>
            <w:tcW w:type="dxa" w:w="12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401</w:t>
            </w:r>
          </w:p>
        </w:tc>
        <w:tc>
          <w:tcPr>
            <w:tcW w:type="dxa" w:w="110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22%</w:t>
            </w:r>
          </w:p>
        </w:tc>
        <w:tc>
          <w:tcPr>
            <w:tcW w:type="dxa" w:w="1360"/>
            <w:tcBorders>
              <w:top w:val="single" w:color="CCCCCC" w:sz="1"/>
              <w:left w:val="single" w:color="CCCCCC" w:sz="1"/>
              <w:bottom w:val="single" w:color="CCCCCC" w:sz="1"/>
              <w:right w:val="single" w:color="CCCCCC" w:sz="1"/>
            </w:tcBorders>
            <w:shd w:fill="F3F4F6" w:val="clear"/>
            <w:tcMar>
              <w:top w:type="dxa" w:w="80"/>
              <w:left w:type="dxa" w:w="120"/>
              <w:bottom w:type="dxa" w:w="80"/>
              <w:right w:type="dxa" w:w="120"/>
            </w:tcMar>
          </w:tcPr>
          <w:p>
            <w:pPr>
              <w:jc w:val="center"/>
            </w:pPr>
            <w:r>
              <w:rPr>
                <w:rFonts w:ascii="Arial" w:cs="Arial" w:eastAsia="Arial" w:hAnsi="Arial"/>
                <w:b w:val="false"/>
                <w:bCs w:val="false"/>
                <w:sz w:val="20"/>
                <w:szCs w:val="20"/>
              </w:rPr>
              <w:t xml:space="preserve">Ford/RBPT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5</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0"/>
                <w:szCs w:val="20"/>
              </w:rPr>
              <w:t xml:space="preserve">Williams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Sainz &amp; Albon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202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1.5%</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0"/>
                <w:szCs w:val="20"/>
              </w:rPr>
              <w:t xml:space="preserve">Merc (cust)</w:t>
            </w:r>
          </w:p>
        </w:tc>
      </w:tr>
    </w:tbl>
    <w:p>
      <w:r>
        <w:br w:type="page"/>
      </w:r>
    </w:p>
    <w:p>
      <w:pPr>
        <w:pStyle w:val="Heading1"/>
      </w:pPr>
      <w:r>
        <w:rPr>
          <w:rFonts w:ascii="Arial" w:cs="Arial" w:eastAsia="Arial" w:hAnsi="Arial"/>
        </w:rPr>
        <w:t xml:space="preserve">9. Key Insights &amp; Narratives</w:t>
      </w:r>
    </w:p>
    <w:p>
      <w:pPr>
        <w:spacing w:after="160" w:before="0"/>
      </w:pPr>
      <w:r>
        <w:rPr>
          <w:rFonts w:ascii="Arial" w:cs="Arial" w:eastAsia="Arial" w:hAnsi="Arial"/>
          <w:b w:val="false"/>
          <w:bCs w:val="false"/>
          <w:i w:val="false"/>
          <w:iCs w:val="false"/>
          <w:sz w:val="22"/>
          <w:szCs w:val="22"/>
        </w:rPr>
        <w:t xml:space="preserve">Verstappen's Path to P1: Despite Red Bull's unproven Ford engine (maturity 80, 4th best), Verstappen's unmatched historical dominance (Elo 1710, 52% win rate, 96% top-10 rate) combined with peak age (28) and 0% DNF reliability makes him the model's top pick. His driver talent component (24.4) is nearly double the next best.</w:t>
      </w:r>
    </w:p>
    <w:p>
      <w:pPr>
        <w:spacing w:after="160" w:before="0"/>
      </w:pPr>
      <w:r>
        <w:rPr>
          <w:rFonts w:ascii="Arial" w:cs="Arial" w:eastAsia="Arial" w:hAnsi="Arial"/>
          <w:b w:val="false"/>
          <w:bCs w:val="false"/>
          <w:i w:val="false"/>
          <w:iCs w:val="false"/>
          <w:sz w:val="22"/>
          <w:szCs w:val="22"/>
        </w:rPr>
        <w:t xml:space="preserve">Hamilton's Age Penalty: The 7-time champion drives the 2nd-best car (Ferrari, expert rating 92) but his age-prime penalty (-5.7 at age 41) plus his poor 2025 form (0 podiums) significantly limits his title chances to 4.1%. His veteran bonus (experience 5.2 + reg-change 7.5 = 12.7) partially offsets the decline, but not enough to overcome 13 years past peak age.</w:t>
      </w:r>
    </w:p>
    <w:p>
      <w:pPr>
        <w:spacing w:after="160" w:before="0"/>
      </w:pPr>
      <w:r>
        <w:rPr>
          <w:rFonts w:ascii="Arial" w:cs="Arial" w:eastAsia="Arial" w:hAnsi="Arial"/>
          <w:b w:val="false"/>
          <w:bCs w:val="false"/>
          <w:i w:val="false"/>
          <w:iCs w:val="false"/>
          <w:sz w:val="22"/>
          <w:szCs w:val="22"/>
        </w:rPr>
        <w:t xml:space="preserve">Antonelli's Rookie Penalty: Despite having the best car on the grid (Mercedes, strength 141.4), Antonelli's combination of youth (19, age modifier +0.5), zero experience, and a 17% DNF rate from rookie crashes drops him to P8 behind the more consistent Sainz in a slower Williams. The model values reliability over raw car speed.</w:t>
      </w:r>
    </w:p>
    <w:p>
      <w:pPr>
        <w:spacing w:after="120" w:before="0"/>
      </w:pPr>
      <w:r>
        <w:rPr>
          <w:rFonts w:ascii="Arial" w:cs="Arial" w:eastAsia="Arial" w:hAnsi="Arial"/>
          <w:b w:val="false"/>
          <w:bCs w:val="false"/>
          <w:i w:val="false"/>
          <w:iCs w:val="false"/>
          <w:sz w:val="22"/>
          <w:szCs w:val="22"/>
        </w:rPr>
        <w:t xml:space="preserve">The Regulation Change Effect: The 0.40 regulation discount means historical dominance is worth only 40% of its normal value. This is why the reigning constructors' champion McLaren (833 pts in 2025) is predicted 2nd behind Ferrari — pre-season testing and engine maturity matter more than last year's results.</w:t>
      </w:r>
    </w:p>
    <w:p>
      <w:pPr>
        <w:pStyle w:val="Heading1"/>
      </w:pPr>
      <w:r>
        <w:rPr>
          <w:rFonts w:ascii="Arial" w:cs="Arial" w:eastAsia="Arial" w:hAnsi="Arial"/>
        </w:rPr>
        <w:t xml:space="preserve">10. Code Architecture</w:t>
      </w:r>
    </w:p>
    <w:p>
      <w:pPr>
        <w:spacing w:after="120" w:before="0"/>
      </w:pPr>
      <w:r>
        <w:rPr>
          <w:rFonts w:ascii="Arial" w:cs="Arial" w:eastAsia="Arial" w:hAnsi="Arial"/>
          <w:b w:val="false"/>
          <w:bCs w:val="false"/>
          <w:i w:val="false"/>
          <w:iCs w:val="false"/>
          <w:sz w:val="22"/>
          <w:szCs w:val="22"/>
        </w:rPr>
        <w:t xml:space="preserve">The project is organized into a modular Python pipeline:</w:t>
      </w:r>
    </w:p>
    <w:p>
      <w:pPr>
        <w:spacing w:after="120" w:before="0"/>
      </w:pPr>
      <w:r>
        <w:rPr>
          <w:rFonts w:ascii="Arial" w:cs="Arial" w:eastAsia="Arial" w:hAnsi="Arial"/>
          <w:b w:val="false"/>
          <w:bCs w:val="false"/>
          <w:i w:val="false"/>
          <w:iCs w:val="false"/>
          <w:sz w:val="22"/>
          <w:szCs w:val="22"/>
        </w:rPr>
        <w:t xml:space="preserve">main.py — Entry point: orchestrates the full pipeline from data loading through prediction to visualization. Contains the composite strength formula and Monte Carlo simulator class.</w:t>
      </w:r>
    </w:p>
    <w:p>
      <w:pPr>
        <w:spacing w:after="120" w:before="0"/>
      </w:pPr>
      <w:r>
        <w:rPr>
          <w:rFonts w:ascii="Arial" w:cs="Arial" w:eastAsia="Arial" w:hAnsi="Arial"/>
          <w:b w:val="false"/>
          <w:bCs w:val="false"/>
          <w:i w:val="false"/>
          <w:iCs w:val="false"/>
          <w:sz w:val="22"/>
          <w:szCs w:val="22"/>
        </w:rPr>
        <w:t xml:space="preserve">data/historical_data.py — Combines Kaggle-loaded 2014-2024 data with hardcoded 2025 season data and 2026 grid definitions, pre-season testing data, bookmaker odds.</w:t>
      </w:r>
    </w:p>
    <w:p>
      <w:pPr>
        <w:spacing w:after="120" w:before="0"/>
      </w:pPr>
      <w:r>
        <w:rPr>
          <w:rFonts w:ascii="Arial" w:cs="Arial" w:eastAsia="Arial" w:hAnsi="Arial"/>
          <w:b w:val="false"/>
          <w:bCs w:val="false"/>
          <w:i w:val="false"/>
          <w:iCs w:val="false"/>
          <w:sz w:val="22"/>
          <w:szCs w:val="22"/>
        </w:rPr>
        <w:t xml:space="preserve">data/kaggle_loader.py — ETL pipeline that loads 2014-2024 driver results, constructor results, top-10/DNF rates, and qualifying stats from Kaggle F1 World Championship CSV files. Produces 247 driver-season records from 9 CSV source files.</w:t>
      </w:r>
    </w:p>
    <w:p>
      <w:pPr>
        <w:spacing w:after="120" w:before="0"/>
      </w:pPr>
      <w:r>
        <w:rPr>
          <w:rFonts w:ascii="Arial" w:cs="Arial" w:eastAsia="Arial" w:hAnsi="Arial"/>
          <w:b w:val="false"/>
          <w:bCs w:val="false"/>
          <w:i w:val="false"/>
          <w:iCs w:val="false"/>
          <w:sz w:val="22"/>
          <w:szCs w:val="22"/>
        </w:rPr>
        <w:t xml:space="preserve">features/elo_ratings.py — Custom Elo rating system with K=32, processing all seasons chronologically.</w:t>
      </w:r>
    </w:p>
    <w:p>
      <w:pPr>
        <w:spacing w:after="120" w:before="0"/>
      </w:pPr>
      <w:r>
        <w:rPr>
          <w:rFonts w:ascii="Arial" w:cs="Arial" w:eastAsia="Arial" w:hAnsi="Arial"/>
          <w:b w:val="false"/>
          <w:bCs w:val="false"/>
          <w:i w:val="false"/>
          <w:iCs w:val="false"/>
          <w:sz w:val="22"/>
          <w:szCs w:val="22"/>
        </w:rPr>
        <w:t xml:space="preserve">features/feature_engineering.py — Rolling feature computation (3-year windows), team features, interaction terms, and 2026 feature builder.</w:t>
      </w:r>
    </w:p>
    <w:p>
      <w:pPr>
        <w:spacing w:after="120" w:before="0"/>
      </w:pPr>
      <w:r>
        <w:rPr>
          <w:rFonts w:ascii="Arial" w:cs="Arial" w:eastAsia="Arial" w:hAnsi="Arial"/>
          <w:b w:val="false"/>
          <w:bCs w:val="false"/>
          <w:i w:val="false"/>
          <w:iCs w:val="false"/>
          <w:sz w:val="22"/>
          <w:szCs w:val="22"/>
        </w:rPr>
        <w:t xml:space="preserve">models/train_models.py — GBM training with LOO-CV, Bayesian probability estimation, and Monte Carlo season simulation (10,000 iterations).</w:t>
      </w:r>
    </w:p>
    <w:p>
      <w:pPr>
        <w:spacing w:after="120" w:before="0"/>
      </w:pPr>
      <w:r>
        <w:rPr>
          <w:rFonts w:ascii="Arial" w:cs="Arial" w:eastAsia="Arial" w:hAnsi="Arial"/>
          <w:b w:val="false"/>
          <w:bCs w:val="false"/>
          <w:i w:val="false"/>
          <w:iCs w:val="false"/>
          <w:sz w:val="22"/>
          <w:szCs w:val="22"/>
        </w:rPr>
        <w:t xml:space="preserve">dashboard/f1-2026-predictor.html — Self-contained interactive React dashboard with team color coding and three tabs: Drivers (WDC predictions with model toggle), Constructors (WCC predictions), and Insights (finishing consistency CV and grid-to-finish delta analysis from Kaggle race-by-race data).</w:t>
      </w:r>
    </w:p>
    <w:p>
      <w:pPr>
        <w:pStyle w:val="Heading1"/>
      </w:pPr>
      <w:r>
        <w:rPr>
          <w:rFonts w:ascii="Arial" w:cs="Arial" w:eastAsia="Arial" w:hAnsi="Arial"/>
        </w:rPr>
        <w:t xml:space="preserve">11. Future Work</w:t>
      </w:r>
    </w:p>
    <w:p>
      <w:pPr>
        <w:spacing w:after="120" w:before="0"/>
      </w:pPr>
      <w:r>
        <w:rPr>
          <w:rFonts w:ascii="Arial" w:cs="Arial" w:eastAsia="Arial" w:hAnsi="Arial"/>
          <w:b w:val="false"/>
          <w:bCs w:val="false"/>
          <w:i w:val="false"/>
          <w:iCs w:val="false"/>
          <w:sz w:val="22"/>
          <w:szCs w:val="22"/>
        </w:rPr>
        <w:t xml:space="preserve">Live Update Pipeline: A Bayesian blending system that ingests actual 2026 race results and gradually shifts predictions from pre-season estimates to actual pace data. Planned weighting: 80/20 pre-season/actual for races 1-3, transitioning to 10/90 by race 15+.</w:t>
      </w:r>
    </w:p>
    <w:p>
      <w:pPr>
        <w:spacing w:after="120" w:before="0"/>
      </w:pPr>
      <w:r>
        <w:rPr>
          <w:rFonts w:ascii="Arial" w:cs="Arial" w:eastAsia="Arial" w:hAnsi="Arial"/>
          <w:b w:val="false"/>
          <w:bCs w:val="false"/>
          <w:i w:val="false"/>
          <w:iCs w:val="false"/>
          <w:sz w:val="22"/>
          <w:szCs w:val="22"/>
        </w:rPr>
        <w:t xml:space="preserve">Teammate Head-to-Head: Direct modeling of intra-team battles using transitive comparison networks, enabling stronger relative driver ability estimates independent of car performance.</w:t>
      </w:r>
    </w:p>
    <w:p>
      <w:pPr>
        <w:spacing w:after="120" w:before="0"/>
      </w:pPr>
      <w:r>
        <w:rPr>
          <w:rFonts w:ascii="Arial" w:cs="Arial" w:eastAsia="Arial" w:hAnsi="Arial"/>
          <w:b w:val="false"/>
          <w:bCs w:val="false"/>
          <w:i w:val="false"/>
          <w:iCs w:val="false"/>
          <w:sz w:val="22"/>
          <w:szCs w:val="22"/>
        </w:rPr>
        <w:t xml:space="preserve">Circuit-Type Clustering: Simulating 24 different race types (street circuits, high-downforce, power-sensitive tracks) instead of one generic race model, as different cars have different strengths across circuit types.</w:t>
      </w:r>
    </w:p>
    <w:p>
      <w:pPr>
        <w:spacing w:after="120" w:before="0"/>
      </w:pPr>
      <w:r>
        <w:rPr>
          <w:rFonts w:ascii="Arial" w:cs="Arial" w:eastAsia="Arial" w:hAnsi="Arial"/>
          <w:b w:val="false"/>
          <w:bCs w:val="false"/>
          <w:i w:val="false"/>
          <w:iCs w:val="false"/>
          <w:sz w:val="22"/>
          <w:szCs w:val="22"/>
        </w:rPr>
        <w:t xml:space="preserve">Sprint Race Modeling: Separately modeling the 6 sprint races that use different points systems and race distances.</w:t>
      </w:r>
    </w:p>
    <w:p>
      <w:pPr>
        <w:pStyle w:val="Heading1"/>
      </w:pPr>
      <w:r>
        <w:rPr>
          <w:rFonts w:ascii="Arial" w:cs="Arial" w:eastAsia="Arial" w:hAnsi="Arial"/>
        </w:rPr>
        <w:t xml:space="preserve">12. Version History</w:t>
      </w:r>
    </w:p>
    <w:p>
      <w:pPr>
        <w:spacing w:after="80" w:before="0"/>
      </w:pPr>
      <w:r>
        <w:rPr>
          <w:rFonts w:ascii="Arial" w:cs="Arial" w:eastAsia="Arial" w:hAnsi="Arial"/>
          <w:b w:val="false"/>
          <w:bCs w:val="false"/>
          <w:i w:val="false"/>
          <w:iCs w:val="false"/>
          <w:sz w:val="22"/>
          <w:szCs w:val="22"/>
        </w:rPr>
        <w:t xml:space="preserve">v1.0 (Initial Release): Core GBM + Bayesian + MC ensemble. 19 GBM features. Basic MC simulator.</w:t>
      </w:r>
    </w:p>
    <w:p>
      <w:pPr>
        <w:spacing w:after="80" w:before="0"/>
      </w:pPr>
      <w:r>
        <w:rPr>
          <w:rFonts w:ascii="Arial" w:cs="Arial" w:eastAsia="Arial" w:hAnsi="Arial"/>
          <w:b w:val="false"/>
          <w:bCs w:val="false"/>
          <w:i w:val="false"/>
          <w:iCs w:val="false"/>
          <w:sz w:val="22"/>
          <w:szCs w:val="22"/>
        </w:rPr>
        <w:t xml:space="preserve">v1.1 (2025 Data Correction): Verified all 2025 data against official FIA standings. Added Tsunoda and Doohan. Removed ghost driver (Lindblad from 2025 qualifying).</w:t>
      </w:r>
    </w:p>
    <w:p>
      <w:pPr>
        <w:spacing w:after="80" w:before="0"/>
      </w:pPr>
      <w:r>
        <w:rPr>
          <w:rFonts w:ascii="Arial" w:cs="Arial" w:eastAsia="Arial" w:hAnsi="Arial"/>
          <w:b w:val="false"/>
          <w:bCs w:val="false"/>
          <w:i w:val="false"/>
          <w:iCs w:val="false"/>
          <w:sz w:val="22"/>
          <w:szCs w:val="22"/>
        </w:rPr>
        <w:t xml:space="preserve">v1.2 (MC Simulator Rewrite): Fixed Piastri 0% win probability bug. Added strength compression (30-100 scale), per-season form variance (σ=5), and race chaos modeling (safety cars, wet races, first-lap incidents).</w:t>
      </w:r>
    </w:p>
    <w:p>
      <w:pPr>
        <w:spacing w:after="80" w:before="0"/>
      </w:pPr>
      <w:r>
        <w:rPr>
          <w:rFonts w:ascii="Arial" w:cs="Arial" w:eastAsia="Arial" w:hAnsi="Arial"/>
          <w:b w:val="false"/>
          <w:bCs w:val="false"/>
          <w:i w:val="false"/>
          <w:iCs w:val="false"/>
          <w:sz w:val="22"/>
          <w:szCs w:val="22"/>
        </w:rPr>
        <w:t xml:space="preserve">v2.0: Added F1 experience (actual career years with sqrt diminishing returns), regulation-change veteran bonus (2.5 pts per reg change survived), age-prime performance curve (peak at 25-31, decline after 35), top-10 finish rate consistency bonus, and DNF rate reliability penalty.</w:t>
      </w:r>
    </w:p>
    <w:p>
      <w:pPr>
        <w:spacing w:after="80" w:before="0"/>
      </w:pPr>
      <w:r>
        <w:rPr>
          <w:rFonts w:ascii="Arial" w:cs="Arial" w:eastAsia="Arial" w:hAnsi="Arial"/>
          <w:b w:val="false"/>
          <w:bCs w:val="false"/>
          <w:i w:val="false"/>
          <w:iCs w:val="false"/>
          <w:sz w:val="22"/>
          <w:szCs w:val="22"/>
        </w:rPr>
        <w:t xml:space="preserve">v3.0 (Current): Replaced hardcoded 2014-2024 data with Kaggle F1 World Championship ETL pipeline (kaggle_loader.py). Training data expanded from 159 to 270 driver-seasons (+70%), LOO RMSE improved from 1.99 to 1.72 (-14%). Added Insights tab to dashboard with finishing consistency (CV) and grid-to-finish delta analysis from race-by-race Kaggle data. Removed qualifying_data.py (now loaded from Kaggle). Updated README with data pipeline documentation.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2937"/>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374151"/>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B55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2026-02-20T03:35:31.458Z</dcterms:created>
  <dcterms:modified xsi:type="dcterms:W3CDTF">2026-02-20T03:35:31.459Z</dcterms:modified>
</cp:coreProperties>
</file>

<file path=docProps/custom.xml><?xml version="1.0" encoding="utf-8"?>
<Properties xmlns="http://schemas.openxmlformats.org/officeDocument/2006/custom-properties" xmlns:vt="http://schemas.openxmlformats.org/officeDocument/2006/docPropsVTypes"/>
</file>