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# Estratégia: Carteira Global Otimizada</w:t>
        <w:br w:type="textWrapping"/>
        <w:t xml:space="preserve"># Formato: ID Custo_Acao(R$) Retorno_Anual(%) Ticker_Acao</w:t>
        <w:br w:type="textWrapping"/>
        <w:t xml:space="preserve">CAPITAL_DISPONIVEL_R$: 65000.00</w:t>
        <w:br w:type="textWrapping"/>
        <w:t xml:space="preserve">ACOES:</w:t>
        <w:br w:type="textWrapping"/>
        <w:t xml:space="preserve">A 4500.50 5.5 US_BANK</w:t>
        <w:br w:type="textWrapping"/>
        <w:t xml:space="preserve">B 6200.75 7.8 EU_AUTO</w:t>
        <w:br w:type="textWrapping"/>
        <w:t xml:space="preserve">C 3800.25 4.9 JP_ELEC</w:t>
        <w:br w:type="textWrapping"/>
        <w:t xml:space="preserve">D 7100.00 8.9 CN_TECH</w:t>
        <w:br w:type="textWrapping"/>
        <w:t xml:space="preserve">E 5500.60 6.5 UK_PHARMA</w:t>
        <w:br w:type="textWrapping"/>
        <w:t xml:space="preserve">F 2900.00 4.2 BR_COMMOD</w:t>
        <w:br w:type="textWrapping"/>
        <w:t xml:space="preserve">G 4100.80 5.1 IN_IT</w:t>
        <w:br w:type="textWrapping"/>
        <w:t xml:space="preserve">H 8300.00 10.2 DE_IND</w:t>
        <w:br w:type="textWrapping"/>
        <w:t xml:space="preserve">I 3250.60 4.5 AU_MINING</w:t>
        <w:br w:type="textWrapping"/>
        <w:t xml:space="preserve">J 6800.00 8.2 KR_CHIPS</w:t>
        <w:br w:type="textWrapping"/>
        <w:t xml:space="preserve">K 5150.40 6.1 FR_LUXURY</w:t>
        <w:br w:type="textWrapping"/>
        <w:t xml:space="preserve">L 4450.00 5.4 CA_ENERGY</w:t>
        <w:br w:type="textWrapping"/>
        <w:t xml:space="preserve">M 3980.20 4.8 CH_FIN</w:t>
        <w:br w:type="textWrapping"/>
        <w:t xml:space="preserve">N 7950.00 9.5 US_RETAIL</w:t>
        <w:br w:type="textWrapping"/>
        <w:t xml:space="preserve">O 6800.90 8.5 TW_SEMI</w:t>
        <w:br w:type="textWrapping"/>
        <w:t xml:space="preserve">P 2100.00 3.5 ZA_TELECOM</w:t>
        <w:br w:type="textWrapping"/>
        <w:t xml:space="preserve">Q 4900.70 5.9 SE_GREEN</w:t>
        <w:br w:type="textWrapping"/>
        <w:t xml:space="preserve">R 5800.10 7.2 NL_HEALTH</w:t>
        <w:br w:type="textWrapping"/>
        <w:t xml:space="preserve">S 3450.00 4.6 SG_REALTY</w:t>
        <w:br w:type="textWrapping"/>
        <w:t xml:space="preserve">T 7500.50 9.1 US_CLOUD</w:t>
        <w:br w:type="textWrapping"/>
        <w:t xml:space="preserve">U 6100.20 7.5 EU_AERO</w:t>
        <w:br w:type="textWrapping"/>
        <w:t xml:space="preserve">V 4300.00 5.3 JP_ROBOT</w:t>
        <w:br w:type="textWrapping"/>
        <w:t xml:space="preserve">W 5950.30 7.0 CN_ECOM</w:t>
        <w:br w:type="textWrapping"/>
        <w:t xml:space="preserve">X 3700.40 4.7 BR_AGRO</w:t>
        <w:br w:type="textWrapping"/>
        <w:t xml:space="preserve">Y 8100.80 9.8 DE_CHEM</w:t>
        <w:br w:type="textWrapping"/>
        <w:t xml:space="preserve">Z 10000.00 1.4 BR_FUT</w:t>
        <w:br w:type="textWrapping"/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2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Solução Ótima de Referência:</w:t>
      </w:r>
    </w:p>
    <w:p w:rsidR="00000000" w:rsidDel="00000000" w:rsidP="00000000" w:rsidRDefault="00000000" w:rsidRPr="00000000" w14:paraId="00000003">
      <w:pPr>
        <w:widowControl w:val="0"/>
        <w:numPr>
          <w:ilvl w:val="1"/>
          <w:numId w:val="1"/>
        </w:numPr>
        <w:spacing w:after="0" w:after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Ações Selecionadas: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{B, D, F, H, I, J, N, O, P, S, T, Y}</w:t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1"/>
        </w:numPr>
        <w:spacing w:after="0" w:afterAutospacing="0" w:before="0" w:before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Custo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R$ 64997.75</w:t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1"/>
        </w:numPr>
        <w:spacing w:after="120" w:before="0" w:beforeAutospacing="0" w:line="275.9999942779541" w:lineRule="auto"/>
        <w:ind w:left="1470" w:righ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Retorno Anual Esperado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92.5%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