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Estratégia: Carteira Iniciante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Formato: ID Custo_Acao(R$) Retorno_Anual(%) Ticker_Acao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CAPITAL_DISPONIVEL_R$: 1000.00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ACOES: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400.00 10.0 BIGCORP4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600.00 12.0 SAFETECH3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 350.00 8.0 VALIOSA1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 250.00 5.0 ESTAVEL5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Solução Ótima de Referência: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Ações Selecionadas: {B, C}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 Total: R$ 950.00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Retorno Anual Esperado Total: 20.0%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