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bookmarkStart w:id="0" w:name="_GoBack"/>
      <w:bookmarkEnd w:id="0"/>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Pr="009555AB" w:rsidRDefault="007F4D0E" w:rsidP="009555AB">
      <w:r>
        <w:t xml:space="preserve">This decision might be reversed, so tell me if you have an opinion. </w:t>
      </w:r>
    </w:p>
    <w:p w:rsidR="00094259" w:rsidRPr="00094259" w:rsidRDefault="00094259" w:rsidP="00094259"/>
    <w:p w:rsidR="001225DB" w:rsidRDefault="001225DB" w:rsidP="001225DB">
      <w:pPr>
        <w:pStyle w:val="Title"/>
      </w:pPr>
      <w:r>
        <w:lastRenderedPageBreak/>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lastRenderedPageBreak/>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lastRenderedPageBreak/>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lastRenderedPageBreak/>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lastRenderedPageBreak/>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35627"/>
    <w:rsid w:val="009555AB"/>
    <w:rsid w:val="009564EA"/>
    <w:rsid w:val="00A464DD"/>
    <w:rsid w:val="00B3416D"/>
    <w:rsid w:val="00BB0661"/>
    <w:rsid w:val="00BC2A05"/>
    <w:rsid w:val="00BD7C9D"/>
    <w:rsid w:val="00C33B6C"/>
    <w:rsid w:val="00C87024"/>
    <w:rsid w:val="00CA0931"/>
    <w:rsid w:val="00CB6A6B"/>
    <w:rsid w:val="00D709E5"/>
    <w:rsid w:val="00E82E45"/>
    <w:rsid w:val="00E90BA0"/>
    <w:rsid w:val="00EE69C5"/>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6</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31</cp:revision>
  <dcterms:created xsi:type="dcterms:W3CDTF">2014-07-04T16:52:00Z</dcterms:created>
  <dcterms:modified xsi:type="dcterms:W3CDTF">2014-07-15T19:25:00Z</dcterms:modified>
</cp:coreProperties>
</file>