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71B99" w14:textId="0672AD1C" w:rsidR="004B472B" w:rsidRDefault="004B472B" w:rsidP="1EE32D75">
      <w:pPr>
        <w:jc w:val="center"/>
      </w:pPr>
    </w:p>
    <w:p w14:paraId="723E0B82" w14:textId="7B431E1B" w:rsidR="004B472B" w:rsidRDefault="004B472B" w:rsidP="1EE32D75">
      <w:pPr>
        <w:jc w:val="center"/>
      </w:pPr>
    </w:p>
    <w:p w14:paraId="717E1EF2" w14:textId="337A4E36" w:rsidR="004B472B" w:rsidRDefault="0CE6313D" w:rsidP="1EE32D75">
      <w:pPr>
        <w:pStyle w:val="Title"/>
        <w:jc w:val="center"/>
      </w:pPr>
      <w:r w:rsidRPr="1EE32D75">
        <w:t>Wireless Power Transfer via Inductive Coupling: Harnessing Magnetic Fields for Contactless Energy Transmission</w:t>
      </w:r>
    </w:p>
    <w:p w14:paraId="319D56DA" w14:textId="7EABEBFC" w:rsidR="004B472B" w:rsidRDefault="004B472B" w:rsidP="1EE32D75"/>
    <w:p w14:paraId="68ADC9DA" w14:textId="3B8FF024" w:rsidR="004B472B" w:rsidRDefault="2D462A82" w:rsidP="1EE32D75">
      <w:pPr>
        <w:pStyle w:val="Subtitle"/>
        <w:jc w:val="center"/>
      </w:pPr>
      <w:r w:rsidRPr="1EE32D75">
        <w:t>ELECENG 2FH4 - Bonus Research Assignment</w:t>
      </w:r>
    </w:p>
    <w:p w14:paraId="40097623" w14:textId="07ABE8D8" w:rsidR="004B472B" w:rsidRDefault="004B472B" w:rsidP="1EE32D75">
      <w:pPr>
        <w:shd w:val="clear" w:color="auto" w:fill="FFFFFF" w:themeFill="background1"/>
        <w:spacing w:before="240" w:after="240"/>
        <w:jc w:val="center"/>
        <w:rPr>
          <w:rFonts w:ascii="system-ui" w:eastAsia="system-ui" w:hAnsi="system-ui" w:cs="system-ui"/>
          <w:color w:val="0F1115"/>
        </w:rPr>
      </w:pPr>
    </w:p>
    <w:p w14:paraId="5B740D56" w14:textId="73AF6D0E" w:rsidR="004B472B" w:rsidRDefault="004B472B" w:rsidP="1EE32D75">
      <w:pPr>
        <w:shd w:val="clear" w:color="auto" w:fill="FFFFFF" w:themeFill="background1"/>
        <w:spacing w:before="240" w:after="240"/>
        <w:jc w:val="center"/>
        <w:rPr>
          <w:rFonts w:ascii="system-ui" w:eastAsia="system-ui" w:hAnsi="system-ui" w:cs="system-ui"/>
          <w:color w:val="0F1115"/>
        </w:rPr>
      </w:pPr>
    </w:p>
    <w:p w14:paraId="674C77E1" w14:textId="4C045CCD" w:rsidR="004B472B" w:rsidRDefault="004B472B" w:rsidP="1EE32D75">
      <w:pPr>
        <w:shd w:val="clear" w:color="auto" w:fill="FFFFFF" w:themeFill="background1"/>
        <w:spacing w:before="240" w:after="240"/>
        <w:jc w:val="center"/>
        <w:rPr>
          <w:rFonts w:ascii="system-ui" w:eastAsia="system-ui" w:hAnsi="system-ui" w:cs="system-ui"/>
          <w:color w:val="0F1115"/>
        </w:rPr>
      </w:pPr>
    </w:p>
    <w:p w14:paraId="1A9AF12B" w14:textId="410A3743" w:rsidR="004B472B" w:rsidRDefault="004B472B" w:rsidP="1EE32D75">
      <w:pPr>
        <w:shd w:val="clear" w:color="auto" w:fill="FFFFFF" w:themeFill="background1"/>
        <w:spacing w:before="240" w:after="240"/>
        <w:jc w:val="center"/>
        <w:rPr>
          <w:rFonts w:ascii="system-ui" w:eastAsia="system-ui" w:hAnsi="system-ui" w:cs="system-ui"/>
          <w:color w:val="0F1115"/>
        </w:rPr>
      </w:pPr>
    </w:p>
    <w:p w14:paraId="14836F3C" w14:textId="0BC18F16" w:rsidR="004B472B" w:rsidRDefault="004B472B" w:rsidP="1EE32D75">
      <w:pPr>
        <w:shd w:val="clear" w:color="auto" w:fill="FFFFFF" w:themeFill="background1"/>
        <w:spacing w:before="240" w:after="240"/>
        <w:jc w:val="center"/>
        <w:rPr>
          <w:rFonts w:ascii="system-ui" w:eastAsia="system-ui" w:hAnsi="system-ui" w:cs="system-ui"/>
          <w:color w:val="0F1115"/>
        </w:rPr>
      </w:pPr>
    </w:p>
    <w:p w14:paraId="06485621" w14:textId="66DF9A11" w:rsidR="004B472B" w:rsidRDefault="004B472B" w:rsidP="1EE32D75">
      <w:pPr>
        <w:shd w:val="clear" w:color="auto" w:fill="FFFFFF" w:themeFill="background1"/>
        <w:spacing w:before="240" w:after="240"/>
        <w:jc w:val="center"/>
        <w:rPr>
          <w:rFonts w:ascii="system-ui" w:eastAsia="system-ui" w:hAnsi="system-ui" w:cs="system-ui"/>
          <w:color w:val="0F1115"/>
        </w:rPr>
      </w:pPr>
    </w:p>
    <w:p w14:paraId="3BA600B3" w14:textId="3B746975" w:rsidR="004B472B" w:rsidRDefault="004B472B" w:rsidP="1EE32D75">
      <w:pPr>
        <w:shd w:val="clear" w:color="auto" w:fill="FFFFFF" w:themeFill="background1"/>
        <w:spacing w:before="240" w:after="240"/>
        <w:jc w:val="center"/>
        <w:rPr>
          <w:rFonts w:ascii="system-ui" w:eastAsia="system-ui" w:hAnsi="system-ui" w:cs="system-ui"/>
          <w:color w:val="0F1115"/>
        </w:rPr>
      </w:pPr>
    </w:p>
    <w:p w14:paraId="24BC852A" w14:textId="54850851" w:rsidR="004B472B" w:rsidRDefault="004B472B" w:rsidP="1EE32D75">
      <w:pPr>
        <w:shd w:val="clear" w:color="auto" w:fill="FFFFFF" w:themeFill="background1"/>
        <w:spacing w:before="240" w:after="240"/>
        <w:jc w:val="center"/>
        <w:rPr>
          <w:rFonts w:ascii="system-ui" w:eastAsia="system-ui" w:hAnsi="system-ui" w:cs="system-ui"/>
          <w:color w:val="0F1115"/>
        </w:rPr>
      </w:pPr>
    </w:p>
    <w:p w14:paraId="48038021" w14:textId="22830F03" w:rsidR="004B472B" w:rsidRDefault="004B472B" w:rsidP="1EE32D75">
      <w:pPr>
        <w:shd w:val="clear" w:color="auto" w:fill="FFFFFF" w:themeFill="background1"/>
        <w:spacing w:before="240" w:after="240"/>
        <w:jc w:val="center"/>
        <w:rPr>
          <w:rFonts w:ascii="system-ui" w:eastAsia="system-ui" w:hAnsi="system-ui" w:cs="system-ui"/>
          <w:color w:val="0F1115"/>
        </w:rPr>
      </w:pPr>
    </w:p>
    <w:p w14:paraId="3CF89010" w14:textId="180DE17D" w:rsidR="004B472B" w:rsidRDefault="004B472B" w:rsidP="1EE32D75">
      <w:pPr>
        <w:shd w:val="clear" w:color="auto" w:fill="FFFFFF" w:themeFill="background1"/>
        <w:spacing w:before="240" w:after="240"/>
        <w:jc w:val="center"/>
        <w:rPr>
          <w:rFonts w:ascii="system-ui" w:eastAsia="system-ui" w:hAnsi="system-ui" w:cs="system-ui"/>
          <w:color w:val="0F1115"/>
        </w:rPr>
      </w:pPr>
    </w:p>
    <w:p w14:paraId="575FCAE7" w14:textId="20BAF7B3" w:rsidR="004B472B" w:rsidRDefault="004B472B" w:rsidP="1EE32D75">
      <w:pPr>
        <w:shd w:val="clear" w:color="auto" w:fill="FFFFFF" w:themeFill="background1"/>
        <w:spacing w:before="240" w:after="240"/>
        <w:jc w:val="center"/>
        <w:rPr>
          <w:rFonts w:ascii="system-ui" w:eastAsia="system-ui" w:hAnsi="system-ui" w:cs="system-ui"/>
          <w:color w:val="0F1115"/>
        </w:rPr>
      </w:pPr>
    </w:p>
    <w:p w14:paraId="669D4E09" w14:textId="19FFA6DB" w:rsidR="004B472B" w:rsidRDefault="0CE6313D" w:rsidP="1EE32D75">
      <w:pPr>
        <w:shd w:val="clear" w:color="auto" w:fill="FFFFFF" w:themeFill="background1"/>
        <w:spacing w:before="240" w:after="240"/>
        <w:jc w:val="center"/>
        <w:rPr>
          <w:rFonts w:ascii="system-ui" w:eastAsia="system-ui" w:hAnsi="system-ui" w:cs="system-ui"/>
          <w:color w:val="0F1115"/>
        </w:rPr>
      </w:pPr>
      <w:r w:rsidRPr="1EE32D75">
        <w:rPr>
          <w:rFonts w:ascii="system-ui" w:eastAsia="system-ui" w:hAnsi="system-ui" w:cs="system-ui"/>
          <w:color w:val="0F1115"/>
        </w:rPr>
        <w:t xml:space="preserve">Amaiam Ul Haque – haquea24 – 400520641 </w:t>
      </w:r>
      <w:r w:rsidR="00000000">
        <w:br/>
      </w:r>
      <w:r w:rsidRPr="1EE32D75">
        <w:rPr>
          <w:rFonts w:ascii="system-ui" w:eastAsia="system-ui" w:hAnsi="system-ui" w:cs="system-ui"/>
          <w:color w:val="0F1115"/>
        </w:rPr>
        <w:t>April 20</w:t>
      </w:r>
      <w:r w:rsidRPr="1EE32D75">
        <w:rPr>
          <w:rFonts w:ascii="system-ui" w:eastAsia="system-ui" w:hAnsi="system-ui" w:cs="system-ui"/>
          <w:color w:val="0F1115"/>
          <w:vertAlign w:val="superscript"/>
        </w:rPr>
        <w:t>th</w:t>
      </w:r>
      <w:r w:rsidRPr="1EE32D75">
        <w:rPr>
          <w:rFonts w:ascii="system-ui" w:eastAsia="system-ui" w:hAnsi="system-ui" w:cs="system-ui"/>
          <w:color w:val="0F1115"/>
        </w:rPr>
        <w:t>, 2026</w:t>
      </w:r>
    </w:p>
    <w:p w14:paraId="4DC8966E" w14:textId="525C6E34" w:rsidR="004B472B" w:rsidRDefault="00000000">
      <w:r>
        <w:br w:type="page"/>
      </w:r>
    </w:p>
    <w:p w14:paraId="539543FC" w14:textId="77777777" w:rsidR="0048666C" w:rsidRPr="0048666C" w:rsidRDefault="0048666C" w:rsidP="006A69E0">
      <w:pPr>
        <w:pStyle w:val="Heading5"/>
      </w:pPr>
      <w:r w:rsidRPr="0048666C">
        <w:lastRenderedPageBreak/>
        <w:t>1. Introduction</w:t>
      </w:r>
    </w:p>
    <w:p w14:paraId="205E02D9" w14:textId="6F5D43BA" w:rsidR="0048666C" w:rsidRPr="0048666C" w:rsidRDefault="0048666C" w:rsidP="0048666C">
      <w:r w:rsidRPr="0048666C">
        <w:t>Wireless power transfer (WPT) has become a mainstream technology, powering smartphones, medical implants, and electric vehicles. At its core lies inductive coupling</w:t>
      </w:r>
      <w:r w:rsidR="00A16C1A" w:rsidRPr="006A69E0">
        <w:t xml:space="preserve">, </w:t>
      </w:r>
      <w:r w:rsidRPr="0048666C">
        <w:t>a direct manifestation of Faraday’s Law and Ampère’s Law. This write-up explains how time-varying magnetic fields enable contactless energy transfer, the mathematical framework governing the process, and practical engineering trade-offs.</w:t>
      </w:r>
    </w:p>
    <w:p w14:paraId="51A012AD" w14:textId="77777777" w:rsidR="0048666C" w:rsidRPr="0048666C" w:rsidRDefault="0048666C" w:rsidP="006A69E0">
      <w:pPr>
        <w:pStyle w:val="Heading5"/>
      </w:pPr>
      <w:r w:rsidRPr="0048666C">
        <w:t>2. Physical Concept: Mutual Induction</w:t>
      </w:r>
    </w:p>
    <w:p w14:paraId="04F95A82" w14:textId="220C7845" w:rsidR="0048666C" w:rsidRPr="0048666C" w:rsidRDefault="0048666C" w:rsidP="0048666C">
      <w:r w:rsidRPr="0048666C">
        <w:t>A time-varying current in a primary coil produces a time-varying magnetic flux. When a secondary coil is placed in this alternating flux, an electromotive force (EMF) is induced in the secondary coil. If the secondary circuit is closed, current flows and power is delivered to a load. Energy transfers via the magnetic field as an intermediary, requiring no physical connection. The efficiency depends on how well the magnetic field lines from the primary link with the secondary</w:t>
      </w:r>
      <w:r w:rsidR="006A69E0" w:rsidRPr="006A69E0">
        <w:t xml:space="preserve">, </w:t>
      </w:r>
      <w:r w:rsidRPr="0048666C">
        <w:t>quantified by mutual inductance </w:t>
      </w:r>
      <m:oMath>
        <m:r>
          <w:rPr>
            <w:rFonts w:ascii="Cambria Math" w:hAnsi="Cambria Math"/>
          </w:rPr>
          <m:t>M</m:t>
        </m:r>
      </m:oMath>
      <w:r w:rsidRPr="0048666C">
        <w:t>.</w:t>
      </w:r>
    </w:p>
    <w:p w14:paraId="6D11D0AA" w14:textId="77777777" w:rsidR="0048666C" w:rsidRPr="0048666C" w:rsidRDefault="0048666C" w:rsidP="006A69E0">
      <w:pPr>
        <w:pStyle w:val="Heading5"/>
      </w:pPr>
      <w:r w:rsidRPr="0048666C">
        <w:t>3. Mathematical Formulation</w:t>
      </w:r>
    </w:p>
    <w:p w14:paraId="2732599A" w14:textId="2A47E988" w:rsidR="0048666C" w:rsidRPr="0048666C" w:rsidRDefault="0048666C" w:rsidP="0048666C">
      <w:r w:rsidRPr="0048666C">
        <w:t>For two coils with turns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48666C">
        <w:t>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48666C">
        <w:t>, mutual inductance </w:t>
      </w:r>
      <m:oMath>
        <m:r>
          <w:rPr>
            <w:rFonts w:ascii="Cambria Math" w:hAnsi="Cambria Math"/>
          </w:rPr>
          <m:t>M</m:t>
        </m:r>
      </m:oMath>
      <w:r w:rsidRPr="0048666C">
        <w:t> (in Henries) is:</w:t>
      </w:r>
    </w:p>
    <w:p w14:paraId="51A433B9" w14:textId="4D1477A5" w:rsidR="0048666C" w:rsidRPr="0048666C" w:rsidRDefault="0048666C" w:rsidP="0048666C">
      <m:oMathPara>
        <m:oMath>
          <m:r>
            <w:rPr>
              <w:rFonts w:ascii="Cambria Math" w:hAnsi="Cambria Math"/>
            </w:rPr>
            <m:t>M=</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sSub>
                <m:sSubPr>
                  <m:ctrlPr>
                    <w:rPr>
                      <w:rFonts w:ascii="Cambria Math" w:hAnsi="Cambria Math"/>
                    </w:rPr>
                  </m:ctrlPr>
                </m:sSubPr>
                <m:e>
                  <m:r>
                    <m:rPr>
                      <m:sty m:val="p"/>
                    </m:rPr>
                    <w:rPr>
                      <w:rFonts w:ascii="Cambria Math" w:hAnsi="Cambria Math"/>
                    </w:rPr>
                    <m:t>Φ</m:t>
                  </m:r>
                </m:e>
                <m:sub>
                  <m:r>
                    <w:rPr>
                      <w:rFonts w:ascii="Cambria Math" w:hAnsi="Cambria Math"/>
                    </w:rPr>
                    <m:t>21</m:t>
                  </m:r>
                </m:sub>
              </m:sSub>
            </m:num>
            <m:den>
              <m:sSub>
                <m:sSubPr>
                  <m:ctrlPr>
                    <w:rPr>
                      <w:rFonts w:ascii="Cambria Math" w:hAnsi="Cambria Math"/>
                    </w:rPr>
                  </m:ctrlPr>
                </m:sSubPr>
                <m:e>
                  <m:r>
                    <w:rPr>
                      <w:rFonts w:ascii="Cambria Math" w:hAnsi="Cambria Math"/>
                    </w:rPr>
                    <m:t>I</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m:rPr>
                      <m:sty m:val="p"/>
                    </m:rPr>
                    <w:rPr>
                      <w:rFonts w:ascii="Cambria Math" w:hAnsi="Cambria Math"/>
                    </w:rPr>
                    <m:t>Φ</m:t>
                  </m:r>
                </m:e>
                <m:sub>
                  <m:r>
                    <w:rPr>
                      <w:rFonts w:ascii="Cambria Math" w:hAnsi="Cambria Math"/>
                    </w:rPr>
                    <m:t>12</m:t>
                  </m:r>
                </m:sub>
              </m:sSub>
            </m:num>
            <m:den>
              <m:sSub>
                <m:sSubPr>
                  <m:ctrlPr>
                    <w:rPr>
                      <w:rFonts w:ascii="Cambria Math" w:hAnsi="Cambria Math"/>
                    </w:rPr>
                  </m:ctrlPr>
                </m:sSubPr>
                <m:e>
                  <m:r>
                    <w:rPr>
                      <w:rFonts w:ascii="Cambria Math" w:hAnsi="Cambria Math"/>
                    </w:rPr>
                    <m:t>I</m:t>
                  </m:r>
                </m:e>
                <m:sub>
                  <m:r>
                    <w:rPr>
                      <w:rFonts w:ascii="Cambria Math" w:hAnsi="Cambria Math"/>
                    </w:rPr>
                    <m:t>2</m:t>
                  </m:r>
                </m:sub>
              </m:sSub>
            </m:den>
          </m:f>
          <m:r>
            <w:br/>
          </m:r>
        </m:oMath>
      </m:oMathPara>
    </w:p>
    <w:p w14:paraId="236124B0" w14:textId="7E4D63B7" w:rsidR="0048666C" w:rsidRPr="0048666C" w:rsidRDefault="0048666C" w:rsidP="0048666C">
      <w:r w:rsidRPr="0048666C">
        <w:t>where </w:t>
      </w:r>
      <m:oMath>
        <m:sSub>
          <m:sSubPr>
            <m:ctrlPr>
              <w:rPr>
                <w:rFonts w:ascii="Cambria Math" w:hAnsi="Cambria Math"/>
              </w:rPr>
            </m:ctrlPr>
          </m:sSubPr>
          <m:e>
            <m:r>
              <m:rPr>
                <m:sty m:val="p"/>
              </m:rPr>
              <w:rPr>
                <w:rFonts w:ascii="Cambria Math" w:hAnsi="Cambria Math"/>
              </w:rPr>
              <m:t>Φ</m:t>
            </m:r>
          </m:e>
          <m:sub>
            <m:r>
              <w:rPr>
                <w:rFonts w:ascii="Cambria Math" w:hAnsi="Cambria Math"/>
              </w:rPr>
              <m:t>21</m:t>
            </m:r>
          </m:sub>
        </m:sSub>
      </m:oMath>
      <w:r w:rsidRPr="0048666C">
        <w:t> is the flux through coil 2 due to current </w:t>
      </w:r>
      <m:oMath>
        <m:sSub>
          <m:sSubPr>
            <m:ctrlPr>
              <w:rPr>
                <w:rFonts w:ascii="Cambria Math" w:hAnsi="Cambria Math"/>
              </w:rPr>
            </m:ctrlPr>
          </m:sSubPr>
          <m:e>
            <m:r>
              <w:rPr>
                <w:rFonts w:ascii="Cambria Math" w:hAnsi="Cambria Math"/>
              </w:rPr>
              <m:t>I</m:t>
            </m:r>
          </m:e>
          <m:sub>
            <m:r>
              <w:rPr>
                <w:rFonts w:ascii="Cambria Math" w:hAnsi="Cambria Math"/>
              </w:rPr>
              <m:t>1</m:t>
            </m:r>
          </m:sub>
        </m:sSub>
      </m:oMath>
      <w:r w:rsidRPr="0048666C">
        <w:t> in coil 1. For coaxial circular coils of radii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sidRPr="0048666C">
        <w:t> separated by distance </w:t>
      </w:r>
      <m:oMath>
        <m:r>
          <w:rPr>
            <w:rFonts w:ascii="Cambria Math" w:hAnsi="Cambria Math"/>
          </w:rPr>
          <m:t>d</m:t>
        </m:r>
      </m:oMath>
      <w:r w:rsidRPr="0048666C">
        <w:t> (with </w:t>
      </w:r>
      <m:oMath>
        <m:r>
          <w:rPr>
            <w:rFonts w:ascii="Cambria Math" w:hAnsi="Cambria Math"/>
          </w:rPr>
          <m:t>d≫r</m:t>
        </m:r>
      </m:oMath>
      <w:r w:rsidRPr="0048666C">
        <w:t>):</w:t>
      </w:r>
    </w:p>
    <w:p w14:paraId="60C93DAA" w14:textId="6F569020" w:rsidR="0048666C" w:rsidRPr="0048666C" w:rsidRDefault="0048666C" w:rsidP="0048666C">
      <m:oMathPara>
        <m:oMath>
          <m:r>
            <w:rPr>
              <w:rFonts w:ascii="Cambria Math" w:hAnsi="Cambria Math"/>
            </w:rPr>
            <m:t>M≈</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π</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sup>
              </m:sSubSup>
            </m:num>
            <m:den>
              <m:r>
                <w:rPr>
                  <w:rFonts w:ascii="Cambria Math" w:hAnsi="Cambria Math"/>
                </w:rPr>
                <m:t>2</m:t>
              </m:r>
              <m:sSup>
                <m:sSupPr>
                  <m:ctrlPr>
                    <w:rPr>
                      <w:rFonts w:ascii="Cambria Math" w:hAnsi="Cambria Math"/>
                    </w:rPr>
                  </m:ctrlPr>
                </m:sSupPr>
                <m:e>
                  <m:r>
                    <w:rPr>
                      <w:rFonts w:ascii="Cambria Math" w:hAnsi="Cambria Math"/>
                    </w:rPr>
                    <m:t>d</m:t>
                  </m:r>
                </m:e>
                <m:sup>
                  <m:r>
                    <w:rPr>
                      <w:rFonts w:ascii="Cambria Math" w:hAnsi="Cambria Math"/>
                    </w:rPr>
                    <m:t>3</m:t>
                  </m:r>
                </m:sup>
              </m:sSup>
            </m:den>
          </m:f>
          <m:r>
            <w:br/>
          </m:r>
        </m:oMath>
      </m:oMathPara>
    </w:p>
    <w:p w14:paraId="234F98C6" w14:textId="5E952D1D" w:rsidR="0048666C" w:rsidRPr="0048666C" w:rsidRDefault="0048666C" w:rsidP="0048666C">
      <w:r w:rsidRPr="0048666C">
        <w:t>The rapid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3</m:t>
            </m:r>
          </m:sup>
        </m:sSup>
      </m:oMath>
      <w:r w:rsidRPr="0048666C">
        <w:t> drop-off explains why inductive WPT is efficient only over short distances (cm to a few meters).</w:t>
      </w:r>
    </w:p>
    <w:p w14:paraId="28CCDCE5" w14:textId="78A67672" w:rsidR="0048666C" w:rsidRPr="0048666C" w:rsidRDefault="0048666C" w:rsidP="0048666C">
      <w:r w:rsidRPr="0048666C">
        <w:t>The fraction of flux linked is the coupling coefficient </w:t>
      </w:r>
      <m:oMath>
        <m:r>
          <w:rPr>
            <w:rFonts w:ascii="Cambria Math" w:hAnsi="Cambria Math"/>
          </w:rPr>
          <m:t>k</m:t>
        </m:r>
      </m:oMath>
      <w:r w:rsidRPr="0048666C">
        <w:t> (0 ≤ k ≤ 1):</w:t>
      </w:r>
    </w:p>
    <w:p w14:paraId="5642FED4" w14:textId="6ACD4ED7" w:rsidR="0048666C" w:rsidRPr="0048666C" w:rsidRDefault="0048666C" w:rsidP="0048666C">
      <m:oMathPara>
        <m:oMath>
          <m:r>
            <w:rPr>
              <w:rFonts w:ascii="Cambria Math" w:hAnsi="Cambria Math"/>
            </w:rPr>
            <m:t>k=</m:t>
          </m:r>
          <m:f>
            <m:fPr>
              <m:ctrlPr>
                <w:rPr>
                  <w:rFonts w:ascii="Cambria Math" w:hAnsi="Cambria Math"/>
                </w:rPr>
              </m:ctrlPr>
            </m:fPr>
            <m:num>
              <m:r>
                <w:rPr>
                  <w:rFonts w:ascii="Cambria Math" w:hAnsi="Cambria Math"/>
                </w:rPr>
                <m:t>M</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L</m:t>
                      </m:r>
                    </m:e>
                    <m:sub>
                      <m:r>
                        <w:rPr>
                          <w:rFonts w:ascii="Cambria Math" w:hAnsi="Cambria Math"/>
                        </w:rPr>
                        <m:t>2</m:t>
                      </m:r>
                    </m:sub>
                  </m:sSub>
                </m:e>
              </m:rad>
            </m:den>
          </m:f>
          <m:r>
            <w:br/>
          </m:r>
        </m:oMath>
      </m:oMathPara>
    </w:p>
    <w:p w14:paraId="6336E959" w14:textId="1FBE74D9" w:rsidR="0048666C" w:rsidRPr="0048666C" w:rsidRDefault="0048666C" w:rsidP="0048666C">
      <w:r w:rsidRPr="0048666C">
        <w:t>where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w:r w:rsidRPr="0048666C">
        <w:t> are self-inductances. Perfect coupling (</w:t>
      </w:r>
      <m:oMath>
        <m:r>
          <w:rPr>
            <w:rFonts w:ascii="Cambria Math" w:hAnsi="Cambria Math"/>
          </w:rPr>
          <m:t>k=1</m:t>
        </m:r>
      </m:oMath>
      <w:r w:rsidRPr="0048666C">
        <w:t>) means all primary flux passes through the secondary. In practice, </w:t>
      </w:r>
      <m:oMath>
        <m:r>
          <w:rPr>
            <w:rFonts w:ascii="Cambria Math" w:hAnsi="Cambria Math"/>
          </w:rPr>
          <m:t>k</m:t>
        </m:r>
      </m:oMath>
      <w:r w:rsidRPr="0048666C">
        <w:t> is 0.1–0.8 for loosely coupled systems (e.g., smartphone pads) and &gt;0.9 for tightly coupled transformers.</w:t>
      </w:r>
    </w:p>
    <w:p w14:paraId="21C9BD44" w14:textId="77777777" w:rsidR="0048666C" w:rsidRPr="0048666C" w:rsidRDefault="0048666C" w:rsidP="0048666C">
      <w:r w:rsidRPr="0048666C">
        <w:t>Faraday’s Law gives the open-circuit voltage in the secondary:</w:t>
      </w:r>
    </w:p>
    <w:p w14:paraId="536E980B" w14:textId="3E71C0F6" w:rsidR="0048666C" w:rsidRPr="0048666C" w:rsidRDefault="0048666C" w:rsidP="0048666C">
      <m:oMathPara>
        <m:oMath>
          <m:sSub>
            <m:sSubPr>
              <m:ctrlPr>
                <w:rPr>
                  <w:rFonts w:ascii="Cambria Math" w:hAnsi="Cambria Math"/>
                </w:rPr>
              </m:ctrlPr>
            </m:sSubPr>
            <m:e>
              <m:r>
                <w:rPr>
                  <w:rFonts w:ascii="Cambria Math" w:hAnsi="Cambria Math"/>
                </w:rPr>
                <m:t>V</m:t>
              </m:r>
            </m:e>
            <m:sub>
              <m:r>
                <w:rPr>
                  <w:rFonts w:ascii="Cambria Math" w:hAnsi="Cambria Math"/>
                </w:rPr>
                <m:t>oc</m:t>
              </m:r>
            </m:sub>
          </m:sSub>
          <m:r>
            <w:rPr>
              <w:rFonts w:ascii="Cambria Math" w:hAnsi="Cambria Math"/>
            </w:rPr>
            <m:t>=-M</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dt</m:t>
              </m:r>
            </m:den>
          </m:f>
          <m:r>
            <w:br/>
          </m:r>
        </m:oMath>
      </m:oMathPara>
    </w:p>
    <w:p w14:paraId="54CBBCA1" w14:textId="10255EDF" w:rsidR="0048666C" w:rsidRPr="0048666C" w:rsidRDefault="0048666C" w:rsidP="0048666C">
      <w:r w:rsidRPr="0048666C">
        <w:lastRenderedPageBreak/>
        <w:t>For sinusoidal operation at angular frequency </w:t>
      </w:r>
      <m:oMath>
        <m:r>
          <w:rPr>
            <w:rFonts w:ascii="Cambria Math" w:hAnsi="Cambria Math"/>
          </w:rPr>
          <m:t>ω=2πf</m:t>
        </m:r>
      </m:oMath>
      <w:r w:rsidRPr="0048666C">
        <w:t> with primary RMS current </w:t>
      </w:r>
      <m:oMath>
        <m:sSub>
          <m:sSubPr>
            <m:ctrlPr>
              <w:rPr>
                <w:rFonts w:ascii="Cambria Math" w:hAnsi="Cambria Math"/>
              </w:rPr>
            </m:ctrlPr>
          </m:sSubPr>
          <m:e>
            <m:r>
              <w:rPr>
                <w:rFonts w:ascii="Cambria Math" w:hAnsi="Cambria Math"/>
              </w:rPr>
              <m:t>I</m:t>
            </m:r>
          </m:e>
          <m:sub>
            <m:r>
              <w:rPr>
                <w:rFonts w:ascii="Cambria Math" w:hAnsi="Cambria Math"/>
              </w:rPr>
              <m:t>1,</m:t>
            </m:r>
            <m:r>
              <m:rPr>
                <m:nor/>
              </m:rPr>
              <m:t>rms</m:t>
            </m:r>
          </m:sub>
        </m:sSub>
      </m:oMath>
      <w:r w:rsidRPr="0048666C">
        <w:t>:</w:t>
      </w:r>
    </w:p>
    <w:p w14:paraId="27105624" w14:textId="11E1652D" w:rsidR="0048666C" w:rsidRPr="0048666C" w:rsidRDefault="0048666C" w:rsidP="0048666C">
      <m:oMathPara>
        <m:oMath>
          <m:sSub>
            <m:sSubPr>
              <m:ctrlPr>
                <w:rPr>
                  <w:rFonts w:ascii="Cambria Math" w:hAnsi="Cambria Math"/>
                </w:rPr>
              </m:ctrlPr>
            </m:sSubPr>
            <m:e>
              <m:r>
                <w:rPr>
                  <w:rFonts w:ascii="Cambria Math" w:hAnsi="Cambria Math"/>
                </w:rPr>
                <m:t>V</m:t>
              </m:r>
            </m:e>
            <m:sub>
              <m:r>
                <w:rPr>
                  <w:rFonts w:ascii="Cambria Math" w:hAnsi="Cambria Math"/>
                </w:rPr>
                <m:t>2,</m:t>
              </m:r>
              <m:r>
                <m:rPr>
                  <m:nor/>
                </m:rPr>
                <m:t>rms</m:t>
              </m:r>
            </m:sub>
          </m:sSub>
          <m:r>
            <w:rPr>
              <w:rFonts w:ascii="Cambria Math" w:hAnsi="Cambria Math"/>
            </w:rPr>
            <m:t>=ωM</m:t>
          </m:r>
          <m:sSub>
            <m:sSubPr>
              <m:ctrlPr>
                <w:rPr>
                  <w:rFonts w:ascii="Cambria Math" w:hAnsi="Cambria Math"/>
                </w:rPr>
              </m:ctrlPr>
            </m:sSubPr>
            <m:e>
              <m:r>
                <w:rPr>
                  <w:rFonts w:ascii="Cambria Math" w:hAnsi="Cambria Math"/>
                </w:rPr>
                <m:t>I</m:t>
              </m:r>
            </m:e>
            <m:sub>
              <m:r>
                <w:rPr>
                  <w:rFonts w:ascii="Cambria Math" w:hAnsi="Cambria Math"/>
                </w:rPr>
                <m:t>1,</m:t>
              </m:r>
              <m:r>
                <m:rPr>
                  <m:nor/>
                </m:rPr>
                <m:t>rms</m:t>
              </m:r>
            </m:sub>
          </m:sSub>
          <m:r>
            <w:br/>
          </m:r>
        </m:oMath>
      </m:oMathPara>
    </w:p>
    <w:p w14:paraId="38C55AE7" w14:textId="210A44A3" w:rsidR="0048666C" w:rsidRPr="0048666C" w:rsidRDefault="0048666C" w:rsidP="0048666C">
      <w:r w:rsidRPr="0048666C">
        <w:rPr>
          <w:b/>
          <w:bCs/>
        </w:rPr>
        <w:t>Key insight:</w:t>
      </w:r>
      <w:r w:rsidRPr="0048666C">
        <w:t> Higher frequency increases induced voltage for a given </w:t>
      </w:r>
      <m:oMath>
        <m:r>
          <w:rPr>
            <w:rFonts w:ascii="Cambria Math" w:hAnsi="Cambria Math"/>
          </w:rPr>
          <m:t>M</m:t>
        </m:r>
      </m:oMath>
      <w:r w:rsidRPr="0048666C">
        <w:t>. Practical wireless chargers operate from 100 kHz (Qi standard) to several MHz (resonant systems).</w:t>
      </w:r>
    </w:p>
    <w:p w14:paraId="6F925606" w14:textId="77777777" w:rsidR="0048666C" w:rsidRPr="0048666C" w:rsidRDefault="0048666C" w:rsidP="0048666C">
      <w:r w:rsidRPr="0048666C">
        <w:t>The reflected impedance from secondary to primary is:</w:t>
      </w:r>
    </w:p>
    <w:p w14:paraId="5BFB0822" w14:textId="39EBBC44" w:rsidR="0048666C" w:rsidRPr="0048666C" w:rsidRDefault="0048666C" w:rsidP="0048666C">
      <m:oMathPara>
        <m:oMath>
          <m:sSub>
            <m:sSubPr>
              <m:ctrlPr>
                <w:rPr>
                  <w:rFonts w:ascii="Cambria Math" w:hAnsi="Cambria Math"/>
                </w:rPr>
              </m:ctrlPr>
            </m:sSubPr>
            <m:e>
              <m:r>
                <w:rPr>
                  <w:rFonts w:ascii="Cambria Math" w:hAnsi="Cambria Math"/>
                </w:rPr>
                <m:t>Z</m:t>
              </m:r>
            </m:e>
            <m:sub>
              <m:r>
                <m:rPr>
                  <m:nor/>
                </m:rPr>
                <m:t>ref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ω</m:t>
                  </m:r>
                </m:e>
                <m:sup>
                  <m:r>
                    <w:rPr>
                      <w:rFonts w:ascii="Cambria Math" w:hAnsi="Cambria Math"/>
                    </w:rPr>
                    <m:t>2</m:t>
                  </m:r>
                </m:sup>
              </m:sSup>
              <m:sSup>
                <m:sSupPr>
                  <m:ctrlPr>
                    <w:rPr>
                      <w:rFonts w:ascii="Cambria Math" w:hAnsi="Cambria Math"/>
                    </w:rPr>
                  </m:ctrlPr>
                </m:sSupPr>
                <m:e>
                  <m:r>
                    <w:rPr>
                      <w:rFonts w:ascii="Cambria Math" w:hAnsi="Cambria Math"/>
                    </w:rPr>
                    <m:t>M</m:t>
                  </m:r>
                </m:e>
                <m:sup>
                  <m:r>
                    <w:rPr>
                      <w:rFonts w:ascii="Cambria Math" w:hAnsi="Cambria Math"/>
                    </w:rPr>
                    <m:t>2</m:t>
                  </m:r>
                </m:sup>
              </m:sSup>
            </m:num>
            <m:den>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2</m:t>
                      </m:r>
                    </m:sub>
                  </m:sSub>
                </m:den>
              </m:f>
            </m:den>
          </m:f>
          <m:r>
            <w:br/>
          </m:r>
        </m:oMath>
      </m:oMathPara>
    </w:p>
    <w:p w14:paraId="2C078E63" w14:textId="116E0B27" w:rsidR="004B472B" w:rsidRDefault="0048666C" w:rsidP="0048666C">
      <w:r w:rsidRPr="0048666C">
        <w:t>At resonance, capacitive reactance cancels inductive reactance, making the impedance purely resistive and maximizing power transfer. Adding capacitors to both coils (series or parallel) creates a resonant transformer, boosting efficiency even when </w:t>
      </w:r>
      <m:oMath>
        <m:r>
          <w:rPr>
            <w:rFonts w:ascii="Cambria Math" w:hAnsi="Cambria Math"/>
          </w:rPr>
          <m:t>k</m:t>
        </m:r>
      </m:oMath>
      <w:r w:rsidRPr="0048666C">
        <w:t> is small.</w:t>
      </w:r>
    </w:p>
    <w:p w14:paraId="7EE64CC4" w14:textId="77777777" w:rsidR="00E4141F" w:rsidRPr="00E4141F" w:rsidRDefault="00E4141F" w:rsidP="006A69E0">
      <w:pPr>
        <w:pStyle w:val="Heading5"/>
      </w:pPr>
      <w:r w:rsidRPr="00E4141F">
        <w:t>4. Practical Relevance and Trade-offs</w:t>
      </w:r>
    </w:p>
    <w:p w14:paraId="641BFC74" w14:textId="77777777" w:rsidR="00E4141F" w:rsidRPr="00E4141F" w:rsidRDefault="00E4141F" w:rsidP="00E4141F">
      <w:r w:rsidRPr="00E4141F">
        <w:rPr>
          <w:b/>
          <w:bCs/>
        </w:rPr>
        <w:t>Applications:</w:t>
      </w:r>
      <w:r w:rsidRPr="00E4141F">
        <w:t> Smartphones (Qi: 15W, 80-90% at 5 mm); medical implants (low heating); EVs (3-20 kW, 90-95% at 150-200 mm); industrial (rotating machinery).</w:t>
      </w:r>
    </w:p>
    <w:p w14:paraId="20B0D4B8" w14:textId="77777777" w:rsidR="00E4141F" w:rsidRPr="00E4141F" w:rsidRDefault="00E4141F" w:rsidP="00E4141F">
      <w:r w:rsidRPr="00E4141F">
        <w:rPr>
          <w:b/>
          <w:bCs/>
        </w:rPr>
        <w:t>Key challenges:</w:t>
      </w:r>
    </w:p>
    <w:p w14:paraId="3ADD63DF" w14:textId="1E41D215" w:rsidR="00E4141F" w:rsidRPr="00E4141F" w:rsidRDefault="00E4141F" w:rsidP="00E4141F">
      <w:pPr>
        <w:numPr>
          <w:ilvl w:val="0"/>
          <w:numId w:val="5"/>
        </w:numPr>
      </w:pPr>
      <w:r w:rsidRPr="00E4141F">
        <w:t>Distance: </w:t>
      </w:r>
      <m:oMath>
        <m:r>
          <w:rPr>
            <w:rFonts w:ascii="Cambria Math" w:hAnsi="Cambria Math"/>
          </w:rPr>
          <m:t>M∝1</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3</m:t>
            </m:r>
          </m:sup>
        </m:sSup>
      </m:oMath>
      <w:r w:rsidRPr="00E4141F">
        <w:t xml:space="preserve"> causes rapid efficiency </w:t>
      </w:r>
      <w:proofErr w:type="gramStart"/>
      <w:r w:rsidRPr="00E4141F">
        <w:t>drop</w:t>
      </w:r>
      <w:proofErr w:type="gramEnd"/>
      <w:r w:rsidRPr="00E4141F">
        <w:t>. Resonance and high-</w:t>
      </w:r>
      <m:oMath>
        <m:r>
          <w:rPr>
            <w:rFonts w:ascii="Cambria Math" w:hAnsi="Cambria Math"/>
          </w:rPr>
          <m:t>Q</m:t>
        </m:r>
      </m:oMath>
      <w:r w:rsidRPr="00E4141F">
        <w:t> coils help.</w:t>
      </w:r>
    </w:p>
    <w:p w14:paraId="5A4D315C" w14:textId="77777777" w:rsidR="00E4141F" w:rsidRPr="00E4141F" w:rsidRDefault="00E4141F" w:rsidP="00E4141F">
      <w:pPr>
        <w:numPr>
          <w:ilvl w:val="0"/>
          <w:numId w:val="5"/>
        </w:numPr>
      </w:pPr>
      <w:r w:rsidRPr="00E4141F">
        <w:t>Misalignment: Reduces mutual flux. Multi-coil arrays and ferrite shielding mitigate this.</w:t>
      </w:r>
    </w:p>
    <w:p w14:paraId="5E6B7DF9" w14:textId="77777777" w:rsidR="00E4141F" w:rsidRPr="00E4141F" w:rsidRDefault="00E4141F" w:rsidP="00E4141F">
      <w:pPr>
        <w:numPr>
          <w:ilvl w:val="0"/>
          <w:numId w:val="5"/>
        </w:numPr>
      </w:pPr>
      <w:r w:rsidRPr="00E4141F">
        <w:t>EMI: Alternating fields induce stray currents. Ferrite/aluminum shielding is standard.</w:t>
      </w:r>
    </w:p>
    <w:p w14:paraId="5CCC9458" w14:textId="77777777" w:rsidR="00E4141F" w:rsidRPr="00E4141F" w:rsidRDefault="00E4141F" w:rsidP="00E4141F">
      <w:pPr>
        <w:numPr>
          <w:ilvl w:val="0"/>
          <w:numId w:val="5"/>
        </w:numPr>
      </w:pPr>
      <w:r w:rsidRPr="00E4141F">
        <w:t>Heat: Skin/proximity effects cause losses; core materials must be managed.</w:t>
      </w:r>
    </w:p>
    <w:p w14:paraId="2F63DA79" w14:textId="3E12A4CE" w:rsidR="00E4141F" w:rsidRPr="00E4141F" w:rsidRDefault="00E4141F" w:rsidP="00E4141F">
      <w:r w:rsidRPr="00E4141F">
        <w:rPr>
          <w:b/>
          <w:bCs/>
        </w:rPr>
        <w:t>Example:</w:t>
      </w:r>
      <w:r w:rsidRPr="00E4141F">
        <w:t> A smartphone charger with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=10</m:t>
        </m:r>
        <m:r>
          <m:rPr>
            <m:nor/>
          </m:rPr>
          <w:rPr>
            <w:rFonts w:ascii="Arial" w:hAnsi="Arial" w:cs="Arial"/>
          </w:rPr>
          <m:t> </m:t>
        </m:r>
        <m:r>
          <w:rPr>
            <w:rFonts w:ascii="Cambria Math" w:hAnsi="Cambria Math"/>
          </w:rPr>
          <m:t>μ</m:t>
        </m:r>
        <m:r>
          <m:rPr>
            <m:nor/>
          </m:rPr>
          <m:t>H</m:t>
        </m:r>
      </m:oMath>
      <w:r w:rsidRPr="00E4141F">
        <w:t>, </w:t>
      </w:r>
      <m:oMath>
        <m:r>
          <w:rPr>
            <w:rFonts w:ascii="Cambria Math" w:hAnsi="Cambria Math"/>
          </w:rPr>
          <m:t>M=0.5</m:t>
        </m:r>
        <m:r>
          <m:rPr>
            <m:nor/>
          </m:rPr>
          <w:rPr>
            <w:rFonts w:ascii="Arial" w:hAnsi="Arial" w:cs="Arial"/>
          </w:rPr>
          <m:t> </m:t>
        </m:r>
        <m:r>
          <w:rPr>
            <w:rFonts w:ascii="Cambria Math" w:hAnsi="Cambria Math"/>
          </w:rPr>
          <m:t>μ</m:t>
        </m:r>
        <m:r>
          <m:rPr>
            <m:nor/>
          </m:rPr>
          <m:t>H</m:t>
        </m:r>
      </m:oMath>
      <w:r w:rsidRPr="00E4141F">
        <w:t> (</w:t>
      </w:r>
      <m:oMath>
        <m:r>
          <w:rPr>
            <w:rFonts w:ascii="Cambria Math" w:hAnsi="Cambria Math"/>
          </w:rPr>
          <m:t>k=0.05</m:t>
        </m:r>
      </m:oMath>
      <w:r w:rsidRPr="00E4141F">
        <w:t>), </w:t>
      </w:r>
      <m:oMath>
        <m:r>
          <w:rPr>
            <w:rFonts w:ascii="Cambria Math" w:hAnsi="Cambria Math"/>
          </w:rPr>
          <m:t>f=200</m:t>
        </m:r>
      </m:oMath>
      <w:r w:rsidRPr="00E4141F">
        <w:t> kHz gives </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≈0.6</m:t>
        </m:r>
      </m:oMath>
      <w:r w:rsidRPr="00E4141F">
        <w:t> V without resonance. With resonance (</w:t>
      </w:r>
      <m:oMath>
        <m:r>
          <w:rPr>
            <w:rFonts w:ascii="Cambria Math" w:hAnsi="Cambria Math"/>
          </w:rPr>
          <m:t>Q≈100</m:t>
        </m:r>
      </m:oMath>
      <w:r w:rsidRPr="00E4141F">
        <w:t>), voltage boosts to ~60 V, then regulated down. This is why all modern WPT systems use resonant compensation.</w:t>
      </w:r>
    </w:p>
    <w:p w14:paraId="24C11A04" w14:textId="77777777" w:rsidR="00E4141F" w:rsidRPr="00E4141F" w:rsidRDefault="00E4141F" w:rsidP="006A69E0">
      <w:pPr>
        <w:pStyle w:val="Heading5"/>
      </w:pPr>
      <w:r w:rsidRPr="00E4141F">
        <w:t>5. Conclusion</w:t>
      </w:r>
    </w:p>
    <w:p w14:paraId="1F0FDEED" w14:textId="4E77771E" w:rsidR="00E4141F" w:rsidRPr="00E4141F" w:rsidRDefault="00E4141F" w:rsidP="00E4141F">
      <w:r w:rsidRPr="00E4141F">
        <w:t>Inductive WPT applies magnetostatic and electrodynamic principles: the magnetic field carries energy via mutual inductance and Faraday’s Law. Despite distance and misalignment limits, resonant techniques enable practical systems from millimeters to hundreds of millimeters and milliwatts to kilowatts. Understanding </w:t>
      </w:r>
      <m:oMath>
        <m:r>
          <w:rPr>
            <w:rFonts w:ascii="Cambria Math" w:hAnsi="Cambria Math"/>
          </w:rPr>
          <m:t>M</m:t>
        </m:r>
      </m:oMath>
      <w:r w:rsidRPr="00E4141F">
        <w:t>, </w:t>
      </w:r>
      <m:oMath>
        <m:r>
          <w:rPr>
            <w:rFonts w:ascii="Cambria Math" w:hAnsi="Cambria Math"/>
          </w:rPr>
          <m:t>k</m:t>
        </m:r>
      </m:oMath>
      <w:r w:rsidRPr="00E4141F">
        <w:t>, </w:t>
      </w:r>
      <m:oMath>
        <m:r>
          <w:rPr>
            <w:rFonts w:ascii="Cambria Math" w:hAnsi="Cambria Math"/>
          </w:rPr>
          <m:t>Q</m:t>
        </m:r>
      </m:oMath>
      <w:r w:rsidRPr="00E4141F">
        <w:t>, and frequency is essential for efficient, safe design.</w:t>
      </w:r>
    </w:p>
    <w:p w14:paraId="12093658" w14:textId="77777777" w:rsidR="00E4141F" w:rsidRDefault="00E4141F">
      <w:pPr>
        <w:rPr>
          <w:b/>
          <w:bCs/>
        </w:rPr>
      </w:pPr>
      <w:r>
        <w:rPr>
          <w:b/>
          <w:bCs/>
        </w:rPr>
        <w:br w:type="page"/>
      </w:r>
    </w:p>
    <w:p w14:paraId="3EE7EAE9" w14:textId="7E049D08" w:rsidR="00E4141F" w:rsidRPr="00E4141F" w:rsidRDefault="00E4141F" w:rsidP="006A69E0">
      <w:pPr>
        <w:pStyle w:val="Heading5"/>
      </w:pPr>
      <w:r w:rsidRPr="00E4141F">
        <w:lastRenderedPageBreak/>
        <w:t>References</w:t>
      </w:r>
    </w:p>
    <w:p w14:paraId="622BCB0D" w14:textId="77777777" w:rsidR="00E4141F" w:rsidRPr="00E4141F" w:rsidRDefault="00E4141F" w:rsidP="00E4141F">
      <w:r w:rsidRPr="00E4141F">
        <w:t>[1] D. J. Griffiths, </w:t>
      </w:r>
      <w:r w:rsidRPr="00E4141F">
        <w:rPr>
          <w:i/>
          <w:iCs/>
        </w:rPr>
        <w:t>Introduction to Electrodynamics</w:t>
      </w:r>
      <w:r w:rsidRPr="00E4141F">
        <w:t xml:space="preserve">, 4th ed. Cambridge University Press, 2017, </w:t>
      </w:r>
      <w:proofErr w:type="spellStart"/>
      <w:r w:rsidRPr="00E4141F">
        <w:t>ch.</w:t>
      </w:r>
      <w:proofErr w:type="spellEnd"/>
      <w:r w:rsidRPr="00E4141F">
        <w:t xml:space="preserve"> 7.</w:t>
      </w:r>
      <w:r w:rsidRPr="00E4141F">
        <w:br/>
        <w:t>[2] S. Y. R. Hui, W. Zhong, and C. K. Lee, “A critical review of recent progress in mid-range wireless power transfer,” </w:t>
      </w:r>
      <w:r w:rsidRPr="00E4141F">
        <w:rPr>
          <w:i/>
          <w:iCs/>
        </w:rPr>
        <w:t>IEEE Trans. Power Electron.</w:t>
      </w:r>
      <w:r w:rsidRPr="00E4141F">
        <w:t>, vol. 29, no. 9, pp. 4500–4511, 2014.</w:t>
      </w:r>
      <w:r w:rsidRPr="00E4141F">
        <w:br/>
        <w:t>[3] Wireless Power Consortium, “Qi System Description – Magnetic Power Profile,” 2021.</w:t>
      </w:r>
    </w:p>
    <w:p w14:paraId="5251E166" w14:textId="77777777" w:rsidR="00E4141F" w:rsidRDefault="00E4141F" w:rsidP="0048666C"/>
    <w:sectPr w:rsidR="00E414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2090"/>
    <w:multiLevelType w:val="hybridMultilevel"/>
    <w:tmpl w:val="185E0E2E"/>
    <w:lvl w:ilvl="0" w:tplc="5C2A1572">
      <w:start w:val="1"/>
      <w:numFmt w:val="bullet"/>
      <w:lvlText w:val=""/>
      <w:lvlJc w:val="left"/>
      <w:pPr>
        <w:ind w:left="720" w:hanging="360"/>
      </w:pPr>
      <w:rPr>
        <w:rFonts w:ascii="Symbol" w:hAnsi="Symbol" w:hint="default"/>
      </w:rPr>
    </w:lvl>
    <w:lvl w:ilvl="1" w:tplc="32900DBE">
      <w:start w:val="1"/>
      <w:numFmt w:val="bullet"/>
      <w:lvlText w:val="o"/>
      <w:lvlJc w:val="left"/>
      <w:pPr>
        <w:ind w:left="1440" w:hanging="360"/>
      </w:pPr>
      <w:rPr>
        <w:rFonts w:ascii="Courier New" w:hAnsi="Courier New" w:hint="default"/>
      </w:rPr>
    </w:lvl>
    <w:lvl w:ilvl="2" w:tplc="7CC4CF12">
      <w:start w:val="1"/>
      <w:numFmt w:val="bullet"/>
      <w:lvlText w:val=""/>
      <w:lvlJc w:val="left"/>
      <w:pPr>
        <w:ind w:left="2160" w:hanging="360"/>
      </w:pPr>
      <w:rPr>
        <w:rFonts w:ascii="Wingdings" w:hAnsi="Wingdings" w:hint="default"/>
      </w:rPr>
    </w:lvl>
    <w:lvl w:ilvl="3" w:tplc="A22AD4A6">
      <w:start w:val="1"/>
      <w:numFmt w:val="bullet"/>
      <w:lvlText w:val=""/>
      <w:lvlJc w:val="left"/>
      <w:pPr>
        <w:ind w:left="2880" w:hanging="360"/>
      </w:pPr>
      <w:rPr>
        <w:rFonts w:ascii="Symbol" w:hAnsi="Symbol" w:hint="default"/>
      </w:rPr>
    </w:lvl>
    <w:lvl w:ilvl="4" w:tplc="64E626DA">
      <w:start w:val="1"/>
      <w:numFmt w:val="bullet"/>
      <w:lvlText w:val="o"/>
      <w:lvlJc w:val="left"/>
      <w:pPr>
        <w:ind w:left="3600" w:hanging="360"/>
      </w:pPr>
      <w:rPr>
        <w:rFonts w:ascii="Courier New" w:hAnsi="Courier New" w:hint="default"/>
      </w:rPr>
    </w:lvl>
    <w:lvl w:ilvl="5" w:tplc="BBA07EDE">
      <w:start w:val="1"/>
      <w:numFmt w:val="bullet"/>
      <w:lvlText w:val=""/>
      <w:lvlJc w:val="left"/>
      <w:pPr>
        <w:ind w:left="4320" w:hanging="360"/>
      </w:pPr>
      <w:rPr>
        <w:rFonts w:ascii="Wingdings" w:hAnsi="Wingdings" w:hint="default"/>
      </w:rPr>
    </w:lvl>
    <w:lvl w:ilvl="6" w:tplc="A79A319C">
      <w:start w:val="1"/>
      <w:numFmt w:val="bullet"/>
      <w:lvlText w:val=""/>
      <w:lvlJc w:val="left"/>
      <w:pPr>
        <w:ind w:left="5040" w:hanging="360"/>
      </w:pPr>
      <w:rPr>
        <w:rFonts w:ascii="Symbol" w:hAnsi="Symbol" w:hint="default"/>
      </w:rPr>
    </w:lvl>
    <w:lvl w:ilvl="7" w:tplc="9F005836">
      <w:start w:val="1"/>
      <w:numFmt w:val="bullet"/>
      <w:lvlText w:val="o"/>
      <w:lvlJc w:val="left"/>
      <w:pPr>
        <w:ind w:left="5760" w:hanging="360"/>
      </w:pPr>
      <w:rPr>
        <w:rFonts w:ascii="Courier New" w:hAnsi="Courier New" w:hint="default"/>
      </w:rPr>
    </w:lvl>
    <w:lvl w:ilvl="8" w:tplc="7BA2661A">
      <w:start w:val="1"/>
      <w:numFmt w:val="bullet"/>
      <w:lvlText w:val=""/>
      <w:lvlJc w:val="left"/>
      <w:pPr>
        <w:ind w:left="6480" w:hanging="360"/>
      </w:pPr>
      <w:rPr>
        <w:rFonts w:ascii="Wingdings" w:hAnsi="Wingdings" w:hint="default"/>
      </w:rPr>
    </w:lvl>
  </w:abstractNum>
  <w:abstractNum w:abstractNumId="1" w15:restartNumberingAfterBreak="0">
    <w:nsid w:val="2F2319D7"/>
    <w:multiLevelType w:val="multilevel"/>
    <w:tmpl w:val="112C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BB2BD"/>
    <w:multiLevelType w:val="hybridMultilevel"/>
    <w:tmpl w:val="E82A42DA"/>
    <w:lvl w:ilvl="0" w:tplc="22B283FE">
      <w:start w:val="1"/>
      <w:numFmt w:val="decimal"/>
      <w:lvlText w:val="%1."/>
      <w:lvlJc w:val="left"/>
      <w:pPr>
        <w:ind w:left="720" w:hanging="360"/>
      </w:pPr>
    </w:lvl>
    <w:lvl w:ilvl="1" w:tplc="34C82F52">
      <w:start w:val="1"/>
      <w:numFmt w:val="lowerLetter"/>
      <w:lvlText w:val="%2."/>
      <w:lvlJc w:val="left"/>
      <w:pPr>
        <w:ind w:left="1440" w:hanging="360"/>
      </w:pPr>
    </w:lvl>
    <w:lvl w:ilvl="2" w:tplc="A8BA7E28">
      <w:start w:val="1"/>
      <w:numFmt w:val="lowerRoman"/>
      <w:lvlText w:val="%3."/>
      <w:lvlJc w:val="right"/>
      <w:pPr>
        <w:ind w:left="2160" w:hanging="180"/>
      </w:pPr>
    </w:lvl>
    <w:lvl w:ilvl="3" w:tplc="36E41906">
      <w:start w:val="1"/>
      <w:numFmt w:val="decimal"/>
      <w:lvlText w:val="%4."/>
      <w:lvlJc w:val="left"/>
      <w:pPr>
        <w:ind w:left="2880" w:hanging="360"/>
      </w:pPr>
    </w:lvl>
    <w:lvl w:ilvl="4" w:tplc="64FC7408">
      <w:start w:val="1"/>
      <w:numFmt w:val="lowerLetter"/>
      <w:lvlText w:val="%5."/>
      <w:lvlJc w:val="left"/>
      <w:pPr>
        <w:ind w:left="3600" w:hanging="360"/>
      </w:pPr>
    </w:lvl>
    <w:lvl w:ilvl="5" w:tplc="E256A6AA">
      <w:start w:val="1"/>
      <w:numFmt w:val="lowerRoman"/>
      <w:lvlText w:val="%6."/>
      <w:lvlJc w:val="right"/>
      <w:pPr>
        <w:ind w:left="4320" w:hanging="180"/>
      </w:pPr>
    </w:lvl>
    <w:lvl w:ilvl="6" w:tplc="6CEC221E">
      <w:start w:val="1"/>
      <w:numFmt w:val="decimal"/>
      <w:lvlText w:val="%7."/>
      <w:lvlJc w:val="left"/>
      <w:pPr>
        <w:ind w:left="5040" w:hanging="360"/>
      </w:pPr>
    </w:lvl>
    <w:lvl w:ilvl="7" w:tplc="365004A0">
      <w:start w:val="1"/>
      <w:numFmt w:val="lowerLetter"/>
      <w:lvlText w:val="%8."/>
      <w:lvlJc w:val="left"/>
      <w:pPr>
        <w:ind w:left="5760" w:hanging="360"/>
      </w:pPr>
    </w:lvl>
    <w:lvl w:ilvl="8" w:tplc="CA54A1A6">
      <w:start w:val="1"/>
      <w:numFmt w:val="lowerRoman"/>
      <w:lvlText w:val="%9."/>
      <w:lvlJc w:val="right"/>
      <w:pPr>
        <w:ind w:left="6480" w:hanging="180"/>
      </w:pPr>
    </w:lvl>
  </w:abstractNum>
  <w:abstractNum w:abstractNumId="3" w15:restartNumberingAfterBreak="0">
    <w:nsid w:val="3D385442"/>
    <w:multiLevelType w:val="multilevel"/>
    <w:tmpl w:val="6610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D043B"/>
    <w:multiLevelType w:val="multilevel"/>
    <w:tmpl w:val="E22E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201846">
    <w:abstractNumId w:val="2"/>
  </w:num>
  <w:num w:numId="2" w16cid:durableId="386875269">
    <w:abstractNumId w:val="0"/>
  </w:num>
  <w:num w:numId="3" w16cid:durableId="139657457">
    <w:abstractNumId w:val="1"/>
  </w:num>
  <w:num w:numId="4" w16cid:durableId="1653025695">
    <w:abstractNumId w:val="4"/>
  </w:num>
  <w:num w:numId="5" w16cid:durableId="684211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E18743"/>
    <w:rsid w:val="00333323"/>
    <w:rsid w:val="003D31DE"/>
    <w:rsid w:val="0048666C"/>
    <w:rsid w:val="004B472B"/>
    <w:rsid w:val="006A69E0"/>
    <w:rsid w:val="006E6514"/>
    <w:rsid w:val="00A16C1A"/>
    <w:rsid w:val="00D95535"/>
    <w:rsid w:val="00DF01D2"/>
    <w:rsid w:val="00E4141F"/>
    <w:rsid w:val="0CE6313D"/>
    <w:rsid w:val="176A6FF0"/>
    <w:rsid w:val="1EE32D75"/>
    <w:rsid w:val="21E18743"/>
    <w:rsid w:val="2D462A82"/>
    <w:rsid w:val="5F3F65E7"/>
    <w:rsid w:val="74796BB4"/>
    <w:rsid w:val="7D4B3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43116"/>
  <w15:chartTrackingRefBased/>
  <w15:docId w15:val="{6719C823-B7BE-48EF-9F9E-9061B36B6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1EE32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1EE32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A69E0"/>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EE32D75"/>
    <w:pPr>
      <w:ind w:left="720"/>
      <w:contextualSpacing/>
    </w:pPr>
  </w:style>
  <w:style w:type="character" w:styleId="Hyperlink">
    <w:name w:val="Hyperlink"/>
    <w:basedOn w:val="DefaultParagraphFont"/>
    <w:uiPriority w:val="99"/>
    <w:unhideWhenUsed/>
    <w:rsid w:val="1EE32D75"/>
    <w:rPr>
      <w:color w:val="467886"/>
      <w:u w:val="single"/>
    </w:rPr>
  </w:style>
  <w:style w:type="paragraph" w:styleId="Title">
    <w:name w:val="Title"/>
    <w:basedOn w:val="Normal"/>
    <w:next w:val="Normal"/>
    <w:uiPriority w:val="10"/>
    <w:qFormat/>
    <w:rsid w:val="1EE32D75"/>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1EE32D75"/>
    <w:rPr>
      <w:rFonts w:eastAsiaTheme="majorEastAsia" w:cstheme="majorBidi"/>
      <w:color w:val="595959" w:themeColor="text1" w:themeTint="A6"/>
      <w:sz w:val="28"/>
      <w:szCs w:val="28"/>
    </w:rPr>
  </w:style>
  <w:style w:type="character" w:customStyle="1" w:styleId="Heading5Char">
    <w:name w:val="Heading 5 Char"/>
    <w:basedOn w:val="DefaultParagraphFont"/>
    <w:link w:val="Heading5"/>
    <w:uiPriority w:val="9"/>
    <w:rsid w:val="006A69E0"/>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arro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653</Words>
  <Characters>3723</Characters>
  <Application>Microsoft Office Word</Application>
  <DocSecurity>0</DocSecurity>
  <Lines>31</Lines>
  <Paragraphs>8</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Amaiam Haque</dc:creator>
  <cp:keywords/>
  <dc:description/>
  <cp:lastModifiedBy>Amaiam Haque</cp:lastModifiedBy>
  <cp:revision>9</cp:revision>
  <dcterms:created xsi:type="dcterms:W3CDTF">2026-04-21T01:26:00Z</dcterms:created>
  <dcterms:modified xsi:type="dcterms:W3CDTF">2026-04-21T01:40:00Z</dcterms:modified>
</cp:coreProperties>
</file>