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Board Update -- Q2 2026</w:t>
      </w:r>
    </w:p>
    <w:p>
      <w:r>
        <w:t>Prepared by: Alicia Grant, Chief Operating Officer, Fernbrook Analytics</w:t>
      </w:r>
    </w:p>
    <w:p>
      <w:r>
        <w:t>Date: 2026-07-01</w:t>
      </w:r>
    </w:p>
    <w:p>
      <w:pPr>
        <w:pStyle w:val="Heading2"/>
      </w:pPr>
      <w:r>
        <w:t>Highlights</w:t>
      </w:r>
    </w:p>
    <w:p>
      <w:r>
        <w:t>Fernbrook Analytics closed Q2 2026 with 18% quarter-over-quarter revenue growth, driven primarily by the new enterprise tier launched in April. The company also opened a new office in Austin, Texas, led by regional director Ben Osei.</w:t>
      </w:r>
    </w:p>
    <w:p>
      <w:pPr>
        <w:pStyle w:val="Heading2"/>
      </w:pPr>
      <w:r>
        <w:t>Key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$4.2M</w:t>
            </w:r>
          </w:p>
        </w:tc>
      </w:tr>
      <w:tr>
        <w:tc>
          <w:tcPr>
            <w:tcW w:type="dxa" w:w="4320"/>
          </w:tcPr>
          <w:p>
            <w:r>
              <w:t>New enterprise customers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Churn rate</w:t>
            </w:r>
          </w:p>
        </w:tc>
        <w:tc>
          <w:tcPr>
            <w:tcW w:type="dxa" w:w="4320"/>
          </w:tcPr>
          <w:p>
            <w:r>
              <w:t>2.1%</w:t>
            </w:r>
          </w:p>
        </w:tc>
      </w:tr>
    </w:tbl>
    <w:p>
      <w:pPr>
        <w:pStyle w:val="Heading2"/>
      </w:pPr>
      <w:r>
        <w:t>Action Items</w:t>
      </w:r>
    </w:p>
    <w:p>
      <w:r>
        <w:t>Ben Osei will finalize the Austin office lease by 2026-07-15.</w:t>
      </w:r>
    </w:p>
    <w:p>
      <w:r>
        <w:t>CFO Daniel Reyes will present the updated FY2026 forecast to the board by 2026-07-20.</w:t>
      </w:r>
    </w:p>
    <w:p>
      <w:r>
        <w:t>Alicia Grant will schedule the Q3 planning offsite for the week of 2026-08-10.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