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bCs w:val="1"/>
        </w:rPr>
      </w:pPr>
      <w:bookmarkStart w:colFirst="0" w:colLast="0" w:name="_ea47l03q23w1" w:id="1"/>
      <w:bookmarkEnd w:id="1"/>
      <w:r w:rsidDel="00000000" w:rsidR="00000000" w:rsidRPr="00000000">
        <w:rPr>
          <w:b w:val="1"/>
          <w:bCs w:val="1"/>
          <w:rtl w:val="0"/>
        </w:rPr>
        <w:t xml:space="preserve">Operational environment</w:t>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b w:val="1"/>
                <w:bCs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4</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9</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i w:val="1"/>
                <w:iCs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B">
            <w:pPr>
              <w:ind w:left="0" w:right="-90" w:firstLine="0"/>
              <w:rPr>
                <w:i w:val="1"/>
                <w:iCs w:val="1"/>
              </w:rPr>
            </w:pPr>
            <w:r w:rsidDel="00000000" w:rsidR="00000000" w:rsidRPr="00000000">
              <w:rPr>
                <w:i w:val="1"/>
                <w:iCs w:val="1"/>
                <w:rtl w:val="0"/>
              </w:rPr>
              <w:t xml:space="preserve"> The bank's operating environment introduces multiple risk vectors. With 120 employees across on-premise and remote locations and 2,200 customer accounts, the volume of people handling sensitive data increases the likelihood of human error and targeted attacks such as business email compromise and database exposure. The coastal location reduces physical theft risk but does not mitigate digital threats; however,  poorly encrypted databases and publicly accessible backup servers remain critical vulnerabilities regardless of geography. Natural disaster risk is relevant given the coastal setting but remains the lowest priority relative to the severity of data-related threats.</w:t>
            </w:r>
          </w:p>
        </w:tc>
      </w:tr>
    </w:tbl>
    <w:p w:rsidR="00000000" w:rsidDel="00000000" w:rsidP="00000000" w:rsidRDefault="00000000" w:rsidRPr="00000000" w14:paraId="00000030">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ind w:left="-360" w:right="-360" w:firstLine="0"/>
        <w:jc w:val="center"/>
        <w:rPr/>
      </w:pPr>
      <w:bookmarkStart w:colFirst="0" w:colLast="0" w:name="_yqdx7a4gpstd" w:id="2"/>
      <w:bookmarkEnd w:id="2"/>
      <w:r w:rsidDel="00000000" w:rsidR="00000000" w:rsidRPr="00000000">
        <w:rPr>
          <w:rtl w:val="0"/>
        </w:rPr>
        <w:t xml:space="preserve">R</w:t>
      </w:r>
      <w:r w:rsidDel="00000000" w:rsidR="00000000" w:rsidRPr="00000000">
        <w:rPr>
          <w:rFonts w:ascii="Google Sans" w:cs="Google Sans" w:eastAsia="Google Sans" w:hAnsi="Google Sans"/>
          <w:rtl w:val="0"/>
        </w:rPr>
        <w:t xml:space="preserve">isk matrix</w:t>
      </w:r>
      <w:r w:rsidDel="00000000" w:rsidR="00000000" w:rsidRPr="00000000">
        <w:rPr>
          <w:rtl w:val="0"/>
        </w:rPr>
      </w:r>
    </w:p>
    <w:p w:rsidR="00000000" w:rsidDel="00000000" w:rsidP="00000000" w:rsidRDefault="00000000" w:rsidRPr="00000000" w14:paraId="00000032">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4C">
      <w:pPr>
        <w:ind w:left="-360" w:right="-360" w:firstLine="0"/>
        <w:jc w:val="center"/>
        <w:rPr>
          <w:rFonts w:ascii="Google Sans" w:cs="Google Sans" w:eastAsia="Google Sans" w:hAnsi="Google Sans"/>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