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bCs w:val="1"/>
          <w:color w:val="4a86e8"/>
          <w:sz w:val="60"/>
          <w:szCs w:val="60"/>
        </w:rPr>
      </w:pPr>
      <w:bookmarkStart w:colFirst="0" w:colLast="0" w:name="_5x0d5h95i329" w:id="0"/>
      <w:bookmarkEnd w:id="0"/>
      <w:r w:rsidDel="00000000" w:rsidR="00000000" w:rsidRPr="00000000">
        <w:rPr>
          <w:b w:val="1"/>
          <w:bCs w:val="1"/>
          <w:color w:val="4a86e8"/>
          <w:sz w:val="60"/>
          <w:szCs w:val="60"/>
          <w:rtl w:val="0"/>
        </w:rPr>
        <w:t xml:space="preserve">Vulnerability Assessment Report</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af80tl7prv5v" w:id="1"/>
      <w:bookmarkEnd w:id="1"/>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20XX</w:t>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b w:val="1"/>
          <w:bCs w:val="1"/>
          <w:sz w:val="28"/>
          <w:szCs w:val="28"/>
        </w:rPr>
      </w:pPr>
      <w:bookmarkStart w:colFirst="0" w:colLast="0" w:name="_nhcy8rpxthcf" w:id="2"/>
      <w:bookmarkEnd w:id="2"/>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uc6q0k08dmn" w:id="3"/>
      <w:bookmarkEnd w:id="3"/>
      <w:r w:rsidDel="00000000" w:rsidR="00000000" w:rsidRPr="00000000">
        <w:rPr>
          <w:rtl w:val="0"/>
        </w:rPr>
        <w:t xml:space="preserve">System Description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server hardware consists of a powerful CPU processor and 128GB of memory. It runs on the latest version of Linux operating system and hosts a MySQL database management system. It is configured with a stable network connection using IPv4 addresses and interacts with other servers on the network. Security measures include SSL/TLS encrypted connections.</w:t>
      </w:r>
    </w:p>
    <w:p w:rsidR="00000000" w:rsidDel="00000000" w:rsidP="00000000" w:rsidRDefault="00000000" w:rsidRPr="00000000" w14:paraId="00000006">
      <w:pPr>
        <w:pStyle w:val="Heading1"/>
        <w:rPr/>
      </w:pPr>
      <w:bookmarkStart w:colFirst="0" w:colLast="0" w:name="_u0z0ia4c7s7z" w:id="4"/>
      <w:bookmarkEnd w:id="4"/>
      <w:r w:rsidDel="00000000" w:rsidR="00000000" w:rsidRPr="00000000">
        <w:rPr>
          <w:rtl w:val="0"/>
        </w:rPr>
        <w:t xml:space="preserve">Scope</w:t>
      </w:r>
    </w:p>
    <w:p w:rsidR="00000000" w:rsidDel="00000000" w:rsidP="00000000" w:rsidRDefault="00000000" w:rsidRPr="00000000" w14:paraId="00000007">
      <w:pPr>
        <w:rPr/>
      </w:pPr>
      <w:r w:rsidDel="00000000" w:rsidR="00000000" w:rsidRPr="00000000">
        <w:rPr>
          <w:rtl w:val="0"/>
        </w:rPr>
        <w:t xml:space="preserve">The scope of this vulnerability assessment relates to the current access controls of the system. The assessment will cover a period of three months, from June 20XX to August 20XX. </w:t>
      </w:r>
      <w:hyperlink r:id="rId6">
        <w:r w:rsidDel="00000000" w:rsidR="00000000" w:rsidRPr="00000000">
          <w:rPr>
            <w:color w:val="1155cc"/>
            <w:u w:val="single"/>
            <w:rtl w:val="0"/>
          </w:rPr>
          <w:t xml:space="preserve">NIST SP 800-30 Rev. 1</w:t>
        </w:r>
      </w:hyperlink>
      <w:r w:rsidDel="00000000" w:rsidR="00000000" w:rsidRPr="00000000">
        <w:rPr>
          <w:rtl w:val="0"/>
        </w:rPr>
        <w:t xml:space="preserve"> is used to guide the risk analysis of the information system.</w:t>
      </w:r>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oymnw3nlvwib" w:id="5"/>
      <w:bookmarkEnd w:id="5"/>
      <w:r w:rsidDel="00000000" w:rsidR="00000000" w:rsidRPr="00000000">
        <w:rPr>
          <w:rtl w:val="0"/>
        </w:rPr>
        <w:t xml:space="preserve">Purpose</w:t>
      </w:r>
    </w:p>
    <w:p w:rsidR="00000000" w:rsidDel="00000000" w:rsidP="00000000" w:rsidRDefault="00000000" w:rsidRPr="00000000" w14:paraId="00000009">
      <w:pPr>
        <w:rPr/>
      </w:pPr>
      <w:r w:rsidDel="00000000" w:rsidR="00000000" w:rsidRPr="00000000">
        <w:rPr>
          <w:rtl w:val="0"/>
        </w:rPr>
        <w:t xml:space="preserve">The database server is the central repository for customer data, marketing campaign records, and business analytics that drive the company's e-commerce operations. It has been publicly accessible since the company's launch three years ago, exposing sensitive customer and commercial data to unrestricted access from any location on the internet. Given that employees across multiple remote locations regularly query this server for customer acquisition purposes, securing access is critical to maintaining data integrity, regulatory compliance, and customer trust. A breach or disruption to this server would directly impact the company's ability to operate and serve its customer base.</w:t>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t1sglpndqms" w:id="6"/>
      <w:bookmarkEnd w:id="6"/>
      <w:r w:rsidDel="00000000" w:rsidR="00000000" w:rsidRPr="00000000">
        <w:rPr>
          <w:rtl w:val="0"/>
        </w:rPr>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ce7e3z76xa2m" w:id="7"/>
      <w:bookmarkEnd w:id="7"/>
      <w:r w:rsidDel="00000000" w:rsidR="00000000" w:rsidRPr="00000000">
        <w:rPr>
          <w:rtl w:val="0"/>
        </w:rPr>
      </w:r>
    </w:p>
    <w:p w:rsidR="00000000" w:rsidDel="00000000" w:rsidP="00000000" w:rsidRDefault="00000000" w:rsidRPr="00000000" w14:paraId="0000000C">
      <w:pPr>
        <w:pStyle w:val="Heading1"/>
        <w:pageBreakBefore w:val="0"/>
        <w:pBdr>
          <w:top w:space="0" w:sz="0" w:val="nil"/>
          <w:left w:space="0" w:sz="0" w:val="nil"/>
          <w:bottom w:space="0" w:sz="0" w:val="nil"/>
          <w:right w:space="0" w:sz="0" w:val="nil"/>
          <w:between w:space="0" w:sz="0" w:val="nil"/>
        </w:pBdr>
        <w:shd w:fill="auto" w:val="clear"/>
        <w:rPr/>
      </w:pPr>
      <w:bookmarkStart w:colFirst="0" w:colLast="0" w:name="_nq9itc7vqmk6" w:id="8"/>
      <w:bookmarkEnd w:id="8"/>
      <w:r w:rsidDel="00000000" w:rsidR="00000000" w:rsidRPr="00000000">
        <w:rPr>
          <w:rtl w:val="0"/>
        </w:rPr>
      </w:r>
    </w:p>
    <w:p w:rsidR="00000000" w:rsidDel="00000000" w:rsidP="00000000" w:rsidRDefault="00000000" w:rsidRPr="00000000" w14:paraId="0000000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i2ip4lwifo50" w:id="9"/>
      <w:bookmarkEnd w:id="9"/>
      <w:r w:rsidDel="00000000" w:rsidR="00000000" w:rsidRPr="00000000">
        <w:rPr>
          <w:rtl w:val="0"/>
        </w:rPr>
        <w:t xml:space="preserve">Risk Assessment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3615"/>
        <w:gridCol w:w="1395"/>
        <w:gridCol w:w="1320"/>
        <w:gridCol w:w="1110"/>
        <w:tblGridChange w:id="0">
          <w:tblGrid>
            <w:gridCol w:w="1860"/>
            <w:gridCol w:w="3615"/>
            <w:gridCol w:w="1395"/>
            <w:gridCol w:w="1320"/>
            <w:gridCol w:w="111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source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Threat event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Likelihood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Severity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Hacker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Obtain sensitive information via exfiltration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Employee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Disrupt mission-critical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Alter/Delete critical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3</w:t>
            </w:r>
          </w:p>
        </w:tc>
      </w:tr>
    </w:tbl>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Style w:val="Heading1"/>
        <w:rPr/>
      </w:pPr>
      <w:bookmarkStart w:colFirst="0" w:colLast="0" w:name="_a9ivkvfuz16w" w:id="10"/>
      <w:bookmarkEnd w:id="10"/>
      <w:r w:rsidDel="00000000" w:rsidR="00000000" w:rsidRPr="00000000">
        <w:rPr>
          <w:rtl w:val="0"/>
        </w:rPr>
        <w:t xml:space="preserve">Approach</w:t>
      </w:r>
    </w:p>
    <w:p w:rsidR="00000000" w:rsidDel="00000000" w:rsidP="00000000" w:rsidRDefault="00000000" w:rsidRPr="00000000" w14:paraId="00000025">
      <w:pPr>
        <w:rPr/>
      </w:pPr>
      <w:r w:rsidDel="00000000" w:rsidR="00000000" w:rsidRPr="00000000">
        <w:rPr>
          <w:rtl w:val="0"/>
        </w:rPr>
        <w:t xml:space="preserve">The three threat sources were selected based on the specific vulnerabilities introduced by three years of unrestricted public database access combined with a fully remote workforce. A malicious external threat actor(hacker) represents the highest likelihood threat given that the server's public exposure makes it discoverable and directly accessible without authentication. Employee threats were prioritised because remote workers accessing the server from diverse global locations significantly increases the risk of credential compromise or accidental disruption of critical operations. Customer-initiated threats were included at lower likelihood because while public access theoretically permits any user to interact with the database, targeted data manipulation requires specific intent and technical capability beyond casual access.</w:t>
      </w:r>
    </w:p>
    <w:p w:rsidR="00000000" w:rsidDel="00000000" w:rsidP="00000000" w:rsidRDefault="00000000" w:rsidRPr="00000000" w14:paraId="00000026">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f6vykh0xvv7" w:id="11"/>
      <w:bookmarkEnd w:id="11"/>
      <w:r w:rsidDel="00000000" w:rsidR="00000000" w:rsidRPr="00000000">
        <w:rPr>
          <w:rtl w:val="0"/>
        </w:rPr>
        <w:t xml:space="preserve">Remediation Strategy</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authorisation, and accounting controls must be implemented immediately to restrict database access to verified and authorised users only. This includes enforcing strong password requirements, role-based access controls scoped to job function, and multi-factor authentication on all accounts with database access. SSL connections should be upgraded to TLS to ensure data in motion is protected against interception. IP allowlisting should be configured to restrict connections to corporate office addresses and approved remote worker endpoints thereby eliminating unrestricted public internet access entirely. The principle of least privilege should be applied across all employee accounts to ensure no user holds broader database permissions than their role requires.</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ocs.google.com/document/d/1pRpdpQMEWskxSkwqEMv8W7A7x8GXQlcn0hEcDzWet3Y/template/preview?resourcekey=0-3GRRWAd8HryVgof-Jc33yA" TargetMode="Externa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