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Access controls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810"/>
        <w:gridCol w:w="3375"/>
        <w:gridCol w:w="3480"/>
        <w:tblGridChange w:id="0">
          <w:tblGrid>
            <w:gridCol w:w="2295"/>
            <w:gridCol w:w="3810"/>
            <w:gridCol w:w="3375"/>
            <w:gridCol w:w="3480"/>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1"/>
            <w:bookmarkEnd w:id="1"/>
            <w:r w:rsidDel="00000000" w:rsidR="00000000" w:rsidRPr="00000000">
              <w:rPr>
                <w:rFonts w:ascii="Google Sans" w:cs="Google Sans" w:eastAsia="Google Sans" w:hAnsi="Google Sans"/>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3"/>
              <w:widowControl w:val="0"/>
              <w:spacing w:line="240" w:lineRule="auto"/>
              <w:rPr>
                <w:rFonts w:ascii="Google Sans" w:cs="Google Sans" w:eastAsia="Google Sans" w:hAnsi="Google Sans"/>
                <w:b w:val="1"/>
                <w:bCs w:val="1"/>
              </w:rPr>
            </w:pPr>
            <w:bookmarkStart w:colFirst="0" w:colLast="0" w:name="_p472q8avw9cl" w:id="2"/>
            <w:bookmarkEnd w:id="2"/>
            <w:r w:rsidDel="00000000" w:rsidR="00000000" w:rsidRPr="00000000">
              <w:rPr>
                <w:rFonts w:ascii="Google Sans" w:cs="Google Sans" w:eastAsia="Google Sans" w:hAnsi="Google Sans"/>
                <w:b w:val="1"/>
                <w:bCs w:val="1"/>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3"/>
              <w:widowControl w:val="0"/>
              <w:spacing w:line="240" w:lineRule="auto"/>
              <w:rPr>
                <w:rFonts w:ascii="Google Sans" w:cs="Google Sans" w:eastAsia="Google Sans" w:hAnsi="Google Sans"/>
                <w:b w:val="1"/>
                <w:bCs w:val="1"/>
              </w:rPr>
            </w:pPr>
            <w:bookmarkStart w:colFirst="0" w:colLast="0" w:name="_20luanqy86lg" w:id="3"/>
            <w:bookmarkEnd w:id="3"/>
            <w:r w:rsidDel="00000000" w:rsidR="00000000" w:rsidRPr="00000000">
              <w:rPr>
                <w:rFonts w:ascii="Google Sans" w:cs="Google Sans" w:eastAsia="Google Sans" w:hAnsi="Google Sans"/>
                <w:b w:val="1"/>
                <w:bCs w:val="1"/>
                <w:rtl w:val="0"/>
              </w:rPr>
              <w:t xml:space="preserve">Recommendation(s)</w:t>
            </w:r>
          </w:p>
        </w:tc>
      </w:tr>
      <w:tr>
        <w:trPr>
          <w:cantSplit w:val="0"/>
          <w:trHeight w:val="3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Authorization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event took place on 10/03/2023 at 8:29:57 AM — early morning access from an external public IP address outside normal working patterns</w:t>
            </w:r>
          </w:p>
          <w:p w:rsidR="00000000" w:rsidDel="00000000" w:rsidP="00000000" w:rsidRDefault="00000000" w:rsidRPr="00000000" w14:paraId="0000000B">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user is </w:t>
            </w:r>
            <w:r w:rsidDel="00000000" w:rsidR="00000000" w:rsidRPr="00000000">
              <w:rPr>
                <w:rFonts w:ascii="Roboto Mono" w:cs="Roboto Mono" w:eastAsia="Roboto Mono" w:hAnsi="Roboto Mono"/>
                <w:i w:val="1"/>
                <w:iCs w:val="1"/>
                <w:color w:val="188038"/>
                <w:rtl w:val="0"/>
              </w:rPr>
              <w:t xml:space="preserve">Legal\Administrator</w:t>
            </w:r>
            <w:r w:rsidDel="00000000" w:rsidR="00000000" w:rsidRPr="00000000">
              <w:rPr>
                <w:rFonts w:ascii="Google Sans" w:cs="Google Sans" w:eastAsia="Google Sans" w:hAnsi="Google Sans"/>
                <w:i w:val="1"/>
                <w:iCs w:val="1"/>
                <w:rtl w:val="0"/>
              </w:rPr>
              <w:t xml:space="preserve"> — cross-referenced to Robert Taylor Jr, a contractor whose contract ended on 12/27/2019</w:t>
            </w:r>
          </w:p>
          <w:p w:rsidR="00000000" w:rsidDel="00000000" w:rsidP="00000000" w:rsidRDefault="00000000" w:rsidRPr="00000000" w14:paraId="0000000C">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IP address 152.207.255.255 is a public external IP and not an internal company address which indicates access from outside the organisation's network</w:t>
            </w:r>
          </w:p>
          <w:p w:rsidR="00000000" w:rsidDel="00000000" w:rsidP="00000000" w:rsidRDefault="00000000" w:rsidRPr="00000000" w14:paraId="0000000D">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computer hostname </w:t>
            </w:r>
            <w:r w:rsidDel="00000000" w:rsidR="00000000" w:rsidRPr="00000000">
              <w:rPr>
                <w:rFonts w:ascii="Roboto Mono" w:cs="Roboto Mono" w:eastAsia="Roboto Mono" w:hAnsi="Roboto Mono"/>
                <w:i w:val="1"/>
                <w:iCs w:val="1"/>
                <w:color w:val="188038"/>
                <w:rtl w:val="0"/>
              </w:rPr>
              <w:t xml:space="preserve">Up2-NoGud</w:t>
            </w:r>
            <w:r w:rsidDel="00000000" w:rsidR="00000000" w:rsidRPr="00000000">
              <w:rPr>
                <w:rFonts w:ascii="Google Sans" w:cs="Google Sans" w:eastAsia="Google Sans" w:hAnsi="Google Sans"/>
                <w:i w:val="1"/>
                <w:iCs w:val="1"/>
                <w:rtl w:val="0"/>
              </w:rPr>
              <w:t xml:space="preserve"> does not match any recognisable company device thereby confirming the access came from a personal or external machine</w:t>
            </w:r>
          </w:p>
          <w:p w:rsidR="00000000" w:rsidDel="00000000" w:rsidP="00000000" w:rsidRDefault="00000000" w:rsidRPr="00000000" w14:paraId="0000000E">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payroll event description references </w:t>
            </w:r>
            <w:r w:rsidDel="00000000" w:rsidR="00000000" w:rsidRPr="00000000">
              <w:rPr>
                <w:rFonts w:ascii="Roboto Mono" w:cs="Roboto Mono" w:eastAsia="Roboto Mono" w:hAnsi="Roboto Mono"/>
                <w:i w:val="1"/>
                <w:iCs w:val="1"/>
                <w:color w:val="188038"/>
                <w:rtl w:val="0"/>
              </w:rPr>
              <w:t xml:space="preserve">FAUX_BANK</w:t>
            </w:r>
            <w:r w:rsidDel="00000000" w:rsidR="00000000" w:rsidRPr="00000000">
              <w:rPr>
                <w:rFonts w:ascii="Google Sans" w:cs="Google Sans" w:eastAsia="Google Sans" w:hAnsi="Google Sans"/>
                <w:i w:val="1"/>
                <w:iCs w:val="1"/>
                <w:rtl w:val="0"/>
              </w:rPr>
              <w:t xml:space="preserve">  an unrecognised external bank account not associated with legitimate business operations</w:t>
            </w:r>
          </w:p>
          <w:p w:rsidR="00000000" w:rsidDel="00000000" w:rsidP="00000000" w:rsidRDefault="00000000" w:rsidRPr="00000000" w14:paraId="0000000F">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Two additional accounts with expired contracts remain active — Joanne Phelps and Lei Chu that indicates a systemic failure to deprovision accounts upon contract 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Robert Taylor Jr's contractor account remained active four years after his contract ended on 12/27/2019 and giving him persistent administrator access to payroll systems with no legitimate business justification</w:t>
            </w:r>
          </w:p>
          <w:p w:rsidR="00000000" w:rsidDel="00000000" w:rsidP="00000000" w:rsidRDefault="00000000" w:rsidRPr="00000000" w14:paraId="00000011">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Every employee in the directory holds Admin authorisation regardless of role as the owner. This is a complete absence of role-based access control and represents a systemic least privilege failure across the entire organisation</w:t>
            </w:r>
          </w:p>
          <w:p w:rsidR="00000000" w:rsidDel="00000000" w:rsidP="00000000" w:rsidRDefault="00000000" w:rsidRPr="00000000" w14:paraId="00000012">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Multiple accounts belonging to employees and contractors with expired end dates remain active — Joanne Phelps ended 1/31/2020, Lei Chu ended 1/31/2020, Robert Taylor Jr ended 12/27/2019. No account deprovisioning process exists</w:t>
            </w:r>
          </w:p>
          <w:p w:rsidR="00000000" w:rsidDel="00000000" w:rsidP="00000000" w:rsidRDefault="00000000" w:rsidRPr="00000000" w14:paraId="00000013">
            <w:pPr>
              <w:widowControl w:val="0"/>
              <w:numPr>
                <w:ilvl w:val="0"/>
                <w:numId w:val="3"/>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Amanda Pearson is listed as a contractor with no end date. Contractor accounts must always have defined expiry dates to ensure timely deprovisioning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Implement automatic account expiry. All accounts should be configured to deactivate automatically upon contract or employment end date. Contractor accounts specifically should never remain active beyond their defined end date</w:t>
            </w:r>
          </w:p>
          <w:p w:rsidR="00000000" w:rsidDel="00000000" w:rsidP="00000000" w:rsidRDefault="00000000" w:rsidRPr="00000000" w14:paraId="00000015">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Enforce role-based access control immediately. Admin authorisation should be revoked from all employees who do not require it for their specific role. Access should be scoped to job function only</w:t>
            </w:r>
          </w:p>
          <w:p w:rsidR="00000000" w:rsidDel="00000000" w:rsidP="00000000" w:rsidRDefault="00000000" w:rsidRPr="00000000" w14:paraId="00000016">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Enable Multi-Factor Authentication on all accounts, particularly administrator accounts and any account with access to financial or payroll systems. External IP access to privileged accounts with no MFA is an unacceptable risk</w:t>
            </w:r>
          </w:p>
          <w:p w:rsidR="00000000" w:rsidDel="00000000" w:rsidP="00000000" w:rsidRDefault="00000000" w:rsidRPr="00000000" w14:paraId="00000017">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Conduct an immediate access audit and review all active accounts against current employment status. Joanne Phelps, Lei Chu, and Robert Taylor Jr all require immediate deprovisioning. Amanda Pearson's account requires an end date to be defined</w:t>
            </w:r>
          </w:p>
          <w:p w:rsidR="00000000" w:rsidDel="00000000" w:rsidP="00000000" w:rsidRDefault="00000000" w:rsidRPr="00000000" w14:paraId="00000018">
            <w:pPr>
              <w:widowControl w:val="0"/>
              <w:numPr>
                <w:ilvl w:val="0"/>
                <w:numId w:val="1"/>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Establish a contractor access policy — all contractor accounts must have a defined end date, limited access scoped to their specific function, and automatic deactivation upon contract completion. </w:t>
            </w:r>
          </w:p>
        </w:tc>
      </w:tr>
    </w:tbl>
    <w:p w:rsidR="00000000" w:rsidDel="00000000" w:rsidP="00000000" w:rsidRDefault="00000000" w:rsidRPr="00000000" w14:paraId="00000019">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