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Strongroom Operations Guide</w:t>
      </w:r>
    </w:p>
    <w:p>
      <w:pPr>
        <w:spacing w:after="220"/>
      </w:pPr>
      <w:r>
        <w:rPr>
          <w:rFonts w:ascii="Aptos" w:hAnsi="Aptos"/>
          <w:color w:val="547074"/>
          <w:sz w:val="24"/>
        </w:rPr>
        <w:t>Local setup, data backups, key recovery, and deployment limits</w:t>
      </w:r>
    </w:p>
    <w:p>
      <w:r>
        <w:t>This guide explains how to run the Medical Strongroom demo on Windows and protect its local data. The app is an educational project, not a production healthcare system. Use synthetic patient records only.</w:t>
      </w:r>
    </w:p>
    <w:p>
      <w:pPr>
        <w:pStyle w:val="Heading1"/>
      </w:pPr>
      <w:r>
        <w:t>What the app does</w:t>
      </w:r>
    </w:p>
    <w:p>
      <w:r>
        <w:t>Medical Strongroom is a Flask web app backed by SQLite. Staff sign in with a bcrypt-checked password and an encrypted USB key file. Clinicians see patients assigned to them and create structured clinical notes. Front-desk staff maintain patient demographics. Patient assignments are made by a designated assignment doctor. Administrators manage staff and review audit metadata, but cannot view patient records or decrypt clinical notes.</w:t>
      </w:r>
    </w:p>
    <w:tbl>
      <w:tblPr>
        <w:tblStyle w:val="LightShading-Accent1"/>
        <w:tblW w:type="auto" w:w="0"/>
        <w:tblLayout w:type="fixed"/>
        <w:tblLook w:firstColumn="1" w:firstRow="1" w:lastColumn="0" w:lastRow="0" w:noHBand="0" w:noVBand="1" w:val="04A0"/>
      </w:tblPr>
      <w:tblGrid>
        <w:gridCol w:w="1901"/>
        <w:gridCol w:w="3672"/>
        <w:gridCol w:w="4392"/>
      </w:tblGrid>
      <w:tr>
        <w:trPr>
          <w:tblHeader w:val="true"/>
        </w:trPr>
        <w:tc>
          <w:tcPr>
            <w:tcW w:type="dxa" w:w="1901"/>
            <w:vAlign w:val="center"/>
            <w:shd w:fill="087E78"/>
          </w:tcPr>
          <w:p>
            <w:r>
              <w:rPr>
                <w:b/>
                <w:color w:val="FFFFFF"/>
                <w:sz w:val="18"/>
              </w:rPr>
              <w:t>Role</w:t>
            </w:r>
          </w:p>
        </w:tc>
        <w:tc>
          <w:tcPr>
            <w:tcW w:type="dxa" w:w="3672"/>
            <w:vAlign w:val="center"/>
            <w:shd w:fill="087E78"/>
          </w:tcPr>
          <w:p>
            <w:r>
              <w:rPr>
                <w:b/>
                <w:color w:val="FFFFFF"/>
                <w:sz w:val="18"/>
              </w:rPr>
              <w:t>Can do</w:t>
            </w:r>
          </w:p>
        </w:tc>
        <w:tc>
          <w:tcPr>
            <w:tcW w:type="dxa" w:w="4392"/>
            <w:vAlign w:val="center"/>
            <w:shd w:fill="087E78"/>
          </w:tcPr>
          <w:p>
            <w:r>
              <w:rPr>
                <w:b/>
                <w:color w:val="FFFFFF"/>
                <w:sz w:val="18"/>
              </w:rPr>
              <w:t>Access boundary</w:t>
            </w:r>
          </w:p>
        </w:tc>
      </w:tr>
      <w:tr>
        <w:tc>
          <w:tcPr>
            <w:tcW w:type="dxa" w:w="1901"/>
            <w:vAlign w:val="center"/>
          </w:tcPr>
          <w:p>
            <w:pPr>
              <w:spacing w:after="40"/>
            </w:pPr>
            <w:r>
              <w:rPr>
                <w:sz w:val="17"/>
              </w:rPr>
              <w:t>Administrator</w:t>
            </w:r>
          </w:p>
        </w:tc>
        <w:tc>
          <w:tcPr>
            <w:tcW w:type="dxa" w:w="3672"/>
            <w:vAlign w:val="center"/>
          </w:tcPr>
          <w:p>
            <w:pPr>
              <w:spacing w:after="40"/>
            </w:pPr>
            <w:r>
              <w:rPr>
                <w:sz w:val="17"/>
              </w:rPr>
              <w:t>Approve requests, manage staff accounts, review audit metadata.</w:t>
            </w:r>
          </w:p>
        </w:tc>
        <w:tc>
          <w:tcPr>
            <w:tcW w:type="dxa" w:w="4392"/>
            <w:vAlign w:val="center"/>
          </w:tcPr>
          <w:p>
            <w:pPr>
              <w:spacing w:after="40"/>
            </w:pPr>
            <w:r>
              <w:rPr>
                <w:sz w:val="17"/>
              </w:rPr>
              <w:t>No patient demographics or clinical-note access.</w:t>
            </w:r>
          </w:p>
        </w:tc>
      </w:tr>
      <w:tr>
        <w:tc>
          <w:tcPr>
            <w:tcW w:type="dxa" w:w="1901"/>
            <w:vAlign w:val="center"/>
          </w:tcPr>
          <w:p>
            <w:pPr>
              <w:spacing w:after="40"/>
            </w:pPr>
            <w:r>
              <w:rPr>
                <w:sz w:val="17"/>
              </w:rPr>
              <w:t>Assignment doctor</w:t>
            </w:r>
          </w:p>
        </w:tc>
        <w:tc>
          <w:tcPr>
            <w:tcW w:type="dxa" w:w="3672"/>
            <w:vAlign w:val="center"/>
          </w:tcPr>
          <w:p>
            <w:pPr>
              <w:spacing w:after="40"/>
            </w:pPr>
            <w:r>
              <w:rPr>
                <w:sz w:val="17"/>
              </w:rPr>
              <w:t>Assign patients to treating clinicians.</w:t>
            </w:r>
          </w:p>
        </w:tc>
        <w:tc>
          <w:tcPr>
            <w:tcW w:type="dxa" w:w="4392"/>
            <w:vAlign w:val="center"/>
          </w:tcPr>
          <w:p>
            <w:pPr>
              <w:spacing w:after="40"/>
            </w:pPr>
            <w:r>
              <w:rPr>
                <w:sz w:val="17"/>
              </w:rPr>
              <w:t>A clinician account; note access still depends on patient assignment.</w:t>
            </w:r>
          </w:p>
        </w:tc>
      </w:tr>
      <w:tr>
        <w:tc>
          <w:tcPr>
            <w:tcW w:type="dxa" w:w="1901"/>
            <w:vAlign w:val="center"/>
          </w:tcPr>
          <w:p>
            <w:pPr>
              <w:spacing w:after="40"/>
            </w:pPr>
            <w:r>
              <w:rPr>
                <w:sz w:val="17"/>
              </w:rPr>
              <w:t>Clinician</w:t>
            </w:r>
          </w:p>
        </w:tc>
        <w:tc>
          <w:tcPr>
            <w:tcW w:type="dxa" w:w="3672"/>
            <w:vAlign w:val="center"/>
          </w:tcPr>
          <w:p>
            <w:pPr>
              <w:spacing w:after="40"/>
            </w:pPr>
            <w:r>
              <w:rPr>
                <w:sz w:val="17"/>
              </w:rPr>
              <w:t>View assigned patients and create, read, and edit their notes.</w:t>
            </w:r>
          </w:p>
        </w:tc>
        <w:tc>
          <w:tcPr>
            <w:tcW w:type="dxa" w:w="4392"/>
            <w:vAlign w:val="center"/>
          </w:tcPr>
          <w:p>
            <w:pPr>
              <w:spacing w:after="40"/>
            </w:pPr>
            <w:r>
              <w:rPr>
                <w:sz w:val="17"/>
              </w:rPr>
              <w:t>Cannot access patients outside their assignments.</w:t>
            </w:r>
          </w:p>
        </w:tc>
      </w:tr>
      <w:tr>
        <w:tc>
          <w:tcPr>
            <w:tcW w:type="dxa" w:w="1901"/>
            <w:vAlign w:val="center"/>
          </w:tcPr>
          <w:p>
            <w:pPr>
              <w:spacing w:after="40"/>
            </w:pPr>
            <w:r>
              <w:rPr>
                <w:sz w:val="17"/>
              </w:rPr>
              <w:t>Front desk</w:t>
            </w:r>
          </w:p>
        </w:tc>
        <w:tc>
          <w:tcPr>
            <w:tcW w:type="dxa" w:w="3672"/>
            <w:vAlign w:val="center"/>
          </w:tcPr>
          <w:p>
            <w:pPr>
              <w:spacing w:after="40"/>
            </w:pPr>
            <w:r>
              <w:rPr>
                <w:sz w:val="17"/>
              </w:rPr>
              <w:t>Create and edit patient demographics for scheduling.</w:t>
            </w:r>
          </w:p>
        </w:tc>
        <w:tc>
          <w:tcPr>
            <w:tcW w:type="dxa" w:w="4392"/>
            <w:vAlign w:val="center"/>
          </w:tcPr>
          <w:p>
            <w:pPr>
              <w:spacing w:after="40"/>
            </w:pPr>
            <w:r>
              <w:rPr>
                <w:sz w:val="17"/>
              </w:rPr>
              <w:t>Cannot open clinical-note routes.</w:t>
            </w:r>
          </w:p>
        </w:tc>
      </w:tr>
    </w:tbl>
    <w:p>
      <w:pPr>
        <w:pStyle w:val="Heading1"/>
      </w:pPr>
      <w:r>
        <w:t>Run the project on Windows</w:t>
      </w:r>
    </w:p>
    <w:p>
      <w:pPr>
        <w:pStyle w:val="Heading2"/>
      </w:pPr>
      <w:r>
        <w:t>1. Create the virtual environment</w:t>
      </w:r>
    </w:p>
    <w:p>
      <w:r>
        <w:t>Open the project folder in VS Code and choose Terminal, then New Terminal. Run commands from the folder containing app.py. These commands use Python 3.12 and create a clean .venv:</w:t>
      </w:r>
    </w:p>
    <w:p>
      <w:pPr>
        <w:keepLines/>
        <w:spacing w:before="0" w:after="20"/>
        <w:ind w:left="173" w:right="115"/>
        <w:shd w:fill="F0F6F5"/>
      </w:pPr>
      <w:r>
        <w:rPr>
          <w:rFonts w:ascii="Cascadia Mono" w:hAnsi="Cascadia Mono"/>
          <w:color w:val="224B4F"/>
          <w:sz w:val="16"/>
        </w:rPr>
        <w:t>py -3.12 -m venv .venv</w:t>
      </w:r>
    </w:p>
    <w:p>
      <w:pPr>
        <w:keepLines/>
        <w:spacing w:before="0" w:after="20"/>
        <w:ind w:left="173" w:right="115"/>
        <w:shd w:fill="F0F6F5"/>
      </w:pPr>
      <w:r>
        <w:rPr>
          <w:rFonts w:ascii="Cascadia Mono" w:hAnsi="Cascadia Mono"/>
          <w:color w:val="224B4F"/>
          <w:sz w:val="16"/>
        </w:rPr>
        <w:t>.\.venv\Scripts\python.exe -m pip install --upgrade pip</w:t>
      </w:r>
    </w:p>
    <w:p>
      <w:pPr>
        <w:keepLines/>
        <w:spacing w:before="0" w:after="20"/>
        <w:ind w:left="173" w:right="115"/>
        <w:shd w:fill="F0F6F5"/>
      </w:pPr>
      <w:r>
        <w:rPr>
          <w:rFonts w:ascii="Cascadia Mono" w:hAnsi="Cascadia Mono"/>
          <w:color w:val="224B4F"/>
          <w:sz w:val="16"/>
        </w:rPr>
        <w:t>.\.venv\Scripts\python.exe -m pip install -r requirements.txt</w:t>
      </w:r>
    </w:p>
    <w:p>
      <w:pPr>
        <w:pStyle w:val="Heading2"/>
      </w:pPr>
      <w:r>
        <w:t>2. Set the secrets</w:t>
      </w:r>
    </w:p>
    <w:p>
      <w:r>
        <w:t>For a brand-new empty demo database only, generate separate encryption and audit secrets in this PowerShell window. If this database already has notes or audit events, do not generate new values; restore the original values from your password manager.</w:t>
      </w:r>
    </w:p>
    <w:p>
      <w:pPr>
        <w:keepLines/>
        <w:spacing w:before="0" w:after="20"/>
        <w:ind w:left="173" w:right="115"/>
        <w:shd w:fill="F0F6F5"/>
      </w:pPr>
      <w:r>
        <w:rPr>
          <w:rFonts w:ascii="Cascadia Mono" w:hAnsi="Cascadia Mono"/>
          <w:color w:val="224B4F"/>
          <w:sz w:val="16"/>
        </w:rPr>
        <w:t>$rng = [System.Security.Cryptography.RandomNumberGenerator]::Create()</w:t>
      </w:r>
    </w:p>
    <w:p>
      <w:pPr>
        <w:keepLines/>
        <w:spacing w:before="0" w:after="20"/>
        <w:ind w:left="173" w:right="115"/>
        <w:shd w:fill="F0F6F5"/>
      </w:pPr>
      <w:r>
        <w:rPr>
          <w:rFonts w:ascii="Cascadia Mono" w:hAnsi="Cascadia Mono"/>
          <w:color w:val="224B4F"/>
          <w:sz w:val="16"/>
        </w:rPr>
        <w:t>$encryptionBytes = New-Object byte[] 32</w:t>
      </w:r>
    </w:p>
    <w:p>
      <w:pPr>
        <w:keepLines/>
        <w:spacing w:before="0" w:after="20"/>
        <w:ind w:left="173" w:right="115"/>
        <w:shd w:fill="F0F6F5"/>
      </w:pPr>
      <w:r>
        <w:rPr>
          <w:rFonts w:ascii="Cascadia Mono" w:hAnsi="Cascadia Mono"/>
          <w:color w:val="224B4F"/>
          <w:sz w:val="16"/>
        </w:rPr>
        <w:t>$auditBytes = New-Object byte[] 32</w:t>
      </w:r>
    </w:p>
    <w:p>
      <w:pPr>
        <w:keepLines/>
        <w:spacing w:before="0" w:after="20"/>
        <w:ind w:left="173" w:right="115"/>
        <w:shd w:fill="F0F6F5"/>
      </w:pPr>
      <w:r>
        <w:rPr>
          <w:rFonts w:ascii="Cascadia Mono" w:hAnsi="Cascadia Mono"/>
          <w:color w:val="224B4F"/>
          <w:sz w:val="16"/>
        </w:rPr>
        <w:t>$rng.GetBytes($encryptionBytes)</w:t>
      </w:r>
    </w:p>
    <w:p>
      <w:pPr>
        <w:keepLines/>
        <w:spacing w:before="0" w:after="20"/>
        <w:ind w:left="173" w:right="115"/>
        <w:shd w:fill="F0F6F5"/>
      </w:pPr>
      <w:r>
        <w:rPr>
          <w:rFonts w:ascii="Cascadia Mono" w:hAnsi="Cascadia Mono"/>
          <w:color w:val="224B4F"/>
          <w:sz w:val="16"/>
        </w:rPr>
        <w:t>$rng.GetBytes($auditBytes)</w:t>
      </w:r>
    </w:p>
    <w:p>
      <w:pPr>
        <w:keepLines/>
        <w:spacing w:before="0" w:after="20"/>
        <w:ind w:left="173" w:right="115"/>
        <w:shd w:fill="F0F6F5"/>
      </w:pPr>
      <w:r>
        <w:rPr>
          <w:rFonts w:ascii="Cascadia Mono" w:hAnsi="Cascadia Mono"/>
          <w:color w:val="224B4F"/>
          <w:sz w:val="16"/>
        </w:rPr>
        <w:t>$rng.Dispose()</w:t>
      </w:r>
    </w:p>
    <w:p>
      <w:pPr>
        <w:keepLines/>
        <w:spacing w:before="0" w:after="20"/>
        <w:ind w:left="173" w:right="115"/>
        <w:shd w:fill="F0F6F5"/>
      </w:pPr>
      <w:r>
        <w:rPr>
          <w:rFonts w:ascii="Cascadia Mono" w:hAnsi="Cascadia Mono"/>
          <w:color w:val="224B4F"/>
          <w:sz w:val="16"/>
        </w:rPr>
        <w:t>$env:MEDICAL_STRONGROOM_ENCRYPTION_KEY = [Convert]::ToBase64String($encryptionBytes).TrimEnd('=').Replace('+','-').Replace('/','_')</w:t>
      </w:r>
    </w:p>
    <w:p>
      <w:pPr>
        <w:keepLines/>
        <w:spacing w:before="0" w:after="20"/>
        <w:ind w:left="173" w:right="115"/>
        <w:shd w:fill="F0F6F5"/>
      </w:pPr>
      <w:r>
        <w:rPr>
          <w:rFonts w:ascii="Cascadia Mono" w:hAnsi="Cascadia Mono"/>
          <w:color w:val="224B4F"/>
          <w:sz w:val="16"/>
        </w:rPr>
        <w:t>$env:MEDICAL_STRONGROOM_AUDIT_KEY = [Convert]::ToBase64String($auditBytes)</w:t>
      </w:r>
    </w:p>
    <w:p>
      <w:r>
        <w:t>Save both exact values in a password manager. To display them for copying, run:</w:t>
      </w:r>
    </w:p>
    <w:p>
      <w:pPr>
        <w:keepLines/>
        <w:spacing w:before="0" w:after="20"/>
        <w:ind w:left="173" w:right="115"/>
        <w:shd w:fill="F0F6F5"/>
      </w:pPr>
      <w:r>
        <w:rPr>
          <w:rFonts w:ascii="Cascadia Mono" w:hAnsi="Cascadia Mono"/>
          <w:color w:val="224B4F"/>
          <w:sz w:val="16"/>
        </w:rPr>
        <w:t>Write-Output $env:MEDICAL_STRONGROOM_ENCRYPTION_KEY</w:t>
      </w:r>
    </w:p>
    <w:p>
      <w:pPr>
        <w:keepLines/>
        <w:spacing w:before="0" w:after="20"/>
        <w:ind w:left="173" w:right="115"/>
        <w:shd w:fill="F0F6F5"/>
      </w:pPr>
      <w:r>
        <w:rPr>
          <w:rFonts w:ascii="Cascadia Mono" w:hAnsi="Cascadia Mono"/>
          <w:color w:val="224B4F"/>
          <w:sz w:val="16"/>
        </w:rPr>
        <w:t>Write-Output $env:MEDICAL_STRONGROOM_AUDIT_KEY</w:t>
      </w:r>
    </w:p>
    <w:p>
      <w:r>
        <w:t>The environment values apply to this terminal. When you open a new terminal, restore the original values; never replace them on an existing database. Losing the encryption key prevents note decryption. Changing the audit key makes old audit signatures fail verification.</w:t>
      </w:r>
    </w:p>
    <w:p>
      <w:pPr>
        <w:pStyle w:val="Heading2"/>
      </w:pPr>
      <w:r>
        <w:t>3. Create the initial staff accounts</w:t>
      </w:r>
    </w:p>
    <w:p>
      <w:r>
        <w:t>Run the administrator bootstrap once. It asks for the administrator's name, which is also the login username. Running it again renames the existing administrator without changing the password. The other predetermined accounts should be bootstrapped once each.</w:t>
      </w:r>
    </w:p>
    <w:p>
      <w:pPr>
        <w:keepLines/>
        <w:spacing w:before="0" w:after="20"/>
        <w:ind w:left="173" w:right="115"/>
        <w:shd w:fill="F0F6F5"/>
      </w:pPr>
      <w:r>
        <w:rPr>
          <w:rFonts w:ascii="Cascadia Mono" w:hAnsi="Cascadia Mono"/>
          <w:color w:val="224B4F"/>
          <w:sz w:val="16"/>
        </w:rPr>
        <w:t>.\.venv\Scripts\python.exe .\bootstrap_admin.py</w:t>
      </w:r>
    </w:p>
    <w:p>
      <w:pPr>
        <w:keepLines/>
        <w:spacing w:before="0" w:after="20"/>
        <w:ind w:left="173" w:right="115"/>
        <w:shd w:fill="F0F6F5"/>
      </w:pPr>
      <w:r>
        <w:rPr>
          <w:rFonts w:ascii="Cascadia Mono" w:hAnsi="Cascadia Mono"/>
          <w:color w:val="224B4F"/>
          <w:sz w:val="16"/>
        </w:rPr>
        <w:t>.\.venv\Scripts\python.exe .\bootstrap_frontdesk.py</w:t>
      </w:r>
    </w:p>
    <w:p>
      <w:pPr>
        <w:keepLines/>
        <w:spacing w:before="0" w:after="20"/>
        <w:ind w:left="173" w:right="115"/>
        <w:shd w:fill="F0F6F5"/>
      </w:pPr>
      <w:r>
        <w:rPr>
          <w:rFonts w:ascii="Cascadia Mono" w:hAnsi="Cascadia Mono"/>
          <w:color w:val="224B4F"/>
          <w:sz w:val="16"/>
        </w:rPr>
        <w:t>.\.venv\Scripts\python.exe .\bootstrap_assignment_doctor.py</w:t>
      </w:r>
    </w:p>
    <w:p>
      <w:r>
        <w:t>New passwords require at least 10 characters, including a number and a special character. Public staff registrations remain pending until an administrator approves them.</w:t>
      </w:r>
    </w:p>
    <w:p>
      <w:pPr>
        <w:pStyle w:val="Heading2"/>
      </w:pPr>
      <w:r>
        <w:t>4. Start the local server</w:t>
      </w:r>
    </w:p>
    <w:p>
      <w:r>
        <w:t>The local Flask server uses HTTP, so disable the Secure-cookie flag in this terminal only. Debug mode is off by default. Start the app and open the local address:</w:t>
      </w:r>
    </w:p>
    <w:p>
      <w:pPr>
        <w:keepLines/>
        <w:spacing w:before="0" w:after="20"/>
        <w:ind w:left="173" w:right="115"/>
        <w:shd w:fill="F0F6F5"/>
      </w:pPr>
      <w:r>
        <w:rPr>
          <w:rFonts w:ascii="Cascadia Mono" w:hAnsi="Cascadia Mono"/>
          <w:color w:val="224B4F"/>
          <w:sz w:val="16"/>
        </w:rPr>
        <w:t>$env:MEDICAL_STRONGROOM_COOKIE_SECURE = '0'</w:t>
      </w:r>
    </w:p>
    <w:p>
      <w:pPr>
        <w:keepLines/>
        <w:spacing w:before="0" w:after="20"/>
        <w:ind w:left="173" w:right="115"/>
        <w:shd w:fill="F0F6F5"/>
      </w:pPr>
      <w:r>
        <w:rPr>
          <w:rFonts w:ascii="Cascadia Mono" w:hAnsi="Cascadia Mono"/>
          <w:color w:val="224B4F"/>
          <w:sz w:val="16"/>
        </w:rPr>
        <w:t>.\.venv\Scripts\python.exe .\app.py</w:t>
      </w:r>
    </w:p>
    <w:p>
      <w:r>
        <w:t>Visit http://127.0.0.1:5000. Keep the terminal open while using the app and press Ctrl+C to stop it. On a later run, open a terminal, restore the two original secret values, set MEDICAL_STRONGROOM_COOKIE_SECURE to 0, and start app.py. Do not rerun the account bootstraps just to restart the server.</w:t>
      </w:r>
    </w:p>
    <w:p>
      <w:pPr>
        <w:pStyle w:val="Heading1"/>
      </w:pPr>
      <w:r>
        <w:t>Sign-in and key recovery</w:t>
      </w:r>
    </w:p>
    <w:p>
      <w:r>
        <w:t>At first sign-in, the browser creates an ECDSA P-256 key pair. New private-key files use an encrypted format: the browser derives an AES-256-GCM key from your separate key-file passphrase and encrypts the private key before saving it. The server stores only the public key. At later sign-ins, the browser decrypts the key locally and signs a one-time challenge; the server verifies the signature before issuing a session. A regular USB drive stores the file but is not a hardware cryptographic device.</w:t>
      </w:r>
    </w:p>
    <w:p>
      <w:pPr>
        <w:pStyle w:val="ListBullet"/>
      </w:pPr>
      <w:r>
        <w:t>While signed in, register a second key file from Manage security keys. Save a protected copy on a separate USB drive and keep its passphrase separately in a password manager.</w:t>
      </w:r>
    </w:p>
    <w:p>
      <w:pPr>
        <w:pStyle w:val="ListBullet"/>
      </w:pPr>
      <w:r>
        <w:t>Forgot password works only with a registered key file and its passphrase. If every registered key file or passphrase is lost, this version has no administrator key-replacement workflow. An administrator password reset does not bypass the USB-key requirement.</w:t>
      </w:r>
    </w:p>
    <w:p>
      <w:pPr>
        <w:pStyle w:val="ListBullet"/>
      </w:pPr>
      <w:r>
        <w:t>The database and environment secrets are a separate recovery set. Restore the matching database, encryption key, and audit key together.</w:t>
      </w:r>
    </w:p>
    <w:p>
      <w:pPr>
        <w:pStyle w:val="Heading1"/>
      </w:pPr>
      <w:r>
        <w:t>Back up and restore the database</w:t>
      </w:r>
    </w:p>
    <w:p>
      <w:r>
        <w:t>The SQLite database contains account data, patient demographics, assignments, audit events, and encrypted note ciphertext. Patient demographics are not encrypted by this app. Use synthetic records only. Store backups on a BitLocker-protected volume or another encrypted, access-controlled destination, not in the project folder, on an unprotected USB drive, or in Git. Keep both keys backed up separately.</w:t>
      </w:r>
    </w:p>
    <w:p>
      <w:r>
        <w:t>Stop the app and replace E: below with an encrypted drive letter. This SQLite backup API produces a consistent database copy:</w:t>
      </w:r>
    </w:p>
    <w:p>
      <w:pPr>
        <w:keepLines/>
        <w:spacing w:before="0" w:after="20"/>
        <w:ind w:left="173" w:right="115"/>
        <w:shd w:fill="F0F6F5"/>
      </w:pPr>
      <w:r>
        <w:rPr>
          <w:rFonts w:ascii="Cascadia Mono" w:hAnsi="Cascadia Mono"/>
          <w:color w:val="224B4F"/>
          <w:sz w:val="16"/>
        </w:rPr>
        <w:t>$backupDir = 'E:\EncryptedBackups\MedicalStrongroom'</w:t>
      </w:r>
    </w:p>
    <w:p>
      <w:pPr>
        <w:keepLines/>
        <w:spacing w:before="0" w:after="20"/>
        <w:ind w:left="173" w:right="115"/>
        <w:shd w:fill="F0F6F5"/>
      </w:pPr>
      <w:r>
        <w:rPr>
          <w:rFonts w:ascii="Cascadia Mono" w:hAnsi="Cascadia Mono"/>
          <w:color w:val="224B4F"/>
          <w:sz w:val="16"/>
        </w:rPr>
        <w:t>New-Item -ItemType Directory -Force -Path $backupDir | Out-Null</w:t>
      </w:r>
    </w:p>
    <w:p>
      <w:pPr>
        <w:keepLines/>
        <w:spacing w:before="0" w:after="20"/>
        <w:ind w:left="173" w:right="115"/>
        <w:shd w:fill="F0F6F5"/>
      </w:pPr>
      <w:r>
        <w:rPr>
          <w:rFonts w:ascii="Cascadia Mono" w:hAnsi="Cascadia Mono"/>
          <w:color w:val="224B4F"/>
          <w:sz w:val="16"/>
        </w:rPr>
        <w:t>$stamp = Get-Date -Format 'yyyyMMdd-HHmmss'</w:t>
      </w:r>
    </w:p>
    <w:p>
      <w:pPr>
        <w:keepLines/>
        <w:spacing w:before="0" w:after="20"/>
        <w:ind w:left="173" w:right="115"/>
        <w:shd w:fill="F0F6F5"/>
      </w:pPr>
      <w:r>
        <w:rPr>
          <w:rFonts w:ascii="Cascadia Mono" w:hAnsi="Cascadia Mono"/>
          <w:color w:val="224B4F"/>
          <w:sz w:val="16"/>
        </w:rPr>
        <w:t>$backupPath = Join-Path $backupDir "medical_strongroom-$stamp.db"</w:t>
      </w:r>
    </w:p>
    <w:p>
      <w:pPr>
        <w:keepLines/>
        <w:spacing w:before="0" w:after="20"/>
        <w:ind w:left="173" w:right="115"/>
        <w:shd w:fill="F0F6F5"/>
      </w:pPr>
      <w:r>
        <w:rPr>
          <w:rFonts w:ascii="Cascadia Mono" w:hAnsi="Cascadia Mono"/>
          <w:color w:val="224B4F"/>
          <w:sz w:val="16"/>
        </w:rPr>
        <w:t>.\.venv\Scripts\python.exe -c "import sqlite3,sys; src=sqlite3.connect('medical_strongroom.db'); dst=sqlite3.connect(sys.argv[1]); src.backup(dst); dst.close(); src.close()" $backupPath</w:t>
      </w:r>
    </w:p>
    <w:p>
      <w:r>
        <w:t>To restore, stop the app and preserve the current database first. Copy the chosen backup to medical_strongroom.db, then restore the exact encryption and audit key values from when that backup was made before starting the app. Verify a restore using synthetic data before relying on it.</w:t>
      </w:r>
    </w:p>
    <w:p>
      <w:r>
        <w:rPr>
          <w:b/>
        </w:rPr>
        <w:t>Important:</w:t>
      </w:r>
      <w:r>
        <w:t xml:space="preserve"> reset_demo.py creates an unencrypted SQLite backup beside the project database before clearing demo records. Use it only with synthetic data, then move that backup to encrypted, access-controlled storage.</w:t>
      </w:r>
    </w:p>
    <w:p>
      <w:pPr>
        <w:pStyle w:val="Heading1"/>
      </w:pPr>
      <w:r>
        <w:t>Encryption-key rotation</w:t>
      </w:r>
    </w:p>
    <w:p>
      <w:r>
        <w:t>This version does not include an automated key-rotation migration. Do not change MEDICAL_STRONGROOM_ENCRYPTION_KEY or MEDICAL_STRONGROOM_AUDIT_KEY on a database that contains records. A future rotation must be a planned maintenance operation: preserve the database and both old keys, decrypt and re-encrypt every note with the new encryption key, verify all records, and retain protected rollback materials. Audit-key rotation also needs key-version tracking and a controlled verification or re-signing procedure. Neither process is automated by this app.</w:t>
      </w:r>
    </w:p>
    <w:p>
      <w:pPr>
        <w:pStyle w:val="Heading1"/>
      </w:pPr>
      <w:r>
        <w:t>Production deployment limits</w:t>
      </w:r>
    </w:p>
    <w:p>
      <w:r>
        <w:t>This project is not ready for real patient information or internet exposure. It currently uses Flask's development server and does not provide a production WSGI deployment, trusted-host allowlist, managed secret-store integration, database-file encryption, or automated key rotation.</w:t>
      </w:r>
    </w:p>
    <w:p>
      <w:r>
        <w:t>Before any production deployment, use a supported WSGI server behind TLS; configure host validation and trusted proxy handling; keep debug mode off and MEDICAL_STRONGROOM_COOKIE_SECURE=1; supply secrets from a protected secret manager; restrict service and file permissions; encrypt and access-control backups; and test recovery and key rotation. These controls require deployment work and are not supplied by this demo.</w:t>
      </w:r>
    </w:p>
    <w:sectPr w:rsidR="00FC693F" w:rsidRPr="0006063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A3D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087E78"/>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B474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3343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Strongroom Project Guide</dc:title>
  <dc:subject>Project overview and Windows run instructions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