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3864"/>
          <w:sz w:val="40"/>
          <w:szCs w:val="40"/>
        </w:rPr>
        <w:t xml:space="preserve">EduPro Predictive Intelligence Dashboard</w:t>
      </w:r>
    </w:p>
    <w:p>
      <w:pPr>
        <w:spacing w:after="400" w:before="200"/>
        <w:jc w:val="center"/>
      </w:pPr>
      <w:r>
        <w:rPr>
          <w:rFonts w:ascii="Calibri" w:cs="Calibri" w:eastAsia="Calibri" w:hAnsi="Calibri"/>
          <w:i/>
          <w:iCs/>
          <w:color w:val="444444"/>
          <w:sz w:val="26"/>
          <w:szCs w:val="26"/>
        </w:rPr>
        <w:t xml:space="preserve">A Machine Learning Framework for Forecasting Course Enrollment Demand and Revenue on an Online Learning Platform</w:t>
      </w:r>
    </w:p>
    <w:p>
      <w:pPr>
        <w:spacing w:before="600"/>
        <w:jc w:val="center"/>
      </w:pPr>
      <w:r>
        <w:rPr>
          <w:rFonts w:ascii="Calibri" w:cs="Calibri" w:eastAsia="Calibri" w:hAnsi="Calibri"/>
          <w:b/>
          <w:bCs/>
          <w:sz w:val="24"/>
          <w:szCs w:val="24"/>
        </w:rPr>
        <w:t xml:space="preserve">Aman Jat</w:t>
      </w:r>
    </w:p>
    <w:p>
      <w:pPr>
        <w:spacing w:after="800"/>
        <w:jc w:val="center"/>
      </w:pPr>
      <w:r>
        <w:rPr>
          <w:rFonts w:ascii="Calibri" w:cs="Calibri" w:eastAsia="Calibri" w:hAnsi="Calibri"/>
          <w:color w:val="555555"/>
          <w:sz w:val="22"/>
          <w:szCs w:val="22"/>
        </w:rPr>
        <w:t xml:space="preserve">Unified Mentor — Data Analyst Internship</w:t>
      </w:r>
    </w:p>
    <w:p>
      <w:pPr>
        <w:pStyle w:val="Heading2"/>
        <w:spacing w:after="120" w:before="240"/>
      </w:pPr>
      <w:r>
        <w:rPr>
          <w:rFonts w:ascii="Calibri" w:cs="Calibri" w:eastAsia="Calibri" w:hAnsi="Calibri"/>
          <w:b/>
          <w:bCs/>
          <w:color w:val="1F3864"/>
        </w:rPr>
        <w:t xml:space="preserve">Abstract</w:t>
      </w:r>
    </w:p>
    <w:p>
      <w:pPr>
        <w:spacing w:after="160" w:line="276"/>
        <w:jc w:val="both"/>
      </w:pPr>
      <w:r>
        <w:rPr>
          <w:rFonts w:ascii="Calibri" w:cs="Calibri" w:eastAsia="Calibri" w:hAnsi="Calibri"/>
          <w:sz w:val="22"/>
          <w:szCs w:val="22"/>
        </w:rPr>
        <w:t xml:space="preserve">EduPro is a fictionalized online learning platform whose historical operating data — 3,000 users, 60 courses, 60 instructors, and 10,000 transactions spanning January to December 2025 — was used to build a month-ahead forecasting system. Three related prediction problems were addressed: (1) per-course enrollment demand for the following month, (2) per-course revenue for the following month, and (3) aggregated revenue by course category for the following month. A leakage-safe, time-based train/test split was used throughout, with November and December 2025 withheld as an unseen future-month holdout rather than a random sample, so that reported performance reflects genuine forecasting ability rather than in-sample fit. Five regression algorithms — Linear, Ridge, and Lasso Regression, Random Forest, and Gradient Boosting — were trained on an identical, purpose-built feature set for each task and compared on Mean Absolute Error (MAE), Root Mean Squared Error (RMSE), and R². Ridge Regression was the best-performing model for all three tasks. It explained approximately 94% of the variance in course-level revenue and approximately 93% of the variance in category-level revenue, but only about 1% of the variance in raw enrollment counts, indicating that revenue is substantially more predictable than enrollment volume from the available features. The winning pipelines were packaged into a deployable model bundle and surfaced through an interactive Streamlit dashboard that supports demand and revenue forecasting, category-level analysis, and model-performance inspection.</w:t>
      </w:r>
    </w:p>
    <w:p>
      <w:pPr>
        <w:pStyle w:val="Heading1"/>
        <w:spacing w:after="180" w:before="360"/>
      </w:pPr>
      <w:r>
        <w:rPr>
          <w:rFonts w:ascii="Calibri" w:cs="Calibri" w:eastAsia="Calibri" w:hAnsi="Calibri"/>
          <w:b/>
          <w:bCs/>
          <w:color w:val="1F3864"/>
        </w:rPr>
        <w:t xml:space="preserve">1. Introduction</w:t>
      </w:r>
    </w:p>
    <w:p>
      <w:pPr>
        <w:pStyle w:val="Heading2"/>
        <w:spacing w:after="120" w:before="240"/>
      </w:pPr>
      <w:r>
        <w:rPr>
          <w:rFonts w:ascii="Calibri" w:cs="Calibri" w:eastAsia="Calibri" w:hAnsi="Calibri"/>
          <w:b/>
          <w:bCs/>
          <w:color w:val="1F3864"/>
        </w:rPr>
        <w:t xml:space="preserve">1.1 Business Problem</w:t>
      </w:r>
    </w:p>
    <w:p>
      <w:pPr>
        <w:spacing w:after="160" w:line="276"/>
        <w:jc w:val="both"/>
      </w:pPr>
      <w:r>
        <w:rPr>
          <w:rFonts w:ascii="Calibri" w:cs="Calibri" w:eastAsia="Calibri" w:hAnsi="Calibri"/>
          <w:sz w:val="22"/>
          <w:szCs w:val="22"/>
        </w:rPr>
        <w:t xml:space="preserve">Online learning platforms operate in a competitive market where instructors, marketing budgets, and content-development effort must be allocated across dozens of live courses. Two operational questions recur every month: which courses are about to see rising or falling enrollment, and which courses and categories will generate the most revenue. Answering these questions after the fact, from historical dashboards alone, does not help a platform team act pre-emptively — by the time a decline in enrollment shows up in last month's numbers, the opportunity to intervene (a promotion, a price change, additional marketing) has often already passed.</w:t>
      </w:r>
    </w:p>
    <w:p>
      <w:pPr>
        <w:spacing w:after="160" w:line="276"/>
        <w:jc w:val="both"/>
      </w:pPr>
      <w:r>
        <w:rPr>
          <w:rFonts w:ascii="Calibri" w:cs="Calibri" w:eastAsia="Calibri" w:hAnsi="Calibri"/>
          <w:sz w:val="22"/>
          <w:szCs w:val="22"/>
        </w:rPr>
        <w:t xml:space="preserve">This project treats those two questions as supervised machine-learning problems. Rather than describing what happened, the goal is to predict, one month in advance, how many enrollments a course will receive and how much revenue a course or category will generate, using only information that would actually be available at prediction time — that is, information from the current and prior months, never from the future month being forecast.</w:t>
      </w:r>
    </w:p>
    <w:p>
      <w:pPr>
        <w:pStyle w:val="Heading2"/>
        <w:spacing w:after="120" w:before="240"/>
      </w:pPr>
      <w:r>
        <w:rPr>
          <w:rFonts w:ascii="Calibri" w:cs="Calibri" w:eastAsia="Calibri" w:hAnsi="Calibri"/>
          <w:b/>
          <w:bCs/>
          <w:color w:val="1F3864"/>
        </w:rPr>
        <w:t xml:space="preserve">1.2 Objectives</w:t>
      </w:r>
    </w:p>
    <w:p>
      <w:pPr>
        <w:pStyle w:val="ListParagraph"/>
        <w:numPr>
          <w:ilvl w:val="0"/>
          <w:numId w:val="1"/>
        </w:numPr>
        <w:spacing w:after="80"/>
      </w:pPr>
      <w:r>
        <w:rPr>
          <w:rFonts w:ascii="Calibri" w:cs="Calibri" w:eastAsia="Calibri" w:hAnsi="Calibri"/>
          <w:sz w:val="22"/>
          <w:szCs w:val="22"/>
        </w:rPr>
        <w:t xml:space="preserve">Build a leakage-safe, month-ahead panel dataset from raw user, course, teacher, and transaction records.</w:t>
      </w:r>
    </w:p>
    <w:p>
      <w:pPr>
        <w:pStyle w:val="ListParagraph"/>
        <w:numPr>
          <w:ilvl w:val="0"/>
          <w:numId w:val="1"/>
        </w:numPr>
        <w:spacing w:after="80"/>
      </w:pPr>
      <w:r>
        <w:rPr>
          <w:rFonts w:ascii="Calibri" w:cs="Calibri" w:eastAsia="Calibri" w:hAnsi="Calibri"/>
          <w:sz w:val="22"/>
          <w:szCs w:val="22"/>
        </w:rPr>
        <w:t xml:space="preserve">Engineer features that summarise course pricing, duration, rating, instructor quality, and historical performance.</w:t>
      </w:r>
    </w:p>
    <w:p>
      <w:pPr>
        <w:pStyle w:val="ListParagraph"/>
        <w:numPr>
          <w:ilvl w:val="0"/>
          <w:numId w:val="1"/>
        </w:numPr>
        <w:spacing w:after="80"/>
      </w:pPr>
      <w:r>
        <w:rPr>
          <w:rFonts w:ascii="Calibri" w:cs="Calibri" w:eastAsia="Calibri" w:hAnsi="Calibri"/>
          <w:sz w:val="22"/>
          <w:szCs w:val="22"/>
        </w:rPr>
        <w:t xml:space="preserve">Train and compare five regression algorithms on next-month enrollment demand, next-month course revenue, and next-month category revenue.</w:t>
      </w:r>
    </w:p>
    <w:p>
      <w:pPr>
        <w:pStyle w:val="ListParagraph"/>
        <w:numPr>
          <w:ilvl w:val="0"/>
          <w:numId w:val="1"/>
        </w:numPr>
        <w:spacing w:after="80"/>
      </w:pPr>
      <w:r>
        <w:rPr>
          <w:rFonts w:ascii="Calibri" w:cs="Calibri" w:eastAsia="Calibri" w:hAnsi="Calibri"/>
          <w:sz w:val="22"/>
          <w:szCs w:val="22"/>
        </w:rPr>
        <w:t xml:space="preserve">Evaluate every model on a genuine future holdout (November–December 2025) rather than a random split.</w:t>
      </w:r>
    </w:p>
    <w:p>
      <w:pPr>
        <w:pStyle w:val="ListParagraph"/>
        <w:numPr>
          <w:ilvl w:val="0"/>
          <w:numId w:val="1"/>
        </w:numPr>
        <w:spacing w:after="80"/>
      </w:pPr>
      <w:r>
        <w:rPr>
          <w:rFonts w:ascii="Calibri" w:cs="Calibri" w:eastAsia="Calibri" w:hAnsi="Calibri"/>
          <w:sz w:val="22"/>
          <w:szCs w:val="22"/>
        </w:rPr>
        <w:t xml:space="preserve">Package the best model per task into a reusable bundle and expose it through an interactive dashboard for course-demand, revenue, and category-level forecasting.</w:t>
      </w:r>
    </w:p>
    <w:p>
      <w:pPr>
        <w:pStyle w:val="Heading1"/>
        <w:spacing w:after="180" w:before="360"/>
      </w:pPr>
      <w:r>
        <w:rPr>
          <w:rFonts w:ascii="Calibri" w:cs="Calibri" w:eastAsia="Calibri" w:hAnsi="Calibri"/>
          <w:b/>
          <w:bCs/>
          <w:color w:val="1F3864"/>
        </w:rPr>
        <w:t xml:space="preserve">2. Data Description</w:t>
      </w:r>
    </w:p>
    <w:p>
      <w:pPr>
        <w:spacing w:after="160" w:line="276"/>
        <w:jc w:val="both"/>
      </w:pPr>
      <w:r>
        <w:rPr>
          <w:rFonts w:ascii="Calibri" w:cs="Calibri" w:eastAsia="Calibri" w:hAnsi="Calibri"/>
          <w:sz w:val="22"/>
          <w:szCs w:val="22"/>
        </w:rPr>
        <w:t xml:space="preserve">The source data was provided as four related tables describing the EduPro platform:</w:t>
      </w:r>
    </w:p>
    <w:p>
      <w:pPr>
        <w:pStyle w:val="ListParagraph"/>
        <w:numPr>
          <w:ilvl w:val="0"/>
          <w:numId w:val="1"/>
        </w:numPr>
        <w:spacing w:after="80"/>
      </w:pPr>
      <w:r>
        <w:rPr>
          <w:rFonts w:ascii="Calibri" w:cs="Calibri" w:eastAsia="Calibri" w:hAnsi="Calibri"/>
          <w:sz w:val="22"/>
          <w:szCs w:val="22"/>
        </w:rPr>
        <w:t xml:space="preserve">Users (3,000 records): learner ID, username, age, gender, and email.</w:t>
      </w:r>
    </w:p>
    <w:p>
      <w:pPr>
        <w:pStyle w:val="ListParagraph"/>
        <w:numPr>
          <w:ilvl w:val="0"/>
          <w:numId w:val="1"/>
        </w:numPr>
        <w:spacing w:after="80"/>
      </w:pPr>
      <w:r>
        <w:rPr>
          <w:rFonts w:ascii="Calibri" w:cs="Calibri" w:eastAsia="Calibri" w:hAnsi="Calibri"/>
          <w:sz w:val="22"/>
          <w:szCs w:val="22"/>
        </w:rPr>
        <w:t xml:space="preserve">Courses (60 records): course ID, name, category, type (Free/Paid), level (Beginner/Intermediate/Advanced), price, duration in hours, and average rating.</w:t>
      </w:r>
    </w:p>
    <w:p>
      <w:pPr>
        <w:pStyle w:val="ListParagraph"/>
        <w:numPr>
          <w:ilvl w:val="0"/>
          <w:numId w:val="1"/>
        </w:numPr>
        <w:spacing w:after="80"/>
      </w:pPr>
      <w:r>
        <w:rPr>
          <w:rFonts w:ascii="Calibri" w:cs="Calibri" w:eastAsia="Calibri" w:hAnsi="Calibri"/>
          <w:sz w:val="22"/>
          <w:szCs w:val="22"/>
        </w:rPr>
        <w:t xml:space="preserve">Teachers (60 records): teacher ID, name, age, gender, subject expertise, years of experience, and teacher rating.</w:t>
      </w:r>
    </w:p>
    <w:p>
      <w:pPr>
        <w:pStyle w:val="ListParagraph"/>
        <w:numPr>
          <w:ilvl w:val="0"/>
          <w:numId w:val="1"/>
        </w:numPr>
        <w:spacing w:after="80"/>
      </w:pPr>
      <w:r>
        <w:rPr>
          <w:rFonts w:ascii="Calibri" w:cs="Calibri" w:eastAsia="Calibri" w:hAnsi="Calibri"/>
          <w:sz w:val="22"/>
          <w:szCs w:val="22"/>
        </w:rPr>
        <w:t xml:space="preserve">Transactions (10,000 records): transaction ID, user ID, course ID, transaction date, amount paid, payment method, and the teacher ID associated with the course at the time of enrollment.</w:t>
      </w:r>
    </w:p>
    <w:p>
      <w:pPr>
        <w:spacing w:after="160" w:line="276"/>
        <w:jc w:val="both"/>
      </w:pPr>
      <w:r>
        <w:rPr>
          <w:rFonts w:ascii="Calibri" w:cs="Calibri" w:eastAsia="Calibri" w:hAnsi="Calibri"/>
          <w:sz w:val="22"/>
          <w:szCs w:val="22"/>
        </w:rPr>
        <w:t xml:space="preserve">Transactions were aggregated to a monthly panel at the course level (course × calendar month), giving each active course one row per month describing what happened that month, which was then used to predict what would happen the following month. The same monthly panel was aggregated a second time to the course-category level to support category-wide revenue forecasting.</w:t>
      </w:r>
    </w:p>
    <w:p>
      <w:pPr>
        <w:pStyle w:val="Heading1"/>
        <w:spacing w:after="180" w:before="360"/>
      </w:pPr>
      <w:r>
        <w:rPr>
          <w:rFonts w:ascii="Calibri" w:cs="Calibri" w:eastAsia="Calibri" w:hAnsi="Calibri"/>
          <w:b/>
          <w:bCs/>
          <w:color w:val="1F3864"/>
        </w:rPr>
        <w:t xml:space="preserve">3. Feature Engineering</w:t>
      </w:r>
    </w:p>
    <w:p>
      <w:pPr>
        <w:spacing w:after="160" w:line="276"/>
        <w:jc w:val="both"/>
      </w:pPr>
      <w:r>
        <w:rPr>
          <w:rFonts w:ascii="Calibri" w:cs="Calibri" w:eastAsia="Calibri" w:hAnsi="Calibri"/>
          <w:sz w:val="22"/>
          <w:szCs w:val="22"/>
        </w:rPr>
        <w:t xml:space="preserve">A single, consistent feature set was engineered for the course-level models (enrollment demand and course revenue) and a parallel, coarser feature set for the category-level revenue model. Feature construction relied only on information available up to and including the current month, so no feature could see into the forecast month it was trying to predict.</w:t>
      </w:r>
    </w:p>
    <w:p>
      <w:pPr>
        <w:pStyle w:val="Heading2"/>
        <w:spacing w:after="120" w:before="240"/>
      </w:pPr>
      <w:r>
        <w:rPr>
          <w:rFonts w:ascii="Calibri" w:cs="Calibri" w:eastAsia="Calibri" w:hAnsi="Calibri"/>
          <w:b/>
          <w:bCs/>
          <w:color w:val="1F3864"/>
        </w:rPr>
        <w:t xml:space="preserve">3.1 Course-Level Features</w:t>
      </w:r>
    </w:p>
    <w:p>
      <w:pPr>
        <w:pStyle w:val="ListParagraph"/>
        <w:numPr>
          <w:ilvl w:val="0"/>
          <w:numId w:val="1"/>
        </w:numPr>
        <w:spacing w:after="80"/>
      </w:pPr>
      <w:r>
        <w:rPr>
          <w:rFonts w:ascii="Calibri" w:cs="Calibri" w:eastAsia="Calibri" w:hAnsi="Calibri"/>
          <w:sz w:val="22"/>
          <w:szCs w:val="22"/>
        </w:rPr>
        <w:t xml:space="preserve">Price Band — course price bucketed into Free, Low (up to 250), and High.</w:t>
      </w:r>
    </w:p>
    <w:p>
      <w:pPr>
        <w:pStyle w:val="ListParagraph"/>
        <w:numPr>
          <w:ilvl w:val="0"/>
          <w:numId w:val="1"/>
        </w:numPr>
        <w:spacing w:after="80"/>
      </w:pPr>
      <w:r>
        <w:rPr>
          <w:rFonts w:ascii="Calibri" w:cs="Calibri" w:eastAsia="Calibri" w:hAnsi="Calibri"/>
          <w:sz w:val="22"/>
          <w:szCs w:val="22"/>
        </w:rPr>
        <w:t xml:space="preserve">Duration Bucket — course duration bucketed into Short, Medium, and Long.</w:t>
      </w:r>
    </w:p>
    <w:p>
      <w:pPr>
        <w:pStyle w:val="ListParagraph"/>
        <w:numPr>
          <w:ilvl w:val="0"/>
          <w:numId w:val="1"/>
        </w:numPr>
        <w:spacing w:after="80"/>
      </w:pPr>
      <w:r>
        <w:rPr>
          <w:rFonts w:ascii="Calibri" w:cs="Calibri" w:eastAsia="Calibri" w:hAnsi="Calibri"/>
          <w:sz w:val="22"/>
          <w:szCs w:val="22"/>
        </w:rPr>
        <w:t xml:space="preserve">Rating Tier — course rating bucketed into Developing, Good, and Excellent.</w:t>
      </w:r>
    </w:p>
    <w:p>
      <w:pPr>
        <w:pStyle w:val="ListParagraph"/>
        <w:numPr>
          <w:ilvl w:val="0"/>
          <w:numId w:val="1"/>
        </w:numPr>
        <w:spacing w:after="80"/>
      </w:pPr>
      <w:r>
        <w:rPr>
          <w:rFonts w:ascii="Calibri" w:cs="Calibri" w:eastAsia="Calibri" w:hAnsi="Calibri"/>
          <w:sz w:val="22"/>
          <w:szCs w:val="22"/>
        </w:rPr>
        <w:t xml:space="preserve">Experience Bucket — instructor experience bucketed into Early Career, Experienced, and Senior.</w:t>
      </w:r>
    </w:p>
    <w:p>
      <w:pPr>
        <w:pStyle w:val="ListParagraph"/>
        <w:numPr>
          <w:ilvl w:val="0"/>
          <w:numId w:val="1"/>
        </w:numPr>
        <w:spacing w:after="80"/>
      </w:pPr>
      <w:r>
        <w:rPr>
          <w:rFonts w:ascii="Calibri" w:cs="Calibri" w:eastAsia="Calibri" w:hAnsi="Calibri"/>
          <w:sz w:val="22"/>
          <w:szCs w:val="22"/>
        </w:rPr>
        <w:t xml:space="preserve">Course type, level, and category — encoded as categorical variables.</w:t>
      </w:r>
    </w:p>
    <w:p>
      <w:pPr>
        <w:pStyle w:val="ListParagraph"/>
        <w:numPr>
          <w:ilvl w:val="0"/>
          <w:numId w:val="1"/>
        </w:numPr>
        <w:spacing w:after="80"/>
      </w:pPr>
      <w:r>
        <w:rPr>
          <w:rFonts w:ascii="Calibri" w:cs="Calibri" w:eastAsia="Calibri" w:hAnsi="Calibri"/>
          <w:sz w:val="22"/>
          <w:szCs w:val="22"/>
        </w:rPr>
        <w:t xml:space="preserve">Expertise–Category Match Score — the share of a course's enrollments taught by an instructor whose declared expertise matches the course category.</w:t>
      </w:r>
    </w:p>
    <w:p>
      <w:pPr>
        <w:pStyle w:val="ListParagraph"/>
        <w:numPr>
          <w:ilvl w:val="0"/>
          <w:numId w:val="1"/>
        </w:numPr>
        <w:spacing w:after="80"/>
      </w:pPr>
      <w:r>
        <w:rPr>
          <w:rFonts w:ascii="Calibri" w:cs="Calibri" w:eastAsia="Calibri" w:hAnsi="Calibri"/>
          <w:sz w:val="22"/>
          <w:szCs w:val="22"/>
        </w:rPr>
        <w:t xml:space="preserve">Past Enrollment Count and Past Average Revenue — the course's own enrollment and revenue history up to the current month.</w:t>
      </w:r>
    </w:p>
    <w:p>
      <w:pPr>
        <w:pStyle w:val="ListParagraph"/>
        <w:numPr>
          <w:ilvl w:val="0"/>
          <w:numId w:val="1"/>
        </w:numPr>
        <w:spacing w:after="80"/>
      </w:pPr>
      <w:r>
        <w:rPr>
          <w:rFonts w:ascii="Calibri" w:cs="Calibri" w:eastAsia="Calibri" w:hAnsi="Calibri"/>
          <w:sz w:val="22"/>
          <w:szCs w:val="22"/>
        </w:rPr>
        <w:t xml:space="preserve">Revenue per Enrollment — average transaction value for the course in the current month.</w:t>
      </w:r>
    </w:p>
    <w:p>
      <w:pPr>
        <w:pStyle w:val="ListParagraph"/>
        <w:numPr>
          <w:ilvl w:val="0"/>
          <w:numId w:val="1"/>
        </w:numPr>
        <w:spacing w:after="80"/>
      </w:pPr>
      <w:r>
        <w:rPr>
          <w:rFonts w:ascii="Calibri" w:cs="Calibri" w:eastAsia="Calibri" w:hAnsi="Calibri"/>
          <w:sz w:val="22"/>
          <w:szCs w:val="22"/>
        </w:rPr>
        <w:t xml:space="preserve">Month Number — the calendar month being forecast, to capture seasonality.</w:t>
      </w:r>
    </w:p>
    <w:p>
      <w:pPr>
        <w:pStyle w:val="Heading2"/>
        <w:spacing w:after="120" w:before="240"/>
      </w:pPr>
      <w:r>
        <w:rPr>
          <w:rFonts w:ascii="Calibri" w:cs="Calibri" w:eastAsia="Calibri" w:hAnsi="Calibri"/>
          <w:b/>
          <w:bCs/>
          <w:color w:val="1F3864"/>
        </w:rPr>
        <w:t xml:space="preserve">3.2 Category-Level Features</w:t>
      </w:r>
    </w:p>
    <w:p>
      <w:pPr>
        <w:spacing w:after="160" w:line="276"/>
        <w:jc w:val="both"/>
      </w:pPr>
      <w:r>
        <w:rPr>
          <w:rFonts w:ascii="Calibri" w:cs="Calibri" w:eastAsia="Calibri" w:hAnsi="Calibri"/>
          <w:sz w:val="22"/>
          <w:szCs w:val="22"/>
        </w:rPr>
        <w:t xml:space="preserve">For category-level revenue forecasting, course-level records were aggregated by category and month, producing features such as total past enrollment count, total and per-enrollment historical revenue, the number of active courses in the category, and the category's average course price and rating, alongside the calendar month number.</w:t>
      </w:r>
    </w:p>
    <w:p>
      <w:pPr>
        <w:pStyle w:val="Heading1"/>
        <w:spacing w:after="180" w:before="360"/>
      </w:pPr>
      <w:r>
        <w:rPr>
          <w:rFonts w:ascii="Calibri" w:cs="Calibri" w:eastAsia="Calibri" w:hAnsi="Calibri"/>
          <w:b/>
          <w:bCs/>
          <w:color w:val="1F3864"/>
        </w:rPr>
        <w:t xml:space="preserve">4. Methodology</w:t>
      </w:r>
    </w:p>
    <w:p>
      <w:pPr>
        <w:pStyle w:val="Heading2"/>
        <w:spacing w:after="120" w:before="240"/>
      </w:pPr>
      <w:r>
        <w:rPr>
          <w:rFonts w:ascii="Calibri" w:cs="Calibri" w:eastAsia="Calibri" w:hAnsi="Calibri"/>
          <w:b/>
          <w:bCs/>
          <w:color w:val="1F3864"/>
        </w:rPr>
        <w:t xml:space="preserve">4.1 Temporal Train/Test Split</w:t>
      </w:r>
    </w:p>
    <w:p>
      <w:pPr>
        <w:spacing w:after="160" w:line="276"/>
        <w:jc w:val="both"/>
      </w:pPr>
      <w:r>
        <w:rPr>
          <w:rFonts w:ascii="Calibri" w:cs="Calibri" w:eastAsia="Calibri" w:hAnsi="Calibri"/>
          <w:sz w:val="22"/>
          <w:szCs w:val="22"/>
        </w:rPr>
        <w:t xml:space="preserve">A random train/test split would allow information from a course's future months to influence predictions for its past months through shared, engineered historical-average features — a subtle form of data leakage that inflates apparent accuracy without reflecting real forecasting performance. To avoid this, the dataset was split strictly by forecast month: all forecast months from February through October 2025 were used for training, and November and December 2025 were held out entirely as unseen test months, matching how the system would actually be used in production — trained on the past, evaluated on the future.</w:t>
      </w:r>
    </w:p>
    <w:p>
      <w:pPr>
        <w:pStyle w:val="Heading2"/>
        <w:spacing w:after="120" w:before="240"/>
      </w:pPr>
      <w:r>
        <w:rPr>
          <w:rFonts w:ascii="Calibri" w:cs="Calibri" w:eastAsia="Calibri" w:hAnsi="Calibri"/>
          <w:b/>
          <w:bCs/>
          <w:color w:val="1F3864"/>
        </w:rPr>
        <w:t xml:space="preserve">4.2 Candidate Models</w:t>
      </w:r>
    </w:p>
    <w:p>
      <w:pPr>
        <w:spacing w:after="160" w:line="276"/>
        <w:jc w:val="both"/>
      </w:pPr>
      <w:r>
        <w:rPr>
          <w:rFonts w:ascii="Calibri" w:cs="Calibri" w:eastAsia="Calibri" w:hAnsi="Calibri"/>
          <w:sz w:val="22"/>
          <w:szCs w:val="22"/>
        </w:rPr>
        <w:t xml:space="preserve">Five regression algorithms were trained and compared on identical features for each of the three forecasting tasks: Linear Regression, Ridge Regression, Lasso Regression, Random Forest Regressor, and Gradient Boosting Regressor. Each model was wrapped in a scikit-learn pipeline that median-imputes and standardises numeric features and most-frequent-imputes and one-hot encodes categorical features, ensuring identical preprocessing across algorithms for a fair comparison. Predictions were clipped at zero, since neither enrollments nor revenue can be negative.</w:t>
      </w:r>
    </w:p>
    <w:p>
      <w:pPr>
        <w:pStyle w:val="Heading2"/>
        <w:spacing w:after="120" w:before="240"/>
      </w:pPr>
      <w:r>
        <w:rPr>
          <w:rFonts w:ascii="Calibri" w:cs="Calibri" w:eastAsia="Calibri" w:hAnsi="Calibri"/>
          <w:b/>
          <w:bCs/>
          <w:color w:val="1F3864"/>
        </w:rPr>
        <w:t xml:space="preserve">4.3 Evaluation Metrics</w:t>
      </w:r>
    </w:p>
    <w:p>
      <w:pPr>
        <w:spacing w:after="160" w:line="276"/>
        <w:jc w:val="both"/>
      </w:pPr>
      <w:r>
        <w:rPr>
          <w:rFonts w:ascii="Calibri" w:cs="Calibri" w:eastAsia="Calibri" w:hAnsi="Calibri"/>
          <w:sz w:val="22"/>
          <w:szCs w:val="22"/>
        </w:rPr>
        <w:t xml:space="preserve">Each model was scored on the November–December 2025 holdout using three complementary metrics: Mean Absolute Error (MAE), which reports the average prediction error in the original units (enrollments or currency); Root Mean Squared Error (RMSE), which penalises larger errors more heavily; and R², which reports the proportion of variance in the target explained by the model, with 1.0 indicating a perfect fit and 0 indicating no better than predicting the mean.</w:t>
      </w:r>
    </w:p>
    <w:p>
      <w:pPr>
        <w:pStyle w:val="Heading1"/>
        <w:spacing w:after="180" w:before="360"/>
      </w:pPr>
      <w:r>
        <w:rPr>
          <w:rFonts w:ascii="Calibri" w:cs="Calibri" w:eastAsia="Calibri" w:hAnsi="Calibri"/>
          <w:b/>
          <w:bCs/>
          <w:color w:val="1F3864"/>
        </w:rPr>
        <w:t xml:space="preserve">5. Results</w:t>
      </w:r>
    </w:p>
    <w:p>
      <w:pPr>
        <w:spacing w:after="160" w:line="276"/>
        <w:jc w:val="both"/>
      </w:pPr>
      <w:r>
        <w:rPr>
          <w:rFonts w:ascii="Calibri" w:cs="Calibri" w:eastAsia="Calibri" w:hAnsi="Calibri"/>
          <w:sz w:val="22"/>
          <w:szCs w:val="22"/>
        </w:rPr>
        <w:t xml:space="preserve">Table 1 reports MAE, RMSE, and R² for all five candidate models across the three forecasting tasks. The best-performing model per task, marked with an asterisk, was selected by lowest RMSE.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1400"/>
        <w:gridCol w:w="1300"/>
      </w:tblGrid>
      <w:tr>
        <w:trPr>
          <w:tblHeader/>
        </w:trPr>
        <w:tc>
          <w:tcPr>
            <w:tcW w:type="dxa" w:w="24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Forecasting Task</w:t>
            </w:r>
          </w:p>
        </w:tc>
        <w:tc>
          <w:tcPr>
            <w:tcW w:type="dxa" w:w="20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Model</w:t>
            </w:r>
          </w:p>
        </w:tc>
        <w:tc>
          <w:tcPr>
            <w:tcW w:type="dxa" w:w="14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MAE</w:t>
            </w:r>
          </w:p>
        </w:tc>
        <w:tc>
          <w:tcPr>
            <w:tcW w:type="dxa" w:w="14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RMSE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R²</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Enrollment Demand</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Ridge Regression*</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2.78</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3.65</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0.014</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Enrollment Demand</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Linear Regression</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2.79</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3.65</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0.013</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Enrollment Demand</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Lasso Regression</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2.77</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3.66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0.009</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Enrollment Demand</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Random Forest</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2.90</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3.76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-0.046</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Enrollment Demand</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Gradient Boosting</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2.83</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3.81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-0.076</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Revenue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Ridge Regression*</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256.17</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536.74</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0.941</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Revenue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Lasso Regression</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259.25</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539.30</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0.940</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Revenue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Linear Regression</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259.30</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540.06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0.940</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Revenue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Gradient Boosting</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236.48</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585.24</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0.930</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Revenue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Random Forest</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279.34</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640.77</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0.916</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Category Revenue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Ridge Regression*</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910.98</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1539.61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0.933</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Category Revenue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Lasso Regression</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959.25</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1579.63</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0.929</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Category Revenue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Linear Regression</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959.59</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1579.95</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0.929</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Category Revenue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Random Forest</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1049.09</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1804.76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0.908</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Category Revenue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Gradient Boosting</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1322.97</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2307.39</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0.849</w:t>
            </w:r>
          </w:p>
        </w:tc>
      </w:tr>
    </w:tbl>
    <w:p>
      <w:pPr>
        <w:spacing w:after="240" w:before="60"/>
        <w:jc w:val="center"/>
      </w:pPr>
      <w:r>
        <w:rPr>
          <w:rFonts w:ascii="Calibri" w:cs="Calibri" w:eastAsia="Calibri" w:hAnsi="Calibri"/>
          <w:i/>
          <w:iCs/>
          <w:color w:val="555555"/>
          <w:sz w:val="20"/>
          <w:szCs w:val="20"/>
        </w:rPr>
        <w:t xml:space="preserve">Table 1. Model comparison on the November–December 2025 holdout, by forecasting task.</w:t>
      </w:r>
    </w:p>
    <w:p>
      <w:pPr>
        <w:pStyle w:val="Heading2"/>
        <w:spacing w:after="120" w:before="240"/>
      </w:pPr>
      <w:r>
        <w:rPr>
          <w:rFonts w:ascii="Calibri" w:cs="Calibri" w:eastAsia="Calibri" w:hAnsi="Calibri"/>
          <w:b/>
          <w:bCs/>
          <w:color w:val="1F3864"/>
        </w:rPr>
        <w:t xml:space="preserve">5.1 Enrollment Demand</w:t>
      </w:r>
    </w:p>
    <w:p>
      <w:pPr>
        <w:spacing w:after="160" w:line="276"/>
        <w:jc w:val="both"/>
      </w:pPr>
      <w:r>
        <w:rPr>
          <w:rFonts w:ascii="Calibri" w:cs="Calibri" w:eastAsia="Calibri" w:hAnsi="Calibri"/>
          <w:sz w:val="22"/>
          <w:szCs w:val="22"/>
        </w:rPr>
        <w:t xml:space="preserve">All five models performed similarly on next-month enrollment demand, with MAE clustered between roughly 2.8 and 2.9 enrollments and R² close to zero — Ridge Regression's 0.014 was the strongest, while both tree-based models scored negative R², meaning they performed slightly worse than simply predicting the historical average. This indicates that, with the features available, month-to-month enrollment counts for an individual course are close to noise: past enrollment volume and course attributes carry very little signal about next month's count, likely because enrollment is driven by factors not captured in this dataset, such as marketing campaigns, seasonality events, or platform-wide promotions.</w:t>
      </w:r>
    </w:p>
    <w:p>
      <w:pPr>
        <w:pStyle w:val="Heading2"/>
        <w:spacing w:after="120" w:before="240"/>
      </w:pPr>
      <w:r>
        <w:rPr>
          <w:rFonts w:ascii="Calibri" w:cs="Calibri" w:eastAsia="Calibri" w:hAnsi="Calibri"/>
          <w:b/>
          <w:bCs/>
          <w:color w:val="1F3864"/>
        </w:rPr>
        <w:t xml:space="preserve">5.2 Course Revenue</w:t>
      </w:r>
    </w:p>
    <w:p>
      <w:pPr>
        <w:spacing w:after="160" w:line="276"/>
        <w:jc w:val="both"/>
      </w:pPr>
      <w:r>
        <w:rPr>
          <w:rFonts w:ascii="Calibri" w:cs="Calibri" w:eastAsia="Calibri" w:hAnsi="Calibri"/>
          <w:sz w:val="22"/>
          <w:szCs w:val="22"/>
        </w:rPr>
        <w:t xml:space="preserve">Course-level revenue was substantially more predictable. Ridge Regression achieved an R² of 0.941 with an MAE of about 256 currency units, meaning predicted next-month course revenue was, on average, within roughly a quarter of the typical transaction scale of the true value. Regularised linear models (Ridge and Lasso) outperformed the tree-based models here, suggesting the relationship between price, category, rating, and historical revenue is close to linear and additive.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000"/>
      </w:tblGrid>
      <w:tr>
        <w:trPr>
          <w:tblHeader/>
        </w:trPr>
        <w:tc>
          <w:tcPr>
            <w:tcW w:type="dxa" w:w="9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Rank</w:t>
            </w:r>
          </w:p>
        </w:tc>
        <w:tc>
          <w:tcPr>
            <w:tcW w:type="dxa" w:w="4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Feature</w:t>
            </w:r>
          </w:p>
        </w:tc>
        <w:tc>
          <w:tcPr>
            <w:tcW w:type="dxa" w:w="30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Relative Importance</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Revenue per Enrollment</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1185.21</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Price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1185.21</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Past Average Revenue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376.63</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4</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Category: Data Science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313.49</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Category: Finance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215.46</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Category: Machine Learning</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215.28</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7</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Category: Business</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185.42</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8</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Rating Tier: Developing</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171.64</w:t>
            </w:r>
          </w:p>
        </w:tc>
      </w:tr>
    </w:tbl>
    <w:p>
      <w:pPr>
        <w:spacing w:after="240" w:before="60"/>
        <w:jc w:val="center"/>
      </w:pPr>
      <w:r>
        <w:rPr>
          <w:rFonts w:ascii="Calibri" w:cs="Calibri" w:eastAsia="Calibri" w:hAnsi="Calibri"/>
          <w:i/>
          <w:iCs/>
          <w:color w:val="555555"/>
          <w:sz w:val="20"/>
          <w:szCs w:val="20"/>
        </w:rPr>
        <w:t xml:space="preserve">Table 2. Top drivers of course-level revenue (Ridge Regression coefficient magnitude).</w:t>
      </w:r>
    </w:p>
    <w:p>
      <w:pPr>
        <w:spacing w:after="160" w:line="276"/>
        <w:jc w:val="both"/>
      </w:pPr>
      <w:r>
        <w:rPr>
          <w:rFonts w:ascii="Calibri" w:cs="Calibri" w:eastAsia="Calibri" w:hAnsi="Calibri"/>
          <w:sz w:val="22"/>
          <w:szCs w:val="22"/>
        </w:rPr>
        <w:t xml:space="preserve">Course price and revenue per enrollment were, unsurprisingly, the two strongest drivers of course revenue, followed by the course's own historical average revenue and its category — Data Science, Finance, and Machine Learning courses commanded the largest positive effects.</w:t>
      </w:r>
    </w:p>
    <w:p>
      <w:pPr>
        <w:pStyle w:val="Heading2"/>
        <w:spacing w:after="120" w:before="240"/>
      </w:pPr>
      <w:r>
        <w:rPr>
          <w:rFonts w:ascii="Calibri" w:cs="Calibri" w:eastAsia="Calibri" w:hAnsi="Calibri"/>
          <w:b/>
          <w:bCs/>
          <w:color w:val="1F3864"/>
        </w:rPr>
        <w:t xml:space="preserve">5.3 Category Revenue</w:t>
      </w:r>
    </w:p>
    <w:p>
      <w:pPr>
        <w:spacing w:after="160" w:line="276"/>
        <w:jc w:val="both"/>
      </w:pPr>
      <w:r>
        <w:rPr>
          <w:rFonts w:ascii="Calibri" w:cs="Calibri" w:eastAsia="Calibri" w:hAnsi="Calibri"/>
          <w:sz w:val="22"/>
          <w:szCs w:val="22"/>
        </w:rPr>
        <w:t xml:space="preserve">Aggregating to the category level further stabilised the signal: Ridge Regression reached an R² of 0.933 on category-month revenue, with an MAE of about 911 currency units against category revenues typically in the thousands.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000"/>
      </w:tblGrid>
      <w:tr>
        <w:trPr>
          <w:tblHeader/>
        </w:trPr>
        <w:tc>
          <w:tcPr>
            <w:tcW w:type="dxa" w:w="9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Rank</w:t>
            </w:r>
          </w:p>
        </w:tc>
        <w:tc>
          <w:tcPr>
            <w:tcW w:type="dxa" w:w="4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Feature</w:t>
            </w:r>
          </w:p>
        </w:tc>
        <w:tc>
          <w:tcPr>
            <w:tcW w:type="dxa" w:w="30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Relative Importance</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Average Course Price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4106.25</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Past Average Revenue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1434.53</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Category: Project Management</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974.81</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4</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Category: Business</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803.35</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Category: Data Science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772.85</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Category: Cybersecurity</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671.66</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7</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Category: Machine Learning</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568.94</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8</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Revenue per Enrollment</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445.48</w:t>
            </w:r>
          </w:p>
        </w:tc>
      </w:tr>
    </w:tbl>
    <w:p>
      <w:pPr>
        <w:spacing w:after="240" w:before="60"/>
        <w:jc w:val="center"/>
      </w:pPr>
      <w:r>
        <w:rPr>
          <w:rFonts w:ascii="Calibri" w:cs="Calibri" w:eastAsia="Calibri" w:hAnsi="Calibri"/>
          <w:i/>
          <w:iCs/>
          <w:color w:val="555555"/>
          <w:sz w:val="20"/>
          <w:szCs w:val="20"/>
        </w:rPr>
        <w:t xml:space="preserve">Table 3. Top drivers of category-level revenue (Ridge Regression coefficient magnitude).</w:t>
      </w:r>
    </w:p>
    <w:p>
      <w:pPr>
        <w:spacing w:after="160" w:line="276"/>
        <w:jc w:val="both"/>
      </w:pPr>
      <w:r>
        <w:rPr>
          <w:rFonts w:ascii="Calibri" w:cs="Calibri" w:eastAsia="Calibri" w:hAnsi="Calibri"/>
          <w:sz w:val="22"/>
          <w:szCs w:val="22"/>
        </w:rPr>
        <w:t xml:space="preserve">Average course price within the category and the category's own historical revenue were the dominant predictors, with Project Management, Business, and Data Science standing out as categories with the largest independent effect on revenue once price and history were accounted for.</w:t>
      </w:r>
    </w:p>
    <w:p>
      <w:pPr>
        <w:pStyle w:val="Heading2"/>
        <w:spacing w:after="120" w:before="240"/>
      </w:pPr>
      <w:r>
        <w:rPr>
          <w:rFonts w:ascii="Calibri" w:cs="Calibri" w:eastAsia="Calibri" w:hAnsi="Calibri"/>
          <w:b/>
          <w:bCs/>
          <w:color w:val="1F3864"/>
        </w:rPr>
        <w:t xml:space="preserve">5.4 Enrollment Demand Drivers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000"/>
      </w:tblGrid>
      <w:tr>
        <w:trPr>
          <w:tblHeader/>
        </w:trPr>
        <w:tc>
          <w:tcPr>
            <w:tcW w:type="dxa" w:w="9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Rank</w:t>
            </w:r>
          </w:p>
        </w:tc>
        <w:tc>
          <w:tcPr>
            <w:tcW w:type="dxa" w:w="4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Feature</w:t>
            </w:r>
          </w:p>
        </w:tc>
        <w:tc>
          <w:tcPr>
            <w:tcW w:type="dxa" w:w="30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Relative Importance</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Category: Data Science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1.48</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Past Average Revenue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1.33</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Price Band: High</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1.21</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4</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Category: Cybersecurity</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0.91</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Price Band: Low</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0.90</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Category: Finance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0.89</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7</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Category: Marketing</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0.86</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8</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Category: Programming</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0.83</w:t>
            </w:r>
          </w:p>
        </w:tc>
      </w:tr>
    </w:tbl>
    <w:p>
      <w:pPr>
        <w:spacing w:after="240" w:before="60"/>
        <w:jc w:val="center"/>
      </w:pPr>
      <w:r>
        <w:rPr>
          <w:rFonts w:ascii="Calibri" w:cs="Calibri" w:eastAsia="Calibri" w:hAnsi="Calibri"/>
          <w:i/>
          <w:iCs/>
          <w:color w:val="555555"/>
          <w:sz w:val="20"/>
          <w:szCs w:val="20"/>
        </w:rPr>
        <w:t xml:space="preserve">Table 4. Top drivers identified by the enrollment-demand model, despite its low overall R².</w:t>
      </w:r>
    </w:p>
    <w:p>
      <w:pPr>
        <w:spacing w:after="160" w:line="276"/>
        <w:jc w:val="both"/>
      </w:pPr>
      <w:r>
        <w:rPr>
          <w:rFonts w:ascii="Calibri" w:cs="Calibri" w:eastAsia="Calibri" w:hAnsi="Calibri"/>
          <w:sz w:val="22"/>
          <w:szCs w:val="22"/>
        </w:rPr>
        <w:t xml:space="preserve">Even though the enrollment-demand model explains very little variance overall, the coefficients that do carry weight point to category (particularly Data Science and Cybersecurity) and price band as the most influential — though given the near-zero R², these should be read as weak tendencies rather than reliable predictors.</w:t>
      </w:r>
    </w:p>
    <w:p>
      <w:pPr>
        <w:pStyle w:val="Heading1"/>
        <w:spacing w:after="180" w:before="360"/>
      </w:pPr>
      <w:r>
        <w:rPr>
          <w:rFonts w:ascii="Calibri" w:cs="Calibri" w:eastAsia="Calibri" w:hAnsi="Calibri"/>
          <w:b/>
          <w:bCs/>
          <w:color w:val="1F3864"/>
        </w:rPr>
        <w:t xml:space="preserve">6. Discussion</w:t>
      </w:r>
    </w:p>
    <w:p>
      <w:pPr>
        <w:spacing w:after="160" w:line="276"/>
        <w:jc w:val="both"/>
      </w:pPr>
      <w:r>
        <w:rPr>
          <w:rFonts w:ascii="Calibri" w:cs="Calibri" w:eastAsia="Calibri" w:hAnsi="Calibri"/>
          <w:sz w:val="22"/>
          <w:szCs w:val="22"/>
        </w:rPr>
        <w:t xml:space="preserve">The clearest finding is an asymmetry between the predictability of revenue and the predictability of enrollment counts. Revenue models benefit from strong, direct numeric drivers already present in the data — price and historical revenue per enrollment — so a linear model can explain the overwhelming majority of month-to-month variation. Enrollment counts, by contrast, are a discrete behavioural outcome shaped by demand-side factors that this dataset does not capture, such as marketing spend, competitor activity, external seasonality, and word of mouth. This is a common pattern in demand-forecasting problems and is an honest limitation of the current feature set rather than a modelling error.</w:t>
      </w:r>
    </w:p>
    <w:p>
      <w:pPr>
        <w:spacing w:after="160" w:line="276"/>
        <w:jc w:val="both"/>
      </w:pPr>
      <w:r>
        <w:rPr>
          <w:rFonts w:ascii="Calibri" w:cs="Calibri" w:eastAsia="Calibri" w:hAnsi="Calibri"/>
          <w:sz w:val="22"/>
          <w:szCs w:val="22"/>
        </w:rPr>
        <w:t xml:space="preserve">A second, related finding is that simple, regularised linear models (Ridge Regression, and to a close second Lasso Regression) consistently outperformed more flexible tree-based ensembles (Random Forest, Gradient Boosting) across all three tasks. With roughly 540–660 training rows per course-level task and 108 training rows for the category task, the ensembles likely had too little data relative to their capacity to outperform a well-regularised linear model, and may have been overfitting subtle noise in the training months that did not generalise to the November–December holdout.</w:t>
      </w:r>
    </w:p>
    <w:p>
      <w:pPr>
        <w:spacing w:after="160" w:line="276"/>
        <w:jc w:val="both"/>
      </w:pPr>
      <w:r>
        <w:rPr>
          <w:rFonts w:ascii="Calibri" w:cs="Calibri" w:eastAsia="Calibri" w:hAnsi="Calibri"/>
          <w:sz w:val="22"/>
          <w:szCs w:val="22"/>
        </w:rPr>
        <w:t xml:space="preserve">Because the evaluation uses a genuine future holdout rather than a random split, the reported R² values are a realistic estimate of how these models would perform if deployed to forecast the next two months from today's vantage point, rather than an optimistic in-sample number.</w:t>
      </w:r>
    </w:p>
    <w:p>
      <w:pPr>
        <w:pStyle w:val="Heading1"/>
        <w:spacing w:after="180" w:before="360"/>
      </w:pPr>
      <w:r>
        <w:rPr>
          <w:rFonts w:ascii="Calibri" w:cs="Calibri" w:eastAsia="Calibri" w:hAnsi="Calibri"/>
          <w:b/>
          <w:bCs/>
          <w:color w:val="1F3864"/>
        </w:rPr>
        <w:t xml:space="preserve">7. Deployment and Dashboard</w:t>
      </w:r>
    </w:p>
    <w:p>
      <w:pPr>
        <w:spacing w:after="160" w:line="276"/>
        <w:jc w:val="both"/>
      </w:pPr>
      <w:r>
        <w:rPr>
          <w:rFonts w:ascii="Calibri" w:cs="Calibri" w:eastAsia="Calibri" w:hAnsi="Calibri"/>
          <w:sz w:val="22"/>
          <w:szCs w:val="22"/>
        </w:rPr>
        <w:t xml:space="preserve">The three winning Ridge Regression pipelines, together with their feature lists and the categorical value vocabularies needed for one-hot encoding, were serialized into a single model bundle for reuse without retraining. This bundle powers an interactive Streamlit dashboard with modules covering: the business problem and project overview; historical insights into enrollment and revenue trends; course-level demand and revenue forecasting; category-level revenue forecasting; model performance and feature-importance inspection; and project methodology.</w:t>
      </w:r>
    </w:p>
    <w:p>
      <w:pPr>
        <w:pStyle w:val="Heading1"/>
        <w:spacing w:after="180" w:before="360"/>
      </w:pPr>
      <w:r>
        <w:rPr>
          <w:rFonts w:ascii="Calibri" w:cs="Calibri" w:eastAsia="Calibri" w:hAnsi="Calibri"/>
          <w:b/>
          <w:bCs/>
          <w:color w:val="1F3864"/>
        </w:rPr>
        <w:t xml:space="preserve">8. Conclusion and Future Work</w:t>
      </w:r>
    </w:p>
    <w:p>
      <w:pPr>
        <w:spacing w:after="160" w:line="276"/>
        <w:jc w:val="both"/>
      </w:pPr>
      <w:r>
        <w:rPr>
          <w:rFonts w:ascii="Calibri" w:cs="Calibri" w:eastAsia="Calibri" w:hAnsi="Calibri"/>
          <w:sz w:val="22"/>
          <w:szCs w:val="22"/>
        </w:rPr>
        <w:t xml:space="preserve">This project demonstrates that a leakage-safe, time-aware modelling pipeline can turn EduPro's raw transaction history into reliable month-ahead revenue forecasts at both the course and category level, with Ridge Regression explaining over 93% of revenue variance in both cases. Enrollment-count forecasting, however, remains an open problem with the current feature set, and the near-zero R² obtained here should be treated as a baseline rather than a finished result.</w:t>
      </w:r>
    </w:p>
    <w:p>
      <w:pPr>
        <w:spacing w:after="160" w:line="276"/>
        <w:jc w:val="both"/>
      </w:pPr>
      <w:r>
        <w:rPr>
          <w:rFonts w:ascii="Calibri" w:cs="Calibri" w:eastAsia="Calibri" w:hAnsi="Calibri"/>
          <w:sz w:val="22"/>
          <w:szCs w:val="22"/>
        </w:rPr>
        <w:t xml:space="preserve">Future improvements could include incorporating marketing and promotional activity, competitor pricing, calendar effects such as academic terms and holidays, user-level engagement signals (course views, cart abandonment), and cohort-based features that track how a course's enrollment trajectory evolves after launch. Testing sequence-aware models (e.g. gradient-boosted trees with explicit lag features, or a simple time-series model per course) may also help close the gap on enrollment demand.</w:t>
      </w:r>
    </w:p>
    <w:p>
      <w:pPr>
        <w:pStyle w:val="Heading1"/>
        <w:spacing w:after="180" w:before="360"/>
      </w:pPr>
      <w:r>
        <w:rPr>
          <w:rFonts w:ascii="Calibri" w:cs="Calibri" w:eastAsia="Calibri" w:hAnsi="Calibri"/>
          <w:b/>
          <w:bCs/>
          <w:color w:val="1F3864"/>
        </w:rPr>
        <w:t xml:space="preserve">References</w:t>
      </w:r>
    </w:p>
    <w:p>
      <w:pPr>
        <w:spacing w:after="160" w:line="276"/>
        <w:jc w:val="both"/>
      </w:pPr>
      <w:r>
        <w:rPr>
          <w:rFonts w:ascii="Calibri" w:cs="Calibri" w:eastAsia="Calibri" w:hAnsi="Calibri"/>
          <w:sz w:val="22"/>
          <w:szCs w:val="22"/>
        </w:rPr>
        <w:t xml:space="preserve">Pedregosa, F., et al. (2011). Scikit-learn: Machine Learning in Python. Journal of Machine Learning Research, 12, 2825–2830.</w:t>
      </w:r>
    </w:p>
    <w:p>
      <w:pPr>
        <w:spacing w:after="160" w:line="276"/>
        <w:jc w:val="both"/>
      </w:pPr>
      <w:r>
        <w:rPr>
          <w:rFonts w:ascii="Calibri" w:cs="Calibri" w:eastAsia="Calibri" w:hAnsi="Calibri"/>
          <w:sz w:val="22"/>
          <w:szCs w:val="22"/>
        </w:rPr>
        <w:t xml:space="preserve">Hoerl, A. E., &amp; Kennard, R. W. (1970). Ridge Regression: Biased Estimation for Nonorthogonal Problems. Technometrics, 12(1), 55–67.</w:t>
      </w:r>
    </w:p>
    <w:p>
      <w:pPr>
        <w:spacing w:after="160" w:line="276"/>
        <w:jc w:val="both"/>
      </w:pPr>
      <w:r>
        <w:rPr>
          <w:rFonts w:ascii="Calibri" w:cs="Calibri" w:eastAsia="Calibri" w:hAnsi="Calibri"/>
          <w:sz w:val="22"/>
          <w:szCs w:val="22"/>
        </w:rPr>
        <w:t xml:space="preserve">Breiman, L. (2001). Random Forests. Machine Learning, 45(1), 5–32.</w:t>
      </w:r>
    </w:p>
    <w:p>
      <w:pPr>
        <w:spacing w:after="160" w:line="276"/>
        <w:jc w:val="both"/>
      </w:pPr>
      <w:r>
        <w:rPr>
          <w:rFonts w:ascii="Calibri" w:cs="Calibri" w:eastAsia="Calibri" w:hAnsi="Calibri"/>
          <w:sz w:val="22"/>
          <w:szCs w:val="22"/>
        </w:rPr>
        <w:t xml:space="preserve">Friedman, J. H. (2001). Greedy Function Approximation: A Gradient Boosting Machine. Annals of Statistics, 29(5), 1189–1232.</w:t>
      </w:r>
    </w:p>
    <w:p>
      <w:pPr>
        <w:pStyle w:val="Heading1"/>
        <w:spacing w:after="180" w:before="360"/>
      </w:pPr>
      <w:r>
        <w:rPr>
          <w:rFonts w:ascii="Calibri" w:cs="Calibri" w:eastAsia="Calibri" w:hAnsi="Calibri"/>
          <w:b/>
          <w:bCs/>
          <w:color w:val="1F3864"/>
        </w:rPr>
        <w:t xml:space="preserve">Author</w:t>
      </w:r>
    </w:p>
    <w:p>
      <w:pPr>
        <w:spacing w:after="160" w:line="276"/>
        <w:jc w:val="both"/>
      </w:pPr>
      <w:r>
        <w:rPr>
          <w:rFonts w:ascii="Calibri" w:cs="Calibri" w:eastAsia="Calibri" w:hAnsi="Calibri"/>
          <w:sz w:val="22"/>
          <w:szCs w:val="22"/>
        </w:rPr>
        <w:t xml:space="preserve">Aman Jat — Data Analyst Intern, Unified Mentor. Project repository, deployed dashboard, and supporting notebook are referenced in the accompanying project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EduPro Predictive Intelligence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2026-08-24T01:28:51.495Z</dcterms:created>
  <dcterms:modified xsi:type="dcterms:W3CDTF">2026-08-24T01:28:51.507Z</dcterms:modified>
</cp:coreProperties>
</file>

<file path=docProps/custom.xml><?xml version="1.0" encoding="utf-8"?>
<Properties xmlns="http://schemas.openxmlformats.org/officeDocument/2006/custom-properties" xmlns:vt="http://schemas.openxmlformats.org/officeDocument/2006/docPropsVTypes"/>
</file>