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DOMAIN &amp; SEO DECISION RECORD</w:t>
      </w:r>
    </w:p>
    <w:p>
      <w:pPr>
        <w:jc w:val="center"/>
      </w:pPr>
      <w:r>
        <w:rPr>
          <w:b/>
          <w:sz w:val="26"/>
        </w:rPr>
        <w:t>Advocate Sunil Kumar — Primary Digital Identity</w:t>
      </w:r>
    </w:p>
    <w:p>
      <w:pPr>
        <w:jc w:val="center"/>
      </w:pPr>
      <w:r>
        <w:rPr>
          <w:i/>
        </w:rPr>
        <w:t>FINAL — Canonical domain aligned with SRS v1.0 and finalized URL architecture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Decision Status</w:t>
            </w:r>
          </w:p>
        </w:tc>
        <w:tc>
          <w:tcPr>
            <w:tcW w:type="dxa" w:w="5040"/>
          </w:tcPr>
          <w:p>
            <w:r>
              <w:t>FINAL</w:t>
            </w:r>
          </w:p>
        </w:tc>
      </w:tr>
      <w:tr>
        <w:tc>
          <w:tcPr>
            <w:tcW w:type="dxa" w:w="5040"/>
          </w:tcPr>
          <w:p>
            <w:r>
              <w:rPr>
                <w:b/>
              </w:rPr>
              <w:t>Canonical Domain</w:t>
            </w:r>
          </w:p>
        </w:tc>
        <w:tc>
          <w:tcPr>
            <w:tcW w:type="dxa" w:w="5040"/>
          </w:tcPr>
          <w:p>
            <w:r>
              <w:t>advsunilkumar.in</w:t>
            </w:r>
          </w:p>
        </w:tc>
      </w:tr>
      <w:tr>
        <w:tc>
          <w:tcPr>
            <w:tcW w:type="dxa" w:w="5040"/>
          </w:tcPr>
          <w:p>
            <w:r>
              <w:rPr>
                <w:b/>
              </w:rPr>
              <w:t>Canonical URL</w:t>
            </w:r>
          </w:p>
        </w:tc>
        <w:tc>
          <w:tcPr>
            <w:tcW w:type="dxa" w:w="5040"/>
          </w:tcPr>
          <w:p>
            <w:r>
              <w:t>https://advsunilkumar.in/</w:t>
            </w:r>
          </w:p>
        </w:tc>
      </w:tr>
      <w:tr>
        <w:tc>
          <w:tcPr>
            <w:tcW w:type="dxa" w:w="5040"/>
          </w:tcPr>
          <w:p>
            <w:r>
              <w:rPr>
                <w:b/>
              </w:rPr>
              <w:t>Primary Entity</w:t>
            </w:r>
          </w:p>
        </w:tc>
        <w:tc>
          <w:tcPr>
            <w:tcW w:type="dxa" w:w="5040"/>
          </w:tcPr>
          <w:p>
            <w:r>
              <w:t>Sunil Kumar (Advocate)</w:t>
            </w:r>
          </w:p>
        </w:tc>
      </w:tr>
    </w:tbl>
    <w:p>
      <w:pPr>
        <w:pStyle w:val="Heading1"/>
      </w:pPr>
      <w:r>
        <w:t>1. Purpose</w:t>
      </w:r>
    </w:p>
    <w:p>
      <w:r>
        <w:t>This record establishes the final domain and SEO identity for Advocate Sunil Kumar's professional website. It supersedes the earlier domain decision record that selected a different canonical domain. It is the authoritative reference for domain, branding, URL architecture, SEO and technical implementation.</w:t>
      </w:r>
    </w:p>
    <w:p>
      <w:r>
        <w:t>The final V1 decision is advsunilkumar.in, matching the Website SRS v1.0 and finalized URL architecture.</w:t>
      </w:r>
    </w:p>
    <w:p>
      <w:pPr>
        <w:pStyle w:val="Heading1"/>
      </w:pPr>
      <w:r>
        <w:t>2. Professional Identity</w:t>
      </w:r>
    </w:p>
    <w:p>
      <w:r>
        <w:t>The project identifies Sunil Kumar as the primary professional entity, with UPADHYAY &amp; ASSOCIATES as the associated practice identity. The supplied professional profile records practice since 2012, appearances before the Delhi High Court and District Courts across Delhi-NCR, and a chamber at Karkardooma Courts, Delhi.</w:t>
      </w:r>
    </w:p>
    <w:p>
      <w:r>
        <w:t>Documented practice areas include banking and recovery litigation, High Court and writ practice, civil, commercial and contractual matters, property matters, criminal / NI Act matters, arbitration, legal drafting, advisory and due diligence.</w:t>
      </w:r>
    </w:p>
    <w:p>
      <w:pPr>
        <w:pStyle w:val="Heading1"/>
      </w:pPr>
      <w:r>
        <w:t>3. Final Domain Decision</w:t>
      </w:r>
    </w:p>
    <w:tbl>
      <w:tblPr>
        <w:tblStyle w:val="TableGrid"/>
        <w:tblW w:type="auto" w:w="0"/>
        <w:tblLook w:firstColumn="1" w:firstRow="1" w:lastColumn="0" w:lastRow="0" w:noHBand="0" w:noVBand="1" w:val="04A0"/>
      </w:tblPr>
      <w:tblGrid>
        <w:gridCol w:w="5040"/>
        <w:gridCol w:w="5040"/>
      </w:tblGrid>
      <w:tr>
        <w:tc>
          <w:tcPr>
            <w:tcW w:type="dxa" w:w="5040"/>
          </w:tcPr>
          <w:p>
            <w:r>
              <w:rPr>
                <w:b/>
              </w:rPr>
              <w:t>Decision Item</w:t>
            </w:r>
          </w:p>
        </w:tc>
        <w:tc>
          <w:tcPr>
            <w:tcW w:type="dxa" w:w="5040"/>
          </w:tcPr>
          <w:p>
            <w:r>
              <w:rPr>
                <w:b/>
              </w:rPr>
              <w:t>Final Decision</w:t>
            </w:r>
          </w:p>
        </w:tc>
      </w:tr>
      <w:tr>
        <w:tc>
          <w:tcPr>
            <w:tcW w:type="dxa" w:w="5040"/>
          </w:tcPr>
          <w:p>
            <w:r>
              <w:t>Primary / canonical domain</w:t>
            </w:r>
          </w:p>
        </w:tc>
        <w:tc>
          <w:tcPr>
            <w:tcW w:type="dxa" w:w="5040"/>
          </w:tcPr>
          <w:p>
            <w:r>
              <w:t>advsunilkumar.in</w:t>
            </w:r>
          </w:p>
        </w:tc>
      </w:tr>
      <w:tr>
        <w:tc>
          <w:tcPr>
            <w:tcW w:type="dxa" w:w="5040"/>
          </w:tcPr>
          <w:p>
            <w:r>
              <w:t>Canonical URL</w:t>
            </w:r>
          </w:p>
        </w:tc>
        <w:tc>
          <w:tcPr>
            <w:tcW w:type="dxa" w:w="5040"/>
          </w:tcPr>
          <w:p>
            <w:r>
              <w:t>https://advsunilkumar.in/</w:t>
            </w:r>
          </w:p>
        </w:tc>
      </w:tr>
      <w:tr>
        <w:tc>
          <w:tcPr>
            <w:tcW w:type="dxa" w:w="5040"/>
          </w:tcPr>
          <w:p>
            <w:r>
              <w:t>Brand presentation</w:t>
            </w:r>
          </w:p>
        </w:tc>
        <w:tc>
          <w:tcPr>
            <w:tcW w:type="dxa" w:w="5040"/>
          </w:tcPr>
          <w:p>
            <w:r>
              <w:t>Advocate Sunil Kumar</w:t>
            </w:r>
          </w:p>
        </w:tc>
      </w:tr>
      <w:tr>
        <w:tc>
          <w:tcPr>
            <w:tcW w:type="dxa" w:w="5040"/>
          </w:tcPr>
          <w:p>
            <w:r>
              <w:t>Primary entity</w:t>
            </w:r>
          </w:p>
        </w:tc>
        <w:tc>
          <w:tcPr>
            <w:tcW w:type="dxa" w:w="5040"/>
          </w:tcPr>
          <w:p>
            <w:r>
              <w:t>Sunil Kumar (Advocate)</w:t>
            </w:r>
          </w:p>
        </w:tc>
      </w:tr>
      <w:tr>
        <w:tc>
          <w:tcPr>
            <w:tcW w:type="dxa" w:w="5040"/>
          </w:tcPr>
          <w:p>
            <w:r>
              <w:t>Associated practice identity</w:t>
            </w:r>
          </w:p>
        </w:tc>
        <w:tc>
          <w:tcPr>
            <w:tcW w:type="dxa" w:w="5040"/>
          </w:tcPr>
          <w:p>
            <w:r>
              <w:t>UPADHYAY &amp; ASSOCIATES</w:t>
            </w:r>
          </w:p>
        </w:tc>
      </w:tr>
      <w:tr>
        <w:tc>
          <w:tcPr>
            <w:tcW w:type="dxa" w:w="5040"/>
          </w:tcPr>
          <w:p>
            <w:r>
              <w:t>Primary geographic relevance</w:t>
            </w:r>
          </w:p>
        </w:tc>
        <w:tc>
          <w:tcPr>
            <w:tcW w:type="dxa" w:w="5040"/>
          </w:tcPr>
          <w:p>
            <w:r>
              <w:t>Delhi / Delhi-NCR</w:t>
            </w:r>
          </w:p>
        </w:tc>
      </w:tr>
      <w:tr>
        <w:tc>
          <w:tcPr>
            <w:tcW w:type="dxa" w:w="5040"/>
          </w:tcPr>
          <w:p>
            <w:r>
              <w:t>Documented chamber location</w:t>
            </w:r>
          </w:p>
        </w:tc>
        <w:tc>
          <w:tcPr>
            <w:tcW w:type="dxa" w:w="5040"/>
          </w:tcPr>
          <w:p>
            <w:r>
              <w:t>Karkardooma Courts, Delhi</w:t>
            </w:r>
          </w:p>
        </w:tc>
      </w:tr>
      <w:tr>
        <w:tc>
          <w:tcPr>
            <w:tcW w:type="dxa" w:w="5040"/>
          </w:tcPr>
          <w:p>
            <w:r>
              <w:t>Website role</w:t>
            </w:r>
          </w:p>
        </w:tc>
        <w:tc>
          <w:tcPr>
            <w:tcW w:type="dxa" w:w="5040"/>
          </w:tcPr>
          <w:p>
            <w:r>
              <w:t>Canonical owned professional web property</w:t>
            </w:r>
          </w:p>
        </w:tc>
      </w:tr>
    </w:tbl>
    <w:p>
      <w:pPr>
        <w:pStyle w:val="Heading1"/>
      </w:pPr>
      <w:r>
        <w:t>4. Resolution of Previous Domain Inconsistency</w:t>
      </w:r>
    </w:p>
    <w:p>
      <w:r>
        <w:t>An earlier Domain &amp; SEO Decision Record identified sunilkumaradvocate.in as the canonical domain. That decision is now superseded.</w:t>
      </w:r>
    </w:p>
    <w:p>
      <w:r>
        <w:t>The authoritative V1 documentation establishes advsunilkumar.in: the Website SRS v1.0 defines it as the canonical domain, and the finalized URL architecture identifies the same domain as the canonical website.</w:t>
      </w:r>
    </w:p>
    <w:p>
      <w:r>
        <w:t>Therefore, all project documentation and implementation should use advsunilkumar.in as the single canonical domain. sunilkumaradvocate.in must not be treated as the canonical website.</w:t>
      </w:r>
    </w:p>
    <w:p>
      <w:pPr>
        <w:pStyle w:val="Heading1"/>
      </w:pPr>
      <w:r>
        <w:t>5. Basis for the Final Decision</w:t>
      </w:r>
    </w:p>
    <w:p>
      <w:pPr>
        <w:pStyle w:val="ListBullet"/>
      </w:pPr>
      <w:r>
        <w:t>It is the domain specified by the finalized Website SRS v1.0.</w:t>
      </w:r>
    </w:p>
    <w:p>
      <w:pPr>
        <w:pStyle w:val="ListBullet"/>
      </w:pPr>
      <w:r>
        <w:t>It is the domain specified by the finalized URL architecture.</w:t>
      </w:r>
    </w:p>
    <w:p>
      <w:pPr>
        <w:pStyle w:val="ListBullet"/>
      </w:pPr>
      <w:r>
        <w:t>It provides a concise professional identity combining 'Adv.' with 'Sunil Kumar'.</w:t>
      </w:r>
    </w:p>
    <w:p>
      <w:pPr>
        <w:pStyle w:val="ListBullet"/>
      </w:pPr>
      <w:r>
        <w:t>It supports the person-first professional identity used throughout the website architecture.</w:t>
      </w:r>
    </w:p>
    <w:p>
      <w:pPr>
        <w:pStyle w:val="ListBullet"/>
      </w:pPr>
      <w:r>
        <w:t>The website is intended to function as the canonical owned web property for Advocate Sunil Kumar.</w:t>
      </w:r>
    </w:p>
    <w:p>
      <w:pPr>
        <w:pStyle w:val="ListBullet"/>
      </w:pPr>
      <w:r>
        <w:t>The domain is an identity and architecture decision, not a guarantee of search rankings.</w:t>
      </w:r>
    </w:p>
    <w:p>
      <w:pPr>
        <w:pStyle w:val="Heading1"/>
      </w:pPr>
      <w:r>
        <w:t>6. Alternative Domain Handling</w:t>
      </w:r>
    </w:p>
    <w:p>
      <w:r>
        <w:t>Any additional domain may be acquired for defensive or branding purposes if appropriate, but it must not host duplicate SEO content. It should normally redirect to advsunilkumar.in, with one authoritative URL for each substantive page.</w:t>
      </w:r>
    </w:p>
    <w:p>
      <w:pPr>
        <w:pStyle w:val="Heading1"/>
      </w:pPr>
      <w:r>
        <w:t>7. SEO Strategy</w:t>
      </w:r>
    </w:p>
    <w:p>
      <w:pPr>
        <w:pStyle w:val="ListBullet"/>
      </w:pPr>
      <w:r>
        <w:t>Canonical website: https://advsunilkumar.in/</w:t>
      </w:r>
    </w:p>
    <w:p>
      <w:pPr>
        <w:pStyle w:val="ListBullet"/>
      </w:pPr>
      <w:r>
        <w:t>Primary entity wording: Sunil Kumar, Advocate, Delhi.</w:t>
      </w:r>
    </w:p>
    <w:p>
      <w:pPr>
        <w:pStyle w:val="ListBullet"/>
      </w:pPr>
      <w:r>
        <w:t>Geographic relevance: Delhi / Delhi-NCR.</w:t>
      </w:r>
    </w:p>
    <w:p>
      <w:pPr>
        <w:pStyle w:val="ListBullet"/>
      </w:pPr>
      <w:r>
        <w:t>Use documented court and Karkardooma chamber context accurately.</w:t>
      </w:r>
    </w:p>
    <w:p>
      <w:pPr>
        <w:pStyle w:val="ListBullet"/>
      </w:pPr>
      <w:r>
        <w:t>Create useful, substantive pages aligned with genuine search intent.</w:t>
      </w:r>
    </w:p>
    <w:p>
      <w:pPr>
        <w:pStyle w:val="ListBullet"/>
      </w:pPr>
      <w:r>
        <w:t>Use readable, stable and semantically meaningful URLs.</w:t>
      </w:r>
    </w:p>
    <w:p>
      <w:pPr>
        <w:pStyle w:val="ListBullet"/>
      </w:pPr>
      <w:r>
        <w:t>Connect profile, practice, court and insight pages through logical internal linking.</w:t>
      </w:r>
    </w:p>
    <w:p>
      <w:pPr>
        <w:pStyle w:val="ListBullet"/>
      </w:pPr>
      <w:r>
        <w:t>Implement canonical URLs, unique titles, useful descriptions, correct headings, XML sitemap, intentional robots.txt, Open Graph metadata and appropriate structured data.</w:t>
      </w:r>
    </w:p>
    <w:p>
      <w:pPr>
        <w:pStyle w:val="ListBullet"/>
      </w:pPr>
      <w:r>
        <w:t>Use Google Search Console for search-performance and indexing measurement.</w:t>
      </w:r>
    </w:p>
    <w:p>
      <w:pPr>
        <w:pStyle w:val="ListBullet"/>
      </w:pPr>
      <w:r>
        <w:t>Avoid keyword stuffing and near-duplicate pages.</w:t>
      </w:r>
    </w:p>
    <w:p>
      <w:pPr>
        <w:pStyle w:val="Heading1"/>
      </w:pPr>
      <w:r>
        <w:t>8. Target Search-Intent Framework</w:t>
      </w:r>
    </w:p>
    <w:tbl>
      <w:tblPr>
        <w:tblStyle w:val="TableGrid"/>
        <w:tblW w:type="auto" w:w="0"/>
        <w:tblLook w:firstColumn="1" w:firstRow="1" w:lastColumn="0" w:lastRow="0" w:noHBand="0" w:noVBand="1" w:val="04A0"/>
      </w:tblPr>
      <w:tblGrid>
        <w:gridCol w:w="5040"/>
        <w:gridCol w:w="5040"/>
      </w:tblGrid>
      <w:tr>
        <w:tc>
          <w:tcPr>
            <w:tcW w:type="dxa" w:w="5040"/>
          </w:tcPr>
          <w:p>
            <w:r>
              <w:rPr>
                <w:b/>
              </w:rPr>
              <w:t>Query Class</w:t>
            </w:r>
          </w:p>
        </w:tc>
        <w:tc>
          <w:tcPr>
            <w:tcW w:type="dxa" w:w="5040"/>
          </w:tcPr>
          <w:p>
            <w:r>
              <w:rPr>
                <w:b/>
              </w:rPr>
              <w:t>Representative Queries</w:t>
            </w:r>
          </w:p>
        </w:tc>
      </w:tr>
      <w:tr>
        <w:tc>
          <w:tcPr>
            <w:tcW w:type="dxa" w:w="5040"/>
          </w:tcPr>
          <w:p>
            <w:r>
              <w:t>Core identity</w:t>
            </w:r>
          </w:p>
        </w:tc>
        <w:tc>
          <w:tcPr>
            <w:tcW w:type="dxa" w:w="5040"/>
          </w:tcPr>
          <w:p>
            <w:r>
              <w:t>Sunil Kumar Advocate; Advocate Sunil Kumar</w:t>
            </w:r>
          </w:p>
        </w:tc>
      </w:tr>
      <w:tr>
        <w:tc>
          <w:tcPr>
            <w:tcW w:type="dxa" w:w="5040"/>
          </w:tcPr>
          <w:p>
            <w:r>
              <w:t>Identity + geography</w:t>
            </w:r>
          </w:p>
        </w:tc>
        <w:tc>
          <w:tcPr>
            <w:tcW w:type="dxa" w:w="5040"/>
          </w:tcPr>
          <w:p>
            <w:r>
              <w:t>Sunil Kumar Advocate Delhi; Sunil Kumar Advocate Delhi-NCR</w:t>
            </w:r>
          </w:p>
        </w:tc>
      </w:tr>
      <w:tr>
        <w:tc>
          <w:tcPr>
            <w:tcW w:type="dxa" w:w="5040"/>
          </w:tcPr>
          <w:p>
            <w:r>
              <w:t>Identity + chamber</w:t>
            </w:r>
          </w:p>
        </w:tc>
        <w:tc>
          <w:tcPr>
            <w:tcW w:type="dxa" w:w="5040"/>
          </w:tcPr>
          <w:p>
            <w:r>
              <w:t>Sunil Kumar Advocate Karkardooma</w:t>
            </w:r>
          </w:p>
        </w:tc>
      </w:tr>
      <w:tr>
        <w:tc>
          <w:tcPr>
            <w:tcW w:type="dxa" w:w="5040"/>
          </w:tcPr>
          <w:p>
            <w:r>
              <w:t>Identity + court</w:t>
            </w:r>
          </w:p>
        </w:tc>
        <w:tc>
          <w:tcPr>
            <w:tcW w:type="dxa" w:w="5040"/>
          </w:tcPr>
          <w:p>
            <w:r>
              <w:t>Sunil Kumar Advocate Delhi High Court; Sunil Kumar Advocate Karkardooma Courts</w:t>
            </w:r>
          </w:p>
        </w:tc>
      </w:tr>
      <w:tr>
        <w:tc>
          <w:tcPr>
            <w:tcW w:type="dxa" w:w="5040"/>
          </w:tcPr>
          <w:p>
            <w:r>
              <w:t>Identity + practice</w:t>
            </w:r>
          </w:p>
        </w:tc>
        <w:tc>
          <w:tcPr>
            <w:tcW w:type="dxa" w:w="5040"/>
          </w:tcPr>
          <w:p>
            <w:r>
              <w:t>Sunil Kumar Advocate banking recovery; Sunil Kumar Advocate civil commercial litigation</w:t>
            </w:r>
          </w:p>
        </w:tc>
      </w:tr>
      <w:tr>
        <w:tc>
          <w:tcPr>
            <w:tcW w:type="dxa" w:w="5040"/>
          </w:tcPr>
          <w:p>
            <w:r>
              <w:t>Firm association</w:t>
            </w:r>
          </w:p>
        </w:tc>
        <w:tc>
          <w:tcPr>
            <w:tcW w:type="dxa" w:w="5040"/>
          </w:tcPr>
          <w:p>
            <w:r>
              <w:t>Sunil Kumar Upadhyay &amp; Associates; Upadhyay &amp; Associates Advocate Delhi</w:t>
            </w:r>
          </w:p>
        </w:tc>
      </w:tr>
    </w:tbl>
    <w:p>
      <w:pPr>
        <w:pStyle w:val="Heading1"/>
      </w:pPr>
      <w:r>
        <w:t>9. Canonical URL Architecture</w:t>
      </w:r>
    </w:p>
    <w:p>
      <w:r>
        <w:t>The production website will use advsunilkumar.in as its canonical host. Public URLs should remain stable unless a documented architectural or content reason requires a change.</w:t>
      </w:r>
    </w:p>
    <w:p>
      <w:pPr>
        <w:pStyle w:val="ListBullet"/>
      </w:pPr>
      <w:r>
        <w:t>/</w:t>
      </w:r>
    </w:p>
    <w:p>
      <w:pPr>
        <w:pStyle w:val="ListBullet"/>
      </w:pPr>
      <w:r>
        <w:t>/about/</w:t>
      </w:r>
    </w:p>
    <w:p>
      <w:pPr>
        <w:pStyle w:val="ListBullet"/>
      </w:pPr>
      <w:r>
        <w:t>/practice-areas/</w:t>
      </w:r>
    </w:p>
    <w:p>
      <w:pPr>
        <w:pStyle w:val="ListBullet"/>
      </w:pPr>
      <w:r>
        <w:t>/practice-areas/banking-recovery/</w:t>
      </w:r>
    </w:p>
    <w:p>
      <w:pPr>
        <w:pStyle w:val="ListBullet"/>
      </w:pPr>
      <w:r>
        <w:t>/practice-areas/high-court-writ/</w:t>
      </w:r>
    </w:p>
    <w:p>
      <w:pPr>
        <w:pStyle w:val="ListBullet"/>
      </w:pPr>
      <w:r>
        <w:t>/practice-areas/civil-commercial/</w:t>
      </w:r>
    </w:p>
    <w:p>
      <w:pPr>
        <w:pStyle w:val="ListBullet"/>
      </w:pPr>
      <w:r>
        <w:t>/practice-areas/property/</w:t>
      </w:r>
    </w:p>
    <w:p>
      <w:pPr>
        <w:pStyle w:val="ListBullet"/>
      </w:pPr>
      <w:r>
        <w:t>/practice-areas/criminal-ni-act/</w:t>
      </w:r>
    </w:p>
    <w:p>
      <w:pPr>
        <w:pStyle w:val="ListBullet"/>
      </w:pPr>
      <w:r>
        <w:t>/practice-areas/arbitration/</w:t>
      </w:r>
    </w:p>
    <w:p>
      <w:pPr>
        <w:pStyle w:val="ListBullet"/>
      </w:pPr>
      <w:r>
        <w:t>/practice-areas/legal-drafting-advisory/</w:t>
      </w:r>
    </w:p>
    <w:p>
      <w:pPr>
        <w:pStyle w:val="ListBullet"/>
      </w:pPr>
      <w:r>
        <w:t>/courts/</w:t>
      </w:r>
    </w:p>
    <w:p>
      <w:pPr>
        <w:pStyle w:val="ListBullet"/>
      </w:pPr>
      <w:r>
        <w:t>/featured/</w:t>
      </w:r>
    </w:p>
    <w:p>
      <w:pPr>
        <w:pStyle w:val="ListBullet"/>
      </w:pPr>
      <w:r>
        <w:t>/insights/</w:t>
      </w:r>
    </w:p>
    <w:p>
      <w:pPr>
        <w:pStyle w:val="ListBullet"/>
      </w:pPr>
      <w:r>
        <w:t>/contact/</w:t>
      </w:r>
    </w:p>
    <w:p>
      <w:pPr>
        <w:pStyle w:val="Heading1"/>
      </w:pPr>
      <w:r>
        <w:t>10. Launch Verification Checklist</w:t>
      </w:r>
    </w:p>
    <w:p>
      <w:pPr>
        <w:pStyle w:val="ListBullet"/>
      </w:pPr>
      <w:r>
        <w:t>Register and maintain the canonical domain in the client's controlled account.</w:t>
      </w:r>
    </w:p>
    <w:p>
      <w:pPr>
        <w:pStyle w:val="ListBullet"/>
      </w:pPr>
      <w:r>
        <w:t>Choose and enforce one preferred host format (www or non-www).</w:t>
      </w:r>
    </w:p>
    <w:p>
      <w:pPr>
        <w:pStyle w:val="ListBullet"/>
      </w:pPr>
      <w:r>
        <w:t>Enable HTTPS and verify the production URL.</w:t>
      </w:r>
    </w:p>
    <w:p>
      <w:pPr>
        <w:pStyle w:val="ListBullet"/>
      </w:pPr>
      <w:r>
        <w:t>Redirect any additional domain to the canonical domain.</w:t>
      </w:r>
    </w:p>
    <w:p>
      <w:pPr>
        <w:pStyle w:val="ListBullet"/>
      </w:pPr>
      <w:r>
        <w:t>Configure professional email using the canonical domain when ready.</w:t>
      </w:r>
    </w:p>
    <w:p>
      <w:pPr>
        <w:pStyle w:val="ListBullet"/>
      </w:pPr>
      <w:r>
        <w:t>Verify canonical tags, titles, descriptions, Open Graph metadata and structured data.</w:t>
      </w:r>
    </w:p>
    <w:p>
      <w:pPr>
        <w:pStyle w:val="ListBullet"/>
      </w:pPr>
      <w:r>
        <w:t>Generate and expose XML sitemap; configure robots.txt intentionally.</w:t>
      </w:r>
    </w:p>
    <w:p>
      <w:pPr>
        <w:pStyle w:val="ListBullet"/>
      </w:pPr>
      <w:r>
        <w:t>Connect Google Search Console.</w:t>
      </w:r>
    </w:p>
    <w:p>
      <w:pPr>
        <w:pStyle w:val="ListBullet"/>
      </w:pPr>
      <w:r>
        <w:t>Verify internal links and stable public URLs.</w:t>
      </w:r>
    </w:p>
    <w:p>
      <w:pPr>
        <w:pStyle w:val="ListBullet"/>
      </w:pPr>
      <w:r>
        <w:t>Ensure development noindex directives are absent from production.</w:t>
      </w:r>
    </w:p>
    <w:p>
      <w:pPr>
        <w:pStyle w:val="Heading1"/>
      </w:pPr>
      <w:r>
        <w:t>11. Decision Governance</w:t>
      </w:r>
    </w:p>
    <w:p>
      <w:r>
        <w:t>This is the final V1 domain decision. Any future canonical-domain change is a material identity and SEO change and must be documented before implementation. Such a change must also be reflected consistently in the SRS, URL architecture, canonical tags, sitemap, robots configuration, structured data, Open Graph metadata, deployment configuration, professional email and external profile references.</w:t>
      </w:r>
    </w:p>
    <w:p>
      <w:pPr>
        <w:pStyle w:val="Heading1"/>
      </w:pPr>
      <w:r>
        <w:t>12. Final Decision Statement</w:t>
      </w:r>
    </w:p>
    <w:p>
      <w:r>
        <w:rPr>
          <w:b/>
        </w:rPr>
        <w:t>FINAL CANONICAL DOMAIN: advsunilkumar.in</w:t>
      </w:r>
    </w:p>
    <w:p>
      <w:r>
        <w:t>The V1 website will use a person-first digital identity for Advocate Sunil Kumar, with UPADHYAY &amp; ASSOCIATES represented as the associated practice identity. advsunilkumar.in is the single canonical domain and should be used consistently across implementation and SEO.</w:t>
      </w:r>
    </w:p>
    <w:p>
      <w:r>
        <w:t>This document supersedes the earlier Domain &amp; SEO Decision Record that selected sunilkumaradvocate.in.</w:t>
      </w:r>
    </w:p>
    <w:p>
      <w:pPr>
        <w:pStyle w:val="Heading1"/>
      </w:pPr>
      <w:r>
        <w:t>13. Source Basis</w:t>
      </w:r>
    </w:p>
    <w:p>
      <w:pPr>
        <w:pStyle w:val="ListBullet"/>
      </w:pPr>
      <w:r>
        <w:t>Adv. Sunil Kumar — Website SRS v1.0, dated 18 September 2026.</w:t>
      </w:r>
    </w:p>
    <w:p>
      <w:pPr>
        <w:pStyle w:val="ListBullet"/>
      </w:pPr>
      <w:r>
        <w:t>Finalized URL architecture.</w:t>
      </w:r>
    </w:p>
    <w:p>
      <w:pPr>
        <w:pStyle w:val="ListBullet"/>
      </w:pPr>
      <w:r>
        <w:t>Finalized sitemap and page-content architecture.</w:t>
      </w:r>
    </w:p>
    <w:p>
      <w:pPr>
        <w:pStyle w:val="ListBullet"/>
      </w:pPr>
      <w:r>
        <w:t>Professional profile / source information supplied for the project.</w:t>
      </w:r>
    </w:p>
    <w:p>
      <w:pPr>
        <w:pStyle w:val="ListBullet"/>
      </w:pPr>
      <w:r>
        <w:t>This revision resolves the domain inconsistency by adopting the domain established in the SRS and finalized URL architecture.</w:t>
      </w:r>
    </w:p>
    <w:p>
      <w:pPr>
        <w:jc w:val="center"/>
      </w:pPr>
      <w:r>
        <w:rPr>
          <w:b/>
        </w:rPr>
        <w:t>Document status: FINAL — V2.0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