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DOMAIN &amp; SEO DECISION RECORD</w:t>
      </w:r>
    </w:p>
    <w:p>
      <w:pPr>
        <w:jc w:val="center"/>
      </w:pPr>
      <w:r>
        <w:rPr>
          <w:b/>
          <w:sz w:val="28"/>
        </w:rPr>
        <w:t>Advocate Sunil Kumar — Primary Digital Identity</w:t>
      </w:r>
    </w:p>
    <w:p>
      <w:pPr>
        <w:jc w:val="center"/>
      </w:pPr>
      <w:r>
        <w:rPr>
          <w:b/>
          <w:sz w:val="24"/>
        </w:rPr>
        <w:t>Canonical domain selected: sunilkumaradvocate.in</w:t>
      </w:r>
    </w:p>
    <w:p>
      <w:pPr>
        <w:pStyle w:val="Subtitle"/>
      </w:pPr>
      <w:r>
        <w:t>Decision status: FINAL — domain selection approved for website implementation.</w:t>
      </w:r>
    </w:p>
    <w:p>
      <w:pPr>
        <w:pStyle w:val="Heading1"/>
      </w:pPr>
      <w:r>
        <w:t>1. Purpose of this document</w:t>
      </w:r>
    </w:p>
    <w:p>
      <w:r>
        <w:t>This document records the reasoning and decision process used to select the primary domain for Advocate Sunil Kumar's professional website. It is intended to prevent the domain decision from being revisited without new evidence and to provide a reference for the website, SEO, content, and technical implementation.</w:t>
      </w:r>
    </w:p>
    <w:p>
      <w:pPr>
        <w:pStyle w:val="Heading1"/>
      </w:pPr>
      <w:r>
        <w:t>2. Professional identity used for the decision</w:t>
      </w:r>
    </w:p>
    <w:p>
      <w:r>
        <w:t>The supplied professional profile identifies SUNIL KUMAR as an Advocate, with UPADHYAY &amp; ASSOCIATES as the associated firm/practice identity. It states that he has practiced since 2012, appears before the High Court of Delhi and District Courts across Delhi-NCR, and has a chamber at F-67, Lawyers Chamber Block, First Floor, Karkardooma Courts, Delhi – 110032.</w:t>
      </w:r>
    </w:p>
    <w:p>
      <w:r>
        <w:t>The profile documents banking and recovery litigation, High Court and writ practice, civil, commercial and contractual matters, property matters, drafting, legal advisory and due diligence. These facts support a person-first digital identity built around 'Sunil Kumar' plus the professional descriptor 'Advocate'.</w:t>
      </w:r>
    </w:p>
    <w:p>
      <w:pPr>
        <w:pStyle w:val="Heading1"/>
      </w:pPr>
      <w:r>
        <w:t>3. Final domain decision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DE7E2"/>
          </w:tcPr>
          <w:p>
            <w:r/>
            <w:r>
              <w:rPr>
                <w:b/>
                <w:sz w:val="18"/>
              </w:rPr>
              <w:t>Decision item</w:t>
            </w:r>
          </w:p>
        </w:tc>
        <w:tc>
          <w:tcPr>
            <w:tcW w:type="dxa" w:w="5040"/>
            <w:vAlign w:val="center"/>
            <w:shd w:fill="EDE7E2"/>
          </w:tcPr>
          <w:p>
            <w:r/>
            <w:r>
              <w:rPr>
                <w:b/>
                <w:sz w:val="18"/>
              </w:rPr>
              <w:t>Final decision</w:t>
            </w:r>
          </w:p>
        </w:tc>
      </w:tr>
      <w:tr>
        <w:tc>
          <w:tcPr>
            <w:tcW w:type="dxa" w:w="5040"/>
            <w:vAlign w:val="center"/>
          </w:tcPr>
          <w:p>
            <w:r/>
            <w:r>
              <w:rPr>
                <w:b/>
                <w:sz w:val="18"/>
              </w:rPr>
              <w:t>Primary / canonical domain</w:t>
            </w:r>
          </w:p>
        </w:tc>
        <w:tc>
          <w:tcPr>
            <w:tcW w:type="dxa" w:w="5040"/>
            <w:vAlign w:val="center"/>
          </w:tcPr>
          <w:p>
            <w:r/>
            <w:r>
              <w:rPr>
                <w:b w:val="0"/>
                <w:sz w:val="18"/>
              </w:rPr>
              <w:t>sunilkumaradvocate.in</w:t>
            </w:r>
          </w:p>
        </w:tc>
      </w:tr>
      <w:tr>
        <w:tc>
          <w:tcPr>
            <w:tcW w:type="dxa" w:w="5040"/>
            <w:vAlign w:val="center"/>
          </w:tcPr>
          <w:p>
            <w:r/>
            <w:r>
              <w:rPr>
                <w:b/>
                <w:sz w:val="18"/>
              </w:rPr>
              <w:t>Brand presentation</w:t>
            </w:r>
          </w:p>
        </w:tc>
        <w:tc>
          <w:tcPr>
            <w:tcW w:type="dxa" w:w="5040"/>
            <w:vAlign w:val="center"/>
          </w:tcPr>
          <w:p>
            <w:r/>
            <w:r>
              <w:rPr>
                <w:b w:val="0"/>
                <w:sz w:val="18"/>
              </w:rPr>
              <w:t>Advocate Sunil Kumar</w:t>
            </w:r>
          </w:p>
        </w:tc>
      </w:tr>
      <w:tr>
        <w:tc>
          <w:tcPr>
            <w:tcW w:type="dxa" w:w="5040"/>
            <w:vAlign w:val="center"/>
          </w:tcPr>
          <w:p>
            <w:r/>
            <w:r>
              <w:rPr>
                <w:b/>
                <w:sz w:val="18"/>
              </w:rPr>
              <w:t>Primary entity</w:t>
            </w:r>
          </w:p>
        </w:tc>
        <w:tc>
          <w:tcPr>
            <w:tcW w:type="dxa" w:w="5040"/>
            <w:vAlign w:val="center"/>
          </w:tcPr>
          <w:p>
            <w:r/>
            <w:r>
              <w:rPr>
                <w:b w:val="0"/>
                <w:sz w:val="18"/>
              </w:rPr>
              <w:t>Sunil Kumar (Advocate)</w:t>
            </w:r>
          </w:p>
        </w:tc>
      </w:tr>
      <w:tr>
        <w:tc>
          <w:tcPr>
            <w:tcW w:type="dxa" w:w="5040"/>
            <w:vAlign w:val="center"/>
          </w:tcPr>
          <w:p>
            <w:r/>
            <w:r>
              <w:rPr>
                <w:b/>
                <w:sz w:val="18"/>
              </w:rPr>
              <w:t>Associated practice identity</w:t>
            </w:r>
          </w:p>
        </w:tc>
        <w:tc>
          <w:tcPr>
            <w:tcW w:type="dxa" w:w="5040"/>
            <w:vAlign w:val="center"/>
          </w:tcPr>
          <w:p>
            <w:r/>
            <w:r>
              <w:rPr>
                <w:b w:val="0"/>
                <w:sz w:val="18"/>
              </w:rPr>
              <w:t>UPADHYAY &amp; ASSOCIATES</w:t>
            </w:r>
          </w:p>
        </w:tc>
      </w:tr>
      <w:tr>
        <w:tc>
          <w:tcPr>
            <w:tcW w:type="dxa" w:w="5040"/>
            <w:vAlign w:val="center"/>
          </w:tcPr>
          <w:p>
            <w:r/>
            <w:r>
              <w:rPr>
                <w:b/>
                <w:sz w:val="18"/>
              </w:rPr>
              <w:t>Primary geographic relevance</w:t>
            </w:r>
          </w:p>
        </w:tc>
        <w:tc>
          <w:tcPr>
            <w:tcW w:type="dxa" w:w="5040"/>
            <w:vAlign w:val="center"/>
          </w:tcPr>
          <w:p>
            <w:r/>
            <w:r>
              <w:rPr>
                <w:b w:val="0"/>
                <w:sz w:val="18"/>
              </w:rPr>
              <w:t>Delhi / Delhi-NCR</w:t>
            </w:r>
          </w:p>
        </w:tc>
      </w:tr>
      <w:tr>
        <w:tc>
          <w:tcPr>
            <w:tcW w:type="dxa" w:w="5040"/>
            <w:vAlign w:val="center"/>
          </w:tcPr>
          <w:p>
            <w:r/>
            <w:r>
              <w:rPr>
                <w:b/>
                <w:sz w:val="18"/>
              </w:rPr>
              <w:t>Documented chamber location</w:t>
            </w:r>
          </w:p>
        </w:tc>
        <w:tc>
          <w:tcPr>
            <w:tcW w:type="dxa" w:w="5040"/>
            <w:vAlign w:val="center"/>
          </w:tcPr>
          <w:p>
            <w:r/>
            <w:r>
              <w:rPr>
                <w:b w:val="0"/>
                <w:sz w:val="18"/>
              </w:rPr>
              <w:t>Karkardooma Courts, Delhi</w:t>
            </w:r>
          </w:p>
        </w:tc>
      </w:tr>
    </w:tbl>
    <w:p>
      <w:pPr>
        <w:pStyle w:val="Heading1"/>
      </w:pPr>
      <w:r>
        <w:t>4. Final contenders considered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DE7E2"/>
          </w:tcPr>
          <w:p>
            <w:r/>
            <w:r>
              <w:rPr>
                <w:b/>
                <w:sz w:val="18"/>
              </w:rPr>
              <w:t>Domain</w:t>
            </w:r>
          </w:p>
        </w:tc>
        <w:tc>
          <w:tcPr>
            <w:tcW w:type="dxa" w:w="2520"/>
            <w:vAlign w:val="center"/>
            <w:shd w:fill="EDE7E2"/>
          </w:tcPr>
          <w:p>
            <w:r/>
            <w:r>
              <w:rPr>
                <w:b/>
                <w:sz w:val="18"/>
              </w:rPr>
              <w:t>Keyword clarity</w:t>
            </w:r>
          </w:p>
        </w:tc>
        <w:tc>
          <w:tcPr>
            <w:tcW w:type="dxa" w:w="2520"/>
            <w:vAlign w:val="center"/>
            <w:shd w:fill="EDE7E2"/>
          </w:tcPr>
          <w:p>
            <w:r/>
            <w:r>
              <w:rPr>
                <w:b/>
                <w:sz w:val="18"/>
              </w:rPr>
              <w:t>Brand / usability</w:t>
            </w:r>
          </w:p>
        </w:tc>
        <w:tc>
          <w:tcPr>
            <w:tcW w:type="dxa" w:w="2520"/>
            <w:vAlign w:val="center"/>
            <w:shd w:fill="EDE7E2"/>
          </w:tcPr>
          <w:p>
            <w:r/>
            <w:r>
              <w:rPr>
                <w:b/>
                <w:sz w:val="18"/>
              </w:rPr>
              <w:t>Decision</w:t>
            </w:r>
          </w:p>
        </w:tc>
      </w:tr>
      <w:tr>
        <w:tc>
          <w:tcPr>
            <w:tcW w:type="dxa" w:w="2520"/>
            <w:vAlign w:val="center"/>
          </w:tcPr>
          <w:p>
            <w:r/>
            <w:r>
              <w:rPr>
                <w:b w:val="0"/>
                <w:sz w:val="18"/>
              </w:rPr>
              <w:t>sunilkumaradvocate.in</w:t>
            </w:r>
          </w:p>
        </w:tc>
        <w:tc>
          <w:tcPr>
            <w:tcW w:type="dxa" w:w="2520"/>
            <w:vAlign w:val="center"/>
          </w:tcPr>
          <w:p>
            <w:r/>
            <w:r>
              <w:rPr>
                <w:b w:val="0"/>
                <w:sz w:val="18"/>
              </w:rPr>
              <w:t>Very high</w:t>
            </w:r>
          </w:p>
        </w:tc>
        <w:tc>
          <w:tcPr>
            <w:tcW w:type="dxa" w:w="2520"/>
            <w:vAlign w:val="center"/>
          </w:tcPr>
          <w:p>
            <w:r/>
            <w:r>
              <w:rPr>
                <w:b w:val="0"/>
                <w:sz w:val="18"/>
              </w:rPr>
              <w:t>High; explicit professional identity</w:t>
            </w:r>
          </w:p>
        </w:tc>
        <w:tc>
          <w:tcPr>
            <w:tcW w:type="dxa" w:w="2520"/>
            <w:vAlign w:val="center"/>
          </w:tcPr>
          <w:p>
            <w:r/>
            <w:r>
              <w:rPr>
                <w:b/>
                <w:sz w:val="18"/>
              </w:rPr>
              <w:t>SELECTED</w:t>
            </w:r>
          </w:p>
        </w:tc>
      </w:tr>
      <w:tr>
        <w:tc>
          <w:tcPr>
            <w:tcW w:type="dxa" w:w="2520"/>
            <w:vAlign w:val="center"/>
          </w:tcPr>
          <w:p>
            <w:r/>
            <w:r>
              <w:rPr>
                <w:b w:val="0"/>
                <w:sz w:val="18"/>
              </w:rPr>
              <w:t>advsunilkumar.com</w:t>
            </w:r>
          </w:p>
        </w:tc>
        <w:tc>
          <w:tcPr>
            <w:tcW w:type="dxa" w:w="2520"/>
            <w:vAlign w:val="center"/>
          </w:tcPr>
          <w:p>
            <w:r/>
            <w:r>
              <w:rPr>
                <w:b w:val="0"/>
                <w:sz w:val="18"/>
              </w:rPr>
              <w:t>High</w:t>
            </w:r>
          </w:p>
        </w:tc>
        <w:tc>
          <w:tcPr>
            <w:tcW w:type="dxa" w:w="2520"/>
            <w:vAlign w:val="center"/>
          </w:tcPr>
          <w:p>
            <w:r/>
            <w:r>
              <w:rPr>
                <w:b w:val="0"/>
                <w:sz w:val="18"/>
              </w:rPr>
              <w:t>High; shorter and .com</w:t>
            </w:r>
          </w:p>
        </w:tc>
        <w:tc>
          <w:tcPr>
            <w:tcW w:type="dxa" w:w="2520"/>
            <w:vAlign w:val="center"/>
          </w:tcPr>
          <w:p>
            <w:r/>
            <w:r>
              <w:rPr>
                <w:b/>
                <w:sz w:val="18"/>
              </w:rPr>
              <w:t>Alternative / fallback</w:t>
            </w:r>
          </w:p>
        </w:tc>
      </w:tr>
    </w:tbl>
    <w:p>
      <w:pPr>
        <w:pStyle w:val="Heading1"/>
      </w:pPr>
      <w:r>
        <w:t>5. Why sunilkumaradvocate.in was selected</w:t>
      </w:r>
    </w:p>
    <w:p>
      <w:pPr>
        <w:pStyle w:val="ListBullet"/>
      </w:pPr>
      <w:r>
        <w:rPr>
          <w:b/>
        </w:rPr>
        <w:t xml:space="preserve">Explicit professional identity: </w:t>
      </w:r>
      <w:r>
        <w:t>The domain directly combines the person's name with the professional descriptor 'advocate', making the intended identity immediately clear.</w:t>
      </w:r>
    </w:p>
    <w:p>
      <w:pPr>
        <w:pStyle w:val="ListBullet"/>
      </w:pPr>
      <w:r>
        <w:rPr>
          <w:b/>
        </w:rPr>
        <w:t xml:space="preserve">Search-query alignment: </w:t>
      </w:r>
      <w:r>
        <w:t>It closely matches the natural identity-oriented query pattern 'Sunil Kumar Advocate'. This improves semantic clarity, but does not by itself guarantee a ranking.</w:t>
      </w:r>
    </w:p>
    <w:p>
      <w:pPr>
        <w:pStyle w:val="ListBullet"/>
      </w:pPr>
      <w:r>
        <w:rPr>
          <w:b/>
        </w:rPr>
        <w:t xml:space="preserve">India-specific positioning: </w:t>
      </w:r>
      <w:r>
        <w:t>The .in country-code top-level domain is appropriate for an advocate whose documented professional practice and office are in Delhi, India.</w:t>
      </w:r>
    </w:p>
    <w:p>
      <w:pPr>
        <w:pStyle w:val="ListBullet"/>
      </w:pPr>
      <w:r>
        <w:rPr>
          <w:b/>
        </w:rPr>
        <w:t xml:space="preserve">Person-first strategy: </w:t>
      </w:r>
      <w:r>
        <w:t>The domain is built around Sunil Kumar rather than making Upadhyay &amp; Associates the permanent canonical identity, preserving flexibility if the practice structure changes.</w:t>
      </w:r>
    </w:p>
    <w:p>
      <w:pPr>
        <w:pStyle w:val="ListBullet"/>
      </w:pPr>
      <w:r>
        <w:rPr>
          <w:b/>
        </w:rPr>
        <w:t xml:space="preserve">Professional usability: </w:t>
      </w:r>
      <w:r>
        <w:t>The name remains understandable when printed on a visiting card, used in an email address, or shared verbally.</w:t>
      </w:r>
    </w:p>
    <w:p>
      <w:pPr>
        <w:pStyle w:val="ListBullet"/>
      </w:pPr>
      <w:r>
        <w:rPr>
          <w:b/>
        </w:rPr>
        <w:t xml:space="preserve">SEO remains broader than the domain: </w:t>
      </w:r>
      <w:r>
        <w:t>Ranking work will rely on the complete site: architecture, useful content, titles, internal linking, structured data, local signals, technical quality, and authoritative references.</w:t>
      </w:r>
    </w:p>
    <w:p>
      <w:pPr>
        <w:pStyle w:val="Heading1"/>
      </w:pPr>
      <w:r>
        <w:t>6. Why advsunilkumar.com was retained as the alternative</w:t>
      </w:r>
    </w:p>
    <w:p>
      <w:r>
        <w:t>advsunilkumar.com was a strong alternative because it is shorter, uses .com, and clearly signals the 'Adv.' professional abbreviation. It was not selected as the canonical domain because the final decision prioritized explicit identity clarity for the intended professional search context.</w:t>
      </w:r>
    </w:p>
    <w:p>
      <w:r>
        <w:t>This does not mean sunilkumaradvocate.in will automatically rank higher. Domain wording is only one part of search visibility. The selected domain is therefore an identity and architecture decision, not a ranking guarantee.</w:t>
      </w:r>
    </w:p>
    <w:p>
      <w:pPr>
        <w:pStyle w:val="Heading1"/>
      </w:pPr>
      <w:r>
        <w:t>7. SEO strategy that follows from the domain decision</w:t>
      </w:r>
    </w:p>
    <w:p>
      <w:pPr>
        <w:pStyle w:val="ListBullet"/>
      </w:pPr>
      <w:r>
        <w:t>Canonical website: https://sunilkumaradvocate.in/</w:t>
      </w:r>
    </w:p>
    <w:p>
      <w:pPr>
        <w:pStyle w:val="ListBullet"/>
      </w:pPr>
      <w:r>
        <w:t>Primary entity wording: Sunil Kumar, Advocate, Delhi.</w:t>
      </w:r>
    </w:p>
    <w:p>
      <w:pPr>
        <w:pStyle w:val="ListBullet"/>
      </w:pPr>
      <w:r>
        <w:t>Strong geographic association: Delhi / Delhi-NCR, with Karkardooma Courts as the documented chamber location.</w:t>
      </w:r>
    </w:p>
    <w:p>
      <w:pPr>
        <w:pStyle w:val="ListBullet"/>
      </w:pPr>
      <w:r>
        <w:t>Build dedicated, genuinely useful pages for practice areas rather than thin keyword-targeted pages.</w:t>
      </w:r>
    </w:p>
    <w:p>
      <w:pPr>
        <w:pStyle w:val="ListBullet"/>
      </w:pPr>
      <w:r>
        <w:t>Create a clear professional profile page containing verifiable qualifications, enrollment and practice information.</w:t>
      </w:r>
    </w:p>
    <w:p>
      <w:pPr>
        <w:pStyle w:val="ListBullet"/>
      </w:pPr>
      <w:r>
        <w:t>Maintain consistent name, profession, location, contact and practice information across legitimate professional/local profiles.</w:t>
      </w:r>
    </w:p>
    <w:p>
      <w:pPr>
        <w:pStyle w:val="ListBullet"/>
      </w:pPr>
      <w:r>
        <w:t>Implement appropriate structured data and technical SEO after the content architecture is finalized.</w:t>
      </w:r>
    </w:p>
    <w:p>
      <w:pPr>
        <w:pStyle w:val="ListBullet"/>
      </w:pPr>
      <w:r>
        <w:t>Use Google Search Console after launch to measure indexing, queries, impressions and clicks.</w:t>
      </w:r>
    </w:p>
    <w:p>
      <w:pPr>
        <w:pStyle w:val="ListBullet"/>
      </w:pPr>
      <w:r>
        <w:t>Avoid duplicate websites or duplicate pages created only to target slightly different versions of the same query.</w:t>
      </w:r>
    </w:p>
    <w:p>
      <w:pPr>
        <w:pStyle w:val="Heading1"/>
      </w:pPr>
      <w:r>
        <w:t>8. Target query framework</w:t>
      </w:r>
    </w:p>
    <w:p>
      <w:r>
        <w:t>The domain supports an entity-led SEO strategy; the website should not be built around one keyword alone.</w:t>
      </w:r>
    </w:p>
    <w:tbl>
      <w:tblPr>
        <w:tblStyle w:val="TableGrid"/>
        <w:tblW w:type="auto" w:w="0"/>
        <w:tblLook w:firstColumn="1" w:firstRow="1" w:lastColumn="0" w:lastRow="0" w:noHBand="0" w:noVBand="1" w:val="04A0"/>
      </w:tblPr>
      <w:tblGrid>
        <w:gridCol w:w="5040"/>
        <w:gridCol w:w="5040"/>
      </w:tblGrid>
      <w:tr>
        <w:tc>
          <w:tcPr>
            <w:tcW w:type="dxa" w:w="5040"/>
            <w:vAlign w:val="center"/>
            <w:shd w:fill="EDE7E2"/>
          </w:tcPr>
          <w:p>
            <w:r/>
            <w:r>
              <w:rPr>
                <w:b/>
                <w:sz w:val="18"/>
              </w:rPr>
              <w:t>Query class</w:t>
            </w:r>
          </w:p>
        </w:tc>
        <w:tc>
          <w:tcPr>
            <w:tcW w:type="dxa" w:w="5040"/>
            <w:vAlign w:val="center"/>
            <w:shd w:fill="EDE7E2"/>
          </w:tcPr>
          <w:p>
            <w:r/>
            <w:r>
              <w:rPr>
                <w:b/>
                <w:sz w:val="18"/>
              </w:rPr>
              <w:t>Examples</w:t>
            </w:r>
          </w:p>
        </w:tc>
      </w:tr>
      <w:tr>
        <w:tc>
          <w:tcPr>
            <w:tcW w:type="dxa" w:w="5040"/>
            <w:vAlign w:val="center"/>
          </w:tcPr>
          <w:p>
            <w:r/>
            <w:r>
              <w:rPr>
                <w:b/>
                <w:sz w:val="18"/>
              </w:rPr>
              <w:t>Core identity</w:t>
            </w:r>
          </w:p>
        </w:tc>
        <w:tc>
          <w:tcPr>
            <w:tcW w:type="dxa" w:w="5040"/>
            <w:vAlign w:val="center"/>
          </w:tcPr>
          <w:p>
            <w:r/>
            <w:r>
              <w:rPr>
                <w:b w:val="0"/>
                <w:sz w:val="18"/>
              </w:rPr>
              <w:t>Sunil Kumar Advocate; Advocate Sunil Kumar</w:t>
            </w:r>
          </w:p>
        </w:tc>
      </w:tr>
      <w:tr>
        <w:tc>
          <w:tcPr>
            <w:tcW w:type="dxa" w:w="5040"/>
            <w:vAlign w:val="center"/>
          </w:tcPr>
          <w:p>
            <w:r/>
            <w:r>
              <w:rPr>
                <w:b/>
                <w:sz w:val="18"/>
              </w:rPr>
              <w:t>Identity + geography</w:t>
            </w:r>
          </w:p>
        </w:tc>
        <w:tc>
          <w:tcPr>
            <w:tcW w:type="dxa" w:w="5040"/>
            <w:vAlign w:val="center"/>
          </w:tcPr>
          <w:p>
            <w:r/>
            <w:r>
              <w:rPr>
                <w:b w:val="0"/>
                <w:sz w:val="18"/>
              </w:rPr>
              <w:t>Sunil Kumar Advocate Delhi; Sunil Kumar Advocate Karkardooma</w:t>
            </w:r>
          </w:p>
        </w:tc>
      </w:tr>
      <w:tr>
        <w:tc>
          <w:tcPr>
            <w:tcW w:type="dxa" w:w="5040"/>
            <w:vAlign w:val="center"/>
          </w:tcPr>
          <w:p>
            <w:r/>
            <w:r>
              <w:rPr>
                <w:b/>
                <w:sz w:val="18"/>
              </w:rPr>
              <w:t>Identity + court</w:t>
            </w:r>
          </w:p>
        </w:tc>
        <w:tc>
          <w:tcPr>
            <w:tcW w:type="dxa" w:w="5040"/>
            <w:vAlign w:val="center"/>
          </w:tcPr>
          <w:p>
            <w:r/>
            <w:r>
              <w:rPr>
                <w:b w:val="0"/>
                <w:sz w:val="18"/>
              </w:rPr>
              <w:t>Sunil Kumar Advocate Delhi High Court; Sunil Kumar Advocate Karkardooma Courts</w:t>
            </w:r>
          </w:p>
        </w:tc>
      </w:tr>
      <w:tr>
        <w:tc>
          <w:tcPr>
            <w:tcW w:type="dxa" w:w="5040"/>
            <w:vAlign w:val="center"/>
          </w:tcPr>
          <w:p>
            <w:r/>
            <w:r>
              <w:rPr>
                <w:b/>
                <w:sz w:val="18"/>
              </w:rPr>
              <w:t>Identity + practice</w:t>
            </w:r>
          </w:p>
        </w:tc>
        <w:tc>
          <w:tcPr>
            <w:tcW w:type="dxa" w:w="5040"/>
            <w:vAlign w:val="center"/>
          </w:tcPr>
          <w:p>
            <w:r/>
            <w:r>
              <w:rPr>
                <w:b w:val="0"/>
                <w:sz w:val="18"/>
              </w:rPr>
              <w:t>Sunil Kumar Advocate banking recovery; Sunil Kumar Advocate civil commercial litigation</w:t>
            </w:r>
          </w:p>
        </w:tc>
      </w:tr>
      <w:tr>
        <w:tc>
          <w:tcPr>
            <w:tcW w:type="dxa" w:w="5040"/>
            <w:vAlign w:val="center"/>
          </w:tcPr>
          <w:p>
            <w:r/>
            <w:r>
              <w:rPr>
                <w:b/>
                <w:sz w:val="18"/>
              </w:rPr>
              <w:t>Firm association</w:t>
            </w:r>
          </w:p>
        </w:tc>
        <w:tc>
          <w:tcPr>
            <w:tcW w:type="dxa" w:w="5040"/>
            <w:vAlign w:val="center"/>
          </w:tcPr>
          <w:p>
            <w:r/>
            <w:r>
              <w:rPr>
                <w:b w:val="0"/>
                <w:sz w:val="18"/>
              </w:rPr>
              <w:t>Sunil Kumar Upadhyay &amp; Associates; Upadhyay &amp; Associates Advocate Delhi</w:t>
            </w:r>
          </w:p>
        </w:tc>
      </w:tr>
    </w:tbl>
    <w:p>
      <w:pPr>
        <w:pStyle w:val="Heading1"/>
      </w:pPr>
      <w:r>
        <w:t>9. Canonical-site rule</w:t>
      </w:r>
    </w:p>
    <w:p>
      <w:r>
        <w:t>sunilkumaradvocate.in is the canonical domain. If another domain is acquired for defensive or brand purposes, it should not be developed into a duplicate SEO website. It should normally redirect to the canonical domain. Each substantive page should have one authoritative URL.</w:t>
      </w:r>
    </w:p>
    <w:p>
      <w:pPr>
        <w:pStyle w:val="Heading1"/>
      </w:pPr>
      <w:r>
        <w:t>10. Purchase and launch verification checklist</w:t>
      </w:r>
    </w:p>
    <w:p>
      <w:pPr>
        <w:pStyle w:val="ListBullet"/>
      </w:pPr>
      <w:r>
        <w:t>Confirm registration availability and review the registrar's renewal price.</w:t>
      </w:r>
    </w:p>
    <w:p>
      <w:pPr>
        <w:pStyle w:val="ListBullet"/>
      </w:pPr>
      <w:r>
        <w:t>Check historical use and backlink profile before registration if the domain has previously been registered.</w:t>
      </w:r>
    </w:p>
    <w:p>
      <w:pPr>
        <w:pStyle w:val="ListBullet"/>
      </w:pPr>
      <w:r>
        <w:t>Confirm there is no unwanted existing indexed content associated with the domain.</w:t>
      </w:r>
    </w:p>
    <w:p>
      <w:pPr>
        <w:pStyle w:val="ListBullet"/>
      </w:pPr>
      <w:r>
        <w:t>Register the domain in the client's controlled account and enable appropriate account security.</w:t>
      </w:r>
    </w:p>
    <w:p>
      <w:pPr>
        <w:pStyle w:val="ListBullet"/>
      </w:pPr>
      <w:r>
        <w:t>Set up professional email using the canonical domain after DNS is configured.</w:t>
      </w:r>
    </w:p>
    <w:p>
      <w:pPr>
        <w:pStyle w:val="ListBullet"/>
      </w:pPr>
      <w:r>
        <w:t>Use HTTPS and establish the canonical host (www vs non-www) consistently.</w:t>
      </w:r>
    </w:p>
    <w:p>
      <w:pPr>
        <w:pStyle w:val="ListBullet"/>
      </w:pPr>
      <w:r>
        <w:t>Finalize information architecture before producing large volumes of content.</w:t>
      </w:r>
    </w:p>
    <w:p>
      <w:pPr>
        <w:pStyle w:val="ListBullet"/>
      </w:pPr>
      <w:r>
        <w:t>Configure Google Search Console and analytics/measurement before launch or immediately at launch.</w:t>
      </w:r>
    </w:p>
    <w:p>
      <w:pPr>
        <w:pStyle w:val="Heading1"/>
      </w:pPr>
      <w:r>
        <w:t>11. Decision conclusion</w:t>
      </w:r>
    </w:p>
    <w:p>
      <w:r>
        <w:rPr>
          <w:b/>
          <w:sz w:val="26"/>
        </w:rPr>
        <w:t>FINAL CANONICAL DOMAIN: sunilkumaradvocate.in</w:t>
      </w:r>
    </w:p>
    <w:p>
      <w:r>
        <w:t>The project will proceed using a person-first digital identity for Advocate Sunil Kumar, with UPADHYAY &amp; ASSOCIATES represented as the associated practice identity. The selected domain provides strong semantic clarity for the intended professional identity while leaving actual SEO performance to the complete website and its supporting digital signals.</w:t>
      </w:r>
    </w:p>
    <w:p>
      <w:pPr>
        <w:pStyle w:val="Heading1"/>
      </w:pPr>
      <w:r>
        <w:t>12. Source basis</w:t>
      </w:r>
    </w:p>
    <w:p>
      <w:r>
        <w:t>Primary project source: 'bio-data-IDBI-bank-application.txt' supplied for the project. It records the professional name, firm, chamber, contact information, qualifications, bar enrollment, practice history, courts, and practice areas used in this decision.</w:t>
      </w:r>
    </w:p>
    <w:p>
      <w:r>
        <w:t>Decision context: the project compared candidate domains, examined search-result competitiveness and keyword-difficulty observations, and narrowed the final choice to sunilkumaradvocate.in and advsunilkumar.com. Those observations are recorded as decision context, not guarantees of future rankings.</w:t>
      </w:r>
    </w:p>
    <w:p>
      <w:pPr>
        <w:jc w:val="center"/>
      </w:pPr>
      <w:r>
        <w:rPr>
          <w:i/>
          <w:sz w:val="18"/>
        </w:rPr>
        <w:t>Document status: FINAL DOMAIN DECISION RECORD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