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5855" w:rsidRDefault="003E5855" w:rsidP="006C031E">
      <w:pPr>
        <w:ind w:left="-426" w:firstLine="426"/>
        <w:rPr>
          <w:sz w:val="80"/>
          <w:szCs w:val="80"/>
          <w:lang w:val="en-US"/>
        </w:rPr>
      </w:pPr>
    </w:p>
    <w:p w:rsidR="003E5855" w:rsidRDefault="003E5855" w:rsidP="006C031E">
      <w:pPr>
        <w:ind w:left="-426" w:firstLine="426"/>
        <w:rPr>
          <w:sz w:val="80"/>
          <w:szCs w:val="80"/>
          <w:lang w:val="en-US"/>
        </w:rPr>
      </w:pPr>
    </w:p>
    <w:p w:rsidR="003E5855" w:rsidRDefault="003E5855" w:rsidP="006C031E">
      <w:pPr>
        <w:ind w:left="-426" w:firstLine="426"/>
        <w:rPr>
          <w:sz w:val="80"/>
          <w:szCs w:val="80"/>
          <w:lang w:val="en-US"/>
        </w:rPr>
      </w:pPr>
    </w:p>
    <w:p w:rsidR="005C56F2" w:rsidRDefault="005C56F2" w:rsidP="006C031E">
      <w:pPr>
        <w:ind w:left="-426" w:firstLine="426"/>
        <w:rPr>
          <w:sz w:val="80"/>
          <w:szCs w:val="80"/>
          <w:lang w:val="en-US"/>
        </w:rPr>
      </w:pPr>
    </w:p>
    <w:p w:rsidR="005C56F2" w:rsidRDefault="005C56F2" w:rsidP="006C031E">
      <w:pPr>
        <w:ind w:left="-426" w:firstLine="426"/>
        <w:rPr>
          <w:sz w:val="80"/>
          <w:szCs w:val="80"/>
          <w:lang w:val="en-US"/>
        </w:rPr>
      </w:pPr>
    </w:p>
    <w:p w:rsidR="00817D53" w:rsidRDefault="00817D53" w:rsidP="005958D3">
      <w:pPr>
        <w:rPr>
          <w:sz w:val="80"/>
          <w:szCs w:val="80"/>
          <w:lang w:val="en-US"/>
        </w:rPr>
      </w:pPr>
    </w:p>
    <w:p w:rsidR="00782B1C" w:rsidRPr="003E5855" w:rsidRDefault="003E5855" w:rsidP="005958D3">
      <w:pPr>
        <w:spacing w:line="276" w:lineRule="auto"/>
        <w:rPr>
          <w:b/>
          <w:bCs/>
          <w:color w:val="002060"/>
          <w:sz w:val="96"/>
          <w:szCs w:val="96"/>
          <w:lang w:val="en-US"/>
        </w:rPr>
      </w:pPr>
      <w:r w:rsidRPr="003E5855">
        <w:rPr>
          <w:b/>
          <w:bCs/>
          <w:color w:val="002060"/>
          <w:sz w:val="96"/>
          <w:szCs w:val="96"/>
          <w:lang w:val="en-US"/>
        </w:rPr>
        <w:t>EQUITY</w:t>
      </w:r>
    </w:p>
    <w:p w:rsidR="003E5855" w:rsidRPr="003E5855" w:rsidRDefault="003E5855" w:rsidP="003E5855">
      <w:pPr>
        <w:spacing w:line="276" w:lineRule="auto"/>
        <w:ind w:left="-426" w:firstLine="426"/>
        <w:rPr>
          <w:b/>
          <w:bCs/>
          <w:color w:val="002060"/>
          <w:sz w:val="96"/>
          <w:szCs w:val="96"/>
          <w:lang w:val="en-US"/>
        </w:rPr>
      </w:pPr>
      <w:r w:rsidRPr="003E5855">
        <w:rPr>
          <w:b/>
          <w:bCs/>
          <w:color w:val="002060"/>
          <w:sz w:val="96"/>
          <w:szCs w:val="96"/>
          <w:lang w:val="en-US"/>
        </w:rPr>
        <w:t>RESEARCH</w:t>
      </w:r>
    </w:p>
    <w:p w:rsidR="003E5855" w:rsidRDefault="003E5855" w:rsidP="003E5855">
      <w:pPr>
        <w:spacing w:line="276" w:lineRule="auto"/>
        <w:ind w:left="-426" w:firstLine="426"/>
        <w:rPr>
          <w:b/>
          <w:bCs/>
          <w:color w:val="002060"/>
          <w:sz w:val="96"/>
          <w:szCs w:val="96"/>
          <w:lang w:val="en-US"/>
        </w:rPr>
      </w:pPr>
      <w:r w:rsidRPr="003E5855">
        <w:rPr>
          <w:b/>
          <w:bCs/>
          <w:color w:val="002060"/>
          <w:sz w:val="96"/>
          <w:szCs w:val="96"/>
          <w:lang w:val="en-US"/>
        </w:rPr>
        <w:t>REPORT</w:t>
      </w:r>
    </w:p>
    <w:p w:rsidR="003E5855" w:rsidRDefault="003E5855" w:rsidP="006C031E">
      <w:pPr>
        <w:ind w:left="-426" w:firstLine="426"/>
        <w:rPr>
          <w:b/>
          <w:bCs/>
          <w:color w:val="002060"/>
          <w:sz w:val="96"/>
          <w:szCs w:val="96"/>
          <w:lang w:val="en-US"/>
        </w:rPr>
      </w:pPr>
    </w:p>
    <w:p w:rsidR="005958D3" w:rsidRDefault="005958D3" w:rsidP="006C031E">
      <w:pPr>
        <w:ind w:left="-426" w:firstLine="426"/>
        <w:rPr>
          <w:b/>
          <w:bCs/>
          <w:color w:val="002060"/>
          <w:sz w:val="96"/>
          <w:szCs w:val="96"/>
          <w:lang w:val="en-US"/>
        </w:rPr>
      </w:pPr>
    </w:p>
    <w:p w:rsidR="003E5855" w:rsidRDefault="003E5855" w:rsidP="006C031E">
      <w:pPr>
        <w:ind w:left="-426" w:firstLine="426"/>
        <w:rPr>
          <w:b/>
          <w:bCs/>
          <w:color w:val="002060"/>
          <w:sz w:val="96"/>
          <w:szCs w:val="96"/>
          <w:lang w:val="en-US"/>
        </w:rPr>
      </w:pPr>
    </w:p>
    <w:p w:rsidR="00817D53" w:rsidRDefault="00817D53" w:rsidP="00817D53">
      <w:pPr>
        <w:ind w:left="-426" w:firstLine="426"/>
        <w:rPr>
          <w:b/>
          <w:bCs/>
          <w:sz w:val="28"/>
          <w:szCs w:val="28"/>
          <w:lang w:val="en-US"/>
        </w:rPr>
      </w:pPr>
    </w:p>
    <w:p w:rsidR="00817D53" w:rsidRDefault="00817D53" w:rsidP="00817D53">
      <w:pPr>
        <w:rPr>
          <w:b/>
          <w:bCs/>
          <w:sz w:val="32"/>
          <w:szCs w:val="32"/>
          <w:lang w:val="en-US"/>
        </w:rPr>
      </w:pPr>
    </w:p>
    <w:p w:rsidR="00817D53" w:rsidRDefault="00817D53" w:rsidP="00817D53">
      <w:pPr>
        <w:rPr>
          <w:b/>
          <w:bCs/>
          <w:sz w:val="32"/>
          <w:szCs w:val="32"/>
          <w:lang w:val="en-US"/>
        </w:rPr>
      </w:pPr>
      <w:r>
        <w:rPr>
          <w:b/>
          <w:bCs/>
          <w:noProof/>
          <w:sz w:val="32"/>
          <w:szCs w:val="32"/>
          <w:lang w:val="en-US"/>
        </w:rPr>
        <mc:AlternateContent>
          <mc:Choice Requires="wps">
            <w:drawing>
              <wp:anchor distT="0" distB="0" distL="114300" distR="114300" simplePos="0" relativeHeight="251665408" behindDoc="0" locked="0" layoutInCell="1" allowOverlap="1">
                <wp:simplePos x="0" y="0"/>
                <wp:positionH relativeFrom="column">
                  <wp:posOffset>1262669</wp:posOffset>
                </wp:positionH>
                <wp:positionV relativeFrom="paragraph">
                  <wp:posOffset>-243205</wp:posOffset>
                </wp:positionV>
                <wp:extent cx="3692467" cy="401992"/>
                <wp:effectExtent l="0" t="0" r="3810" b="4445"/>
                <wp:wrapNone/>
                <wp:docPr id="256060549" name="Text Box 6"/>
                <wp:cNvGraphicFramePr/>
                <a:graphic xmlns:a="http://schemas.openxmlformats.org/drawingml/2006/main">
                  <a:graphicData uri="http://schemas.microsoft.com/office/word/2010/wordprocessingShape">
                    <wps:wsp>
                      <wps:cNvSpPr txBox="1"/>
                      <wps:spPr>
                        <a:xfrm>
                          <a:off x="0" y="0"/>
                          <a:ext cx="3692467" cy="401992"/>
                        </a:xfrm>
                        <a:prstGeom prst="rect">
                          <a:avLst/>
                        </a:prstGeom>
                        <a:solidFill>
                          <a:schemeClr val="lt1"/>
                        </a:solidFill>
                        <a:ln w="6350">
                          <a:noFill/>
                        </a:ln>
                      </wps:spPr>
                      <wps:txbx>
                        <w:txbxContent>
                          <w:p w:rsidR="00817D53" w:rsidRPr="003419C8" w:rsidRDefault="003419C8" w:rsidP="00817D53">
                            <w:pPr>
                              <w:jc w:val="center"/>
                              <w:rPr>
                                <w:b/>
                                <w:bCs/>
                                <w:color w:val="941651"/>
                                <w:sz w:val="40"/>
                                <w:szCs w:val="40"/>
                                <w:lang w:val="en-US"/>
                              </w:rPr>
                            </w:pPr>
                            <w:r w:rsidRPr="003419C8">
                              <w:rPr>
                                <w:b/>
                                <w:bCs/>
                                <w:color w:val="941651"/>
                                <w:sz w:val="40"/>
                                <w:szCs w:val="40"/>
                                <w:lang w:val="en-US"/>
                              </w:rPr>
                              <w:t>GODREJ CONSUMER</w:t>
                            </w:r>
                            <w:r w:rsidR="001A562C">
                              <w:rPr>
                                <w:b/>
                                <w:bCs/>
                                <w:color w:val="941651"/>
                                <w:sz w:val="40"/>
                                <w:szCs w:val="40"/>
                                <w:lang w:val="en-US"/>
                              </w:rPr>
                              <w:t xml:space="preserve">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99.4pt;margin-top:-19.15pt;width:290.75pt;height:3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" fillcolor="white [3201]" stroked="f" strokeweight=".5pt">
                <v:textbox>
                  <w:txbxContent>
                    <w:p w:rsidR="00817D53" w:rsidRPr="003419C8" w:rsidRDefault="003419C8" w:rsidP="00817D53">
                      <w:pPr>
                        <w:jc w:val="center"/>
                        <w:rPr>
                          <w:b/>
                          <w:bCs/>
                          <w:color w:val="941651"/>
                          <w:sz w:val="40"/>
                          <w:szCs w:val="40"/>
                          <w:lang w:val="en-US"/>
                        </w:rPr>
                      </w:pPr>
                      <w:r w:rsidRPr="003419C8">
                        <w:rPr>
                          <w:b/>
                          <w:bCs/>
                          <w:color w:val="941651"/>
                          <w:sz w:val="40"/>
                          <w:szCs w:val="40"/>
                          <w:lang w:val="en-US"/>
                        </w:rPr>
                        <w:t>GODREJ CONSUMER</w:t>
                      </w:r>
                      <w:r w:rsidR="001A562C">
                        <w:rPr>
                          <w:b/>
                          <w:bCs/>
                          <w:color w:val="941651"/>
                          <w:sz w:val="40"/>
                          <w:szCs w:val="40"/>
                          <w:lang w:val="en-US"/>
                        </w:rPr>
                        <w:t xml:space="preserve"> PRODUCTS</w:t>
                      </w:r>
                    </w:p>
                  </w:txbxContent>
                </v:textbox>
              </v:shape>
            </w:pict>
          </mc:Fallback>
        </mc:AlternateContent>
      </w:r>
      <w:r>
        <w:rPr>
          <w:b/>
          <w:bCs/>
          <w:noProof/>
          <w:sz w:val="32"/>
          <w:szCs w:val="32"/>
          <w:lang w:val="en-US"/>
        </w:rPr>
        <mc:AlternateContent>
          <mc:Choice Requires="wps">
            <w:drawing>
              <wp:anchor distT="0" distB="0" distL="114300" distR="114300" simplePos="0" relativeHeight="251664384" behindDoc="0" locked="0" layoutInCell="1" allowOverlap="1">
                <wp:simplePos x="0" y="0"/>
                <wp:positionH relativeFrom="column">
                  <wp:posOffset>-107576</wp:posOffset>
                </wp:positionH>
                <wp:positionV relativeFrom="paragraph">
                  <wp:posOffset>227928</wp:posOffset>
                </wp:positionV>
                <wp:extent cx="6386867" cy="0"/>
                <wp:effectExtent l="0" t="0" r="13970" b="12700"/>
                <wp:wrapNone/>
                <wp:docPr id="1892177038" name="Straight Connector 5"/>
                <wp:cNvGraphicFramePr/>
                <a:graphic xmlns:a="http://schemas.openxmlformats.org/drawingml/2006/main">
                  <a:graphicData uri="http://schemas.microsoft.com/office/word/2010/wordprocessingShape">
                    <wps:wsp>
                      <wps:cNvCnPr/>
                      <wps:spPr>
                        <a:xfrm>
                          <a:off x="0" y="0"/>
                          <a:ext cx="6386867"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8B8DEC3" id="Straight Connector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5pt,17.95pt" to="494.45pt,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" strokecolor="black [3200]" strokeweight="1pt">
                <v:stroke joinstyle="miter"/>
              </v:line>
            </w:pict>
          </mc:Fallback>
        </mc:AlternateContent>
      </w:r>
    </w:p>
    <w:p w:rsidR="002E0D30" w:rsidRPr="00817D53" w:rsidRDefault="00817D53" w:rsidP="00817D53">
      <w:pPr>
        <w:rPr>
          <w:b/>
          <w:bCs/>
          <w:sz w:val="32"/>
          <w:szCs w:val="32"/>
          <w:lang w:val="en-US"/>
        </w:rPr>
      </w:pPr>
      <w:r w:rsidRPr="00817D53">
        <w:rPr>
          <w:b/>
          <w:bCs/>
          <w:sz w:val="32"/>
          <w:szCs w:val="32"/>
          <w:lang w:val="en-US"/>
        </w:rPr>
        <w:t>BSE</w:t>
      </w:r>
      <w:r w:rsidR="002E0D30" w:rsidRPr="00BC7D13">
        <w:rPr>
          <w:b/>
          <w:bCs/>
          <w:sz w:val="32"/>
          <w:szCs w:val="32"/>
          <w:lang w:val="en-US"/>
        </w:rPr>
        <w:t>: 532</w:t>
      </w:r>
      <w:r w:rsidR="003419C8">
        <w:rPr>
          <w:b/>
          <w:bCs/>
          <w:sz w:val="32"/>
          <w:szCs w:val="32"/>
          <w:lang w:val="en-US"/>
        </w:rPr>
        <w:t>424</w:t>
      </w:r>
      <w:r w:rsidR="002E0D30" w:rsidRPr="00BC7D13">
        <w:rPr>
          <w:b/>
          <w:bCs/>
          <w:sz w:val="32"/>
          <w:szCs w:val="32"/>
          <w:lang w:val="en-US"/>
        </w:rPr>
        <w:t xml:space="preserve"> | NSE: </w:t>
      </w:r>
      <w:r w:rsidR="003419C8">
        <w:rPr>
          <w:b/>
          <w:bCs/>
          <w:sz w:val="32"/>
          <w:szCs w:val="32"/>
          <w:lang w:val="en-US"/>
        </w:rPr>
        <w:t>GODREJCP</w:t>
      </w:r>
      <w:r w:rsidR="002E0D30" w:rsidRPr="00BC7D13">
        <w:rPr>
          <w:b/>
          <w:bCs/>
          <w:sz w:val="32"/>
          <w:szCs w:val="32"/>
          <w:lang w:val="en-US"/>
        </w:rPr>
        <w:t xml:space="preserve"> |ISIN: </w:t>
      </w:r>
      <w:r w:rsidR="003419C8" w:rsidRPr="003419C8">
        <w:rPr>
          <w:b/>
          <w:bCs/>
          <w:sz w:val="32"/>
          <w:szCs w:val="32"/>
        </w:rPr>
        <w:t>INE102D01028</w:t>
      </w:r>
      <w:r w:rsidR="002E0D30" w:rsidRPr="00BC7D13">
        <w:rPr>
          <w:b/>
          <w:bCs/>
          <w:sz w:val="32"/>
          <w:szCs w:val="32"/>
          <w:lang w:val="en-US"/>
        </w:rPr>
        <w:t xml:space="preserve"> | SECTOR: </w:t>
      </w:r>
      <w:r w:rsidR="001D2F38">
        <w:rPr>
          <w:b/>
          <w:bCs/>
          <w:sz w:val="32"/>
          <w:szCs w:val="32"/>
          <w:lang w:val="en-US"/>
        </w:rPr>
        <w:t>Consumer Goods (FMCG)</w:t>
      </w:r>
    </w:p>
    <w:p w:rsidR="00153BEC" w:rsidRDefault="00153BEC" w:rsidP="00BC7D13">
      <w:pPr>
        <w:spacing w:before="240"/>
        <w:contextualSpacing/>
        <w:rPr>
          <w:b/>
          <w:bCs/>
          <w:sz w:val="32"/>
          <w:szCs w:val="32"/>
          <w:lang w:val="en-US"/>
        </w:rPr>
      </w:pPr>
    </w:p>
    <w:p w:rsidR="00FB1421" w:rsidRPr="00E11605" w:rsidRDefault="00E11605" w:rsidP="00E11605">
      <w:pPr>
        <w:spacing w:line="360" w:lineRule="auto"/>
        <w:jc w:val="both"/>
        <w:rPr>
          <w:color w:val="000000" w:themeColor="text1"/>
        </w:rPr>
      </w:pPr>
      <w:r w:rsidRPr="00971A25">
        <w:rPr>
          <w:noProof/>
          <w:sz w:val="28"/>
          <w:szCs w:val="28"/>
        </w:rPr>
        <w:t>Godrej Consumer Products Ltd (GCPL), a flagship entity of the 12</w:t>
      </w:r>
      <w:r w:rsidR="00E77531">
        <w:rPr>
          <w:noProof/>
          <w:sz w:val="28"/>
          <w:szCs w:val="28"/>
        </w:rPr>
        <w:t>6</w:t>
      </w:r>
      <w:r w:rsidRPr="00971A25">
        <w:rPr>
          <w:noProof/>
          <w:sz w:val="28"/>
          <w:szCs w:val="28"/>
        </w:rPr>
        <w:t>-year-old Godrej Group, is a leading FMCG company with a robust presence across India, Indonesia, Bangladesh, and several countries in Africa and Latin America. With a 12</w:t>
      </w:r>
      <w:r w:rsidR="00E77531">
        <w:rPr>
          <w:noProof/>
          <w:sz w:val="28"/>
          <w:szCs w:val="28"/>
        </w:rPr>
        <w:t>6</w:t>
      </w:r>
      <w:r w:rsidRPr="00971A25">
        <w:rPr>
          <w:noProof/>
          <w:sz w:val="28"/>
          <w:szCs w:val="28"/>
        </w:rPr>
        <w:t>-year legacy of trust and innovation, the Godrej Group has built deep-rooted consumer relationships and today proudly caters to over 1.4 billion consumers globally across diverse geographies.</w:t>
      </w:r>
    </w:p>
    <w:p w:rsidR="00FB1421" w:rsidRPr="00FB1421" w:rsidRDefault="005958D3" w:rsidP="00FB1421">
      <w:pPr>
        <w:rPr>
          <w:sz w:val="32"/>
          <w:szCs w:val="32"/>
          <w:lang w:val="en-US"/>
        </w:rPr>
      </w:pPr>
      <w:r w:rsidRPr="00E11605">
        <w:rPr>
          <w:noProof/>
          <w:sz w:val="32"/>
          <w:szCs w:val="32"/>
          <w:lang w:val="en-US"/>
        </w:rPr>
        <w:drawing>
          <wp:anchor distT="0" distB="0" distL="114300" distR="114300" simplePos="0" relativeHeight="251666432" behindDoc="0" locked="0" layoutInCell="1" allowOverlap="1">
            <wp:simplePos x="0" y="0"/>
            <wp:positionH relativeFrom="margin">
              <wp:posOffset>423545</wp:posOffset>
            </wp:positionH>
            <wp:positionV relativeFrom="margin">
              <wp:posOffset>3442335</wp:posOffset>
            </wp:positionV>
            <wp:extent cx="4886960" cy="1597660"/>
            <wp:effectExtent l="0" t="0" r="2540" b="2540"/>
            <wp:wrapSquare wrapText="bothSides"/>
            <wp:docPr id="20172907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90794" name="Picture 2017290794"/>
                    <pic:cNvPicPr/>
                  </pic:nvPicPr>
                  <pic:blipFill rotWithShape="1">
                    <a:blip r:embed="rId8">
                      <a:extLst>
                        <a:ext uri="{28A0092B-C50C-407E-A947-70E740481C1C}">
                          <a14:useLocalDpi xmlns:a14="http://schemas.microsoft.com/office/drawing/2010/main" val="0"/>
                        </a:ext>
                      </a:extLst>
                    </a:blip>
                    <a:srcRect l="18652" t="41430" r="22090" b="12913"/>
                    <a:stretch>
                      <a:fillRect/>
                    </a:stretch>
                  </pic:blipFill>
                  <pic:spPr bwMode="auto">
                    <a:xfrm>
                      <a:off x="0" y="0"/>
                      <a:ext cx="4886960" cy="159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B1421" w:rsidRPr="00FB1421" w:rsidRDefault="00FB1421" w:rsidP="00FB1421">
      <w:pPr>
        <w:rPr>
          <w:sz w:val="32"/>
          <w:szCs w:val="32"/>
          <w:lang w:val="en-US"/>
        </w:rPr>
      </w:pPr>
    </w:p>
    <w:p w:rsidR="00FB1421" w:rsidRPr="00FB1421" w:rsidRDefault="00FB1421" w:rsidP="00FB1421">
      <w:pPr>
        <w:rPr>
          <w:sz w:val="32"/>
          <w:szCs w:val="32"/>
          <w:lang w:val="en-US"/>
        </w:rPr>
      </w:pPr>
    </w:p>
    <w:p w:rsidR="00FB1421" w:rsidRPr="00FB1421" w:rsidRDefault="00FB1421" w:rsidP="00FB1421">
      <w:pPr>
        <w:rPr>
          <w:sz w:val="32"/>
          <w:szCs w:val="32"/>
          <w:lang w:val="en-US"/>
        </w:rPr>
      </w:pPr>
    </w:p>
    <w:p w:rsidR="00FB1421" w:rsidRPr="00FB1421" w:rsidRDefault="00FB1421" w:rsidP="00FB1421">
      <w:pPr>
        <w:rPr>
          <w:sz w:val="32"/>
          <w:szCs w:val="32"/>
          <w:lang w:val="en-US"/>
        </w:rPr>
      </w:pPr>
    </w:p>
    <w:p w:rsidR="00FB1421" w:rsidRPr="00FB1421" w:rsidRDefault="00FB1421" w:rsidP="00FB1421">
      <w:pPr>
        <w:rPr>
          <w:sz w:val="32"/>
          <w:szCs w:val="32"/>
          <w:lang w:val="en-US"/>
        </w:rPr>
      </w:pPr>
    </w:p>
    <w:p w:rsidR="008F592E" w:rsidRDefault="00D03B99" w:rsidP="00FB1421">
      <w:pPr>
        <w:spacing w:before="240" w:line="360" w:lineRule="auto"/>
        <w:contextualSpacing/>
        <w:jc w:val="both"/>
        <w:rPr>
          <w:color w:val="000000" w:themeColor="text1"/>
          <w:sz w:val="32"/>
          <w:szCs w:val="32"/>
          <w:lang w:val="en-GB"/>
        </w:rPr>
      </w:pPr>
      <w:r>
        <w:rPr>
          <w:noProof/>
          <w:sz w:val="32"/>
          <w:szCs w:val="32"/>
          <w:lang w:val="en-US"/>
        </w:rPr>
        <mc:AlternateContent>
          <mc:Choice Requires="wps">
            <w:drawing>
              <wp:anchor distT="0" distB="0" distL="114300" distR="114300" simplePos="0" relativeHeight="251667456" behindDoc="0" locked="0" layoutInCell="1" allowOverlap="1">
                <wp:simplePos x="0" y="0"/>
                <wp:positionH relativeFrom="column">
                  <wp:posOffset>984250</wp:posOffset>
                </wp:positionH>
                <wp:positionV relativeFrom="paragraph">
                  <wp:posOffset>363567</wp:posOffset>
                </wp:positionV>
                <wp:extent cx="3213677" cy="387928"/>
                <wp:effectExtent l="0" t="0" r="0" b="6350"/>
                <wp:wrapNone/>
                <wp:docPr id="1933967240" name="Text Box 5"/>
                <wp:cNvGraphicFramePr/>
                <a:graphic xmlns:a="http://schemas.openxmlformats.org/drawingml/2006/main">
                  <a:graphicData uri="http://schemas.microsoft.com/office/word/2010/wordprocessingShape">
                    <wps:wsp>
                      <wps:cNvSpPr txBox="1"/>
                      <wps:spPr>
                        <a:xfrm>
                          <a:off x="0" y="0"/>
                          <a:ext cx="3213677" cy="387928"/>
                        </a:xfrm>
                        <a:prstGeom prst="rect">
                          <a:avLst/>
                        </a:prstGeom>
                        <a:solidFill>
                          <a:schemeClr val="lt1"/>
                        </a:solidFill>
                        <a:ln w="6350">
                          <a:noFill/>
                        </a:ln>
                      </wps:spPr>
                      <wps:txbx>
                        <w:txbxContent>
                          <w:p w:rsidR="001F6444" w:rsidRPr="001F6444" w:rsidRDefault="001F6444" w:rsidP="001F6444">
                            <w:pPr>
                              <w:jc w:val="center"/>
                              <w:rPr>
                                <w:i/>
                                <w:iCs/>
                                <w:color w:val="C00000"/>
                                <w:sz w:val="28"/>
                                <w:szCs w:val="28"/>
                                <w:lang w:val="en-US"/>
                              </w:rPr>
                            </w:pPr>
                            <w:r w:rsidRPr="001F6444">
                              <w:rPr>
                                <w:b/>
                                <w:bCs/>
                                <w:color w:val="941651"/>
                                <w:sz w:val="36"/>
                                <w:szCs w:val="36"/>
                                <w:lang w:val="en-GB"/>
                              </w:rPr>
                              <w:t>Consumer</w:t>
                            </w:r>
                            <w:r w:rsidRPr="001F6444">
                              <w:rPr>
                                <w:i/>
                                <w:iCs/>
                                <w:color w:val="C00000"/>
                                <w:sz w:val="28"/>
                                <w:szCs w:val="28"/>
                                <w:lang w:val="en-US"/>
                              </w:rPr>
                              <w:t xml:space="preserve"> </w:t>
                            </w:r>
                            <w:r w:rsidRPr="001F6444">
                              <w:rPr>
                                <w:b/>
                                <w:bCs/>
                                <w:color w:val="941651"/>
                                <w:sz w:val="36"/>
                                <w:szCs w:val="36"/>
                                <w:lang w:val="en-GB"/>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77.5pt;margin-top:28.65pt;width:253.05pt;height:3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" fillcolor="white [3201]" stroked="f" strokeweight=".5pt">
                <v:textbox>
                  <w:txbxContent>
                    <w:p w:rsidR="001F6444" w:rsidRPr="001F6444" w:rsidRDefault="001F6444" w:rsidP="001F6444">
                      <w:pPr>
                        <w:jc w:val="center"/>
                        <w:rPr>
                          <w:i/>
                          <w:iCs/>
                          <w:color w:val="C00000"/>
                          <w:sz w:val="28"/>
                          <w:szCs w:val="28"/>
                          <w:lang w:val="en-US"/>
                        </w:rPr>
                      </w:pPr>
                      <w:r w:rsidRPr="001F6444">
                        <w:rPr>
                          <w:b/>
                          <w:bCs/>
                          <w:color w:val="941651"/>
                          <w:sz w:val="36"/>
                          <w:szCs w:val="36"/>
                          <w:lang w:val="en-GB"/>
                        </w:rPr>
                        <w:t>Consumer</w:t>
                      </w:r>
                      <w:r w:rsidRPr="001F6444">
                        <w:rPr>
                          <w:i/>
                          <w:iCs/>
                          <w:color w:val="C00000"/>
                          <w:sz w:val="28"/>
                          <w:szCs w:val="28"/>
                          <w:lang w:val="en-US"/>
                        </w:rPr>
                        <w:t xml:space="preserve"> </w:t>
                      </w:r>
                      <w:r w:rsidRPr="001F6444">
                        <w:rPr>
                          <w:b/>
                          <w:bCs/>
                          <w:color w:val="941651"/>
                          <w:sz w:val="36"/>
                          <w:szCs w:val="36"/>
                          <w:lang w:val="en-GB"/>
                        </w:rPr>
                        <w:t>Products</w:t>
                      </w:r>
                    </w:p>
                  </w:txbxContent>
                </v:textbox>
              </v:shape>
            </w:pict>
          </mc:Fallback>
        </mc:AlternateContent>
      </w:r>
    </w:p>
    <w:p w:rsidR="00857D8E" w:rsidRDefault="00857D8E" w:rsidP="00FB1421">
      <w:pPr>
        <w:spacing w:before="240" w:line="360" w:lineRule="auto"/>
        <w:contextualSpacing/>
        <w:jc w:val="both"/>
        <w:rPr>
          <w:color w:val="000000" w:themeColor="text1"/>
          <w:sz w:val="28"/>
          <w:szCs w:val="28"/>
          <w:lang w:val="en-GB"/>
        </w:rPr>
      </w:pPr>
    </w:p>
    <w:p w:rsidR="005958D3" w:rsidRDefault="005958D3" w:rsidP="00E11605">
      <w:pPr>
        <w:spacing w:before="240" w:line="360" w:lineRule="auto"/>
        <w:contextualSpacing/>
        <w:jc w:val="both"/>
        <w:rPr>
          <w:color w:val="000000" w:themeColor="text1"/>
          <w:sz w:val="28"/>
          <w:szCs w:val="28"/>
        </w:rPr>
      </w:pPr>
    </w:p>
    <w:p w:rsidR="00E11605" w:rsidRPr="00E11605" w:rsidRDefault="002C5AD0" w:rsidP="00E11605">
      <w:pPr>
        <w:spacing w:before="240" w:line="360" w:lineRule="auto"/>
        <w:contextualSpacing/>
        <w:jc w:val="both"/>
        <w:rPr>
          <w:color w:val="000000" w:themeColor="text1"/>
          <w:sz w:val="28"/>
          <w:szCs w:val="28"/>
        </w:rPr>
      </w:pPr>
      <w:r w:rsidRPr="002C5AD0">
        <w:rPr>
          <w:color w:val="000000" w:themeColor="text1"/>
          <w:sz w:val="28"/>
          <w:szCs w:val="28"/>
        </w:rPr>
        <w:t>Godrej Consumer Products Limited (GCPL) maintains a strategically diversified portfolio spanning key FMCG categories such as pest control (Goodknight, HIT), home care (Godrej Aer), and personal care (Darling Zuri Braid). On May 8, 2023, the company completed the acquisition of Raymond Consumer Care Limited (RCCL) through a slump sale agreement signed on April 27, 2023. RCCL, with established brands like Park Avenue and Kamasutra, strengthens GCPL’s presence in the high-growth deodorants and sexual wellness segments. This acquisition aligns with the company’s strategy to expand into fast-growing lifestyle categories and complements its existing footprint in perfumes, supporting its broader vision of holistic consumer wellbeing.</w:t>
      </w:r>
    </w:p>
    <w:p w:rsidR="00817D53" w:rsidRPr="00E11605" w:rsidRDefault="00817D53" w:rsidP="008F592E">
      <w:pPr>
        <w:spacing w:before="240" w:line="360" w:lineRule="auto"/>
        <w:contextualSpacing/>
        <w:jc w:val="both"/>
        <w:rPr>
          <w:color w:val="000000" w:themeColor="text1"/>
          <w:sz w:val="28"/>
          <w:szCs w:val="28"/>
        </w:rPr>
      </w:pPr>
    </w:p>
    <w:p w:rsidR="002F7077" w:rsidRDefault="002F7077" w:rsidP="004B02FC">
      <w:pPr>
        <w:pStyle w:val="NormalWeb"/>
        <w:spacing w:before="100" w:beforeAutospacing="1" w:after="100" w:afterAutospacing="1"/>
        <w:rPr>
          <w:rFonts w:asciiTheme="minorHAnsi" w:hAnsiTheme="minorHAnsi" w:cstheme="minorBidi"/>
          <w:color w:val="000000" w:themeColor="text1"/>
          <w:sz w:val="28"/>
          <w:szCs w:val="28"/>
        </w:rPr>
      </w:pPr>
    </w:p>
    <w:p w:rsidR="00AA1930" w:rsidRDefault="00AA1930" w:rsidP="00AA1930">
      <w:pPr>
        <w:spacing w:before="240" w:line="360" w:lineRule="auto"/>
        <w:contextualSpacing/>
        <w:jc w:val="both"/>
        <w:rPr>
          <w:color w:val="000000" w:themeColor="text1"/>
          <w:sz w:val="28"/>
          <w:szCs w:val="28"/>
        </w:rPr>
      </w:pPr>
      <w:r w:rsidRPr="00AA1930">
        <w:rPr>
          <w:color w:val="000000" w:themeColor="text1"/>
          <w:sz w:val="28"/>
          <w:szCs w:val="28"/>
        </w:rPr>
        <w:t>In FY24, Godrej Consumer Products Ltd. (GCPL) posted a 7% YoY increase in net sales, reaching ₹</w:t>
      </w:r>
      <w:r>
        <w:rPr>
          <w:color w:val="000000" w:themeColor="text1"/>
          <w:sz w:val="28"/>
          <w:szCs w:val="28"/>
        </w:rPr>
        <w:t>14,096</w:t>
      </w:r>
      <w:r w:rsidRPr="00AA1930">
        <w:rPr>
          <w:color w:val="000000" w:themeColor="text1"/>
          <w:sz w:val="28"/>
          <w:szCs w:val="28"/>
        </w:rPr>
        <w:t xml:space="preserve"> crore, led by strong performance in the Home Care segment, which grew 12% to ₹1,016 crore. Personal Care contributed ₹1,176 crore, registering a modest 3% growth. The branded portfolio rose 7% YoY to ₹2,192 crore, while Unbranded and Export sales surged 21% to ₹86 crore, reflecting growing diversification.</w:t>
      </w:r>
    </w:p>
    <w:p w:rsidR="00AA1930" w:rsidRPr="00AA1930" w:rsidRDefault="00AA1930" w:rsidP="00AA1930">
      <w:pPr>
        <w:spacing w:before="240" w:line="360" w:lineRule="auto"/>
        <w:contextualSpacing/>
        <w:jc w:val="both"/>
        <w:rPr>
          <w:color w:val="000000" w:themeColor="text1"/>
          <w:sz w:val="28"/>
          <w:szCs w:val="28"/>
        </w:rPr>
      </w:pPr>
    </w:p>
    <w:p w:rsidR="00AA1930" w:rsidRDefault="00AA1930" w:rsidP="00AA1930">
      <w:pPr>
        <w:spacing w:before="240" w:line="360" w:lineRule="auto"/>
        <w:contextualSpacing/>
        <w:jc w:val="both"/>
        <w:rPr>
          <w:color w:val="000000" w:themeColor="text1"/>
          <w:sz w:val="28"/>
          <w:szCs w:val="28"/>
        </w:rPr>
      </w:pPr>
      <w:r w:rsidRPr="00AA1930">
        <w:rPr>
          <w:color w:val="000000" w:themeColor="text1"/>
          <w:sz w:val="28"/>
          <w:szCs w:val="28"/>
        </w:rPr>
        <w:t xml:space="preserve">GCPL’s portfolio remains well-balanced across price tiers. Its ₹1,000+ crore brands—Goodknight, Darling, Godrej No.1, and </w:t>
      </w:r>
      <w:proofErr w:type="spellStart"/>
      <w:r w:rsidRPr="00AA1930">
        <w:rPr>
          <w:color w:val="000000" w:themeColor="text1"/>
          <w:sz w:val="28"/>
          <w:szCs w:val="28"/>
        </w:rPr>
        <w:t>Cinthol</w:t>
      </w:r>
      <w:proofErr w:type="spellEnd"/>
      <w:r w:rsidRPr="00AA1930">
        <w:rPr>
          <w:color w:val="000000" w:themeColor="text1"/>
          <w:sz w:val="28"/>
          <w:szCs w:val="28"/>
        </w:rPr>
        <w:t xml:space="preserve">—anchor its leadership in core categories. In the ₹500–1,000 crore range, HIT, Godrej Expert, Aer, and Stella continue to drive category momentum. High-potential brands like Ezee, Mitu Baby, and Mega Growth in the ₹200–500 crore bracket are steadily scaling. </w:t>
      </w:r>
    </w:p>
    <w:p w:rsidR="00AA1930" w:rsidRDefault="00AA1930" w:rsidP="00AA1930">
      <w:pPr>
        <w:spacing w:before="240" w:line="360" w:lineRule="auto"/>
        <w:contextualSpacing/>
        <w:jc w:val="both"/>
        <w:rPr>
          <w:color w:val="000000" w:themeColor="text1"/>
          <w:sz w:val="28"/>
          <w:szCs w:val="28"/>
        </w:rPr>
      </w:pPr>
    </w:p>
    <w:p w:rsidR="00AA1930" w:rsidRPr="00AA1930" w:rsidRDefault="00AA1930" w:rsidP="00AA1930">
      <w:pPr>
        <w:spacing w:before="240" w:line="360" w:lineRule="auto"/>
        <w:contextualSpacing/>
        <w:jc w:val="both"/>
        <w:rPr>
          <w:color w:val="000000" w:themeColor="text1"/>
          <w:sz w:val="28"/>
          <w:szCs w:val="28"/>
        </w:rPr>
      </w:pPr>
      <w:r w:rsidRPr="00AA1930">
        <w:rPr>
          <w:color w:val="000000" w:themeColor="text1"/>
          <w:sz w:val="28"/>
          <w:szCs w:val="28"/>
        </w:rPr>
        <w:t>This tiered brand architecture positions GCPL for broad-based, sustainable growth across consumer segments.</w:t>
      </w:r>
    </w:p>
    <w:p w:rsidR="00ED6882" w:rsidRDefault="00ED6882" w:rsidP="00FB1421">
      <w:pPr>
        <w:spacing w:before="240" w:line="360" w:lineRule="auto"/>
        <w:contextualSpacing/>
        <w:jc w:val="both"/>
        <w:rPr>
          <w:b/>
          <w:bCs/>
          <w:color w:val="941651"/>
          <w:sz w:val="36"/>
          <w:szCs w:val="36"/>
          <w:lang w:val="en-GB"/>
        </w:rPr>
      </w:pPr>
    </w:p>
    <w:p w:rsidR="00B12703" w:rsidRDefault="00B12703" w:rsidP="00FB1421">
      <w:pPr>
        <w:spacing w:before="240" w:line="360" w:lineRule="auto"/>
        <w:contextualSpacing/>
        <w:jc w:val="both"/>
        <w:rPr>
          <w:b/>
          <w:bCs/>
          <w:color w:val="941651"/>
          <w:sz w:val="36"/>
          <w:szCs w:val="36"/>
          <w:lang w:val="en-GB"/>
        </w:rPr>
      </w:pPr>
    </w:p>
    <w:p w:rsidR="002F7077" w:rsidRDefault="002F7077" w:rsidP="00FB1421">
      <w:pPr>
        <w:spacing w:before="240" w:line="360" w:lineRule="auto"/>
        <w:contextualSpacing/>
        <w:jc w:val="both"/>
        <w:rPr>
          <w:b/>
          <w:bCs/>
          <w:color w:val="941651"/>
          <w:sz w:val="36"/>
          <w:szCs w:val="36"/>
          <w:lang w:val="en-GB"/>
        </w:rPr>
      </w:pPr>
    </w:p>
    <w:p w:rsidR="00AA1930" w:rsidRDefault="00AA1930" w:rsidP="00FB1421">
      <w:pPr>
        <w:spacing w:before="240" w:line="360" w:lineRule="auto"/>
        <w:contextualSpacing/>
        <w:jc w:val="both"/>
        <w:rPr>
          <w:b/>
          <w:bCs/>
          <w:color w:val="941651"/>
          <w:sz w:val="36"/>
          <w:szCs w:val="36"/>
          <w:lang w:val="en-GB"/>
        </w:rPr>
      </w:pPr>
    </w:p>
    <w:p w:rsidR="00AA1930" w:rsidRDefault="00AA1930" w:rsidP="00FB1421">
      <w:pPr>
        <w:spacing w:before="240" w:line="360" w:lineRule="auto"/>
        <w:contextualSpacing/>
        <w:jc w:val="both"/>
        <w:rPr>
          <w:b/>
          <w:bCs/>
          <w:color w:val="941651"/>
          <w:sz w:val="36"/>
          <w:szCs w:val="36"/>
          <w:lang w:val="en-GB"/>
        </w:rPr>
      </w:pPr>
    </w:p>
    <w:p w:rsidR="00AA1930" w:rsidRDefault="00AA1930" w:rsidP="00FB1421">
      <w:pPr>
        <w:spacing w:before="240" w:line="360" w:lineRule="auto"/>
        <w:contextualSpacing/>
        <w:jc w:val="both"/>
        <w:rPr>
          <w:b/>
          <w:bCs/>
          <w:color w:val="941651"/>
          <w:sz w:val="36"/>
          <w:szCs w:val="36"/>
          <w:lang w:val="en-GB"/>
        </w:rPr>
      </w:pPr>
    </w:p>
    <w:p w:rsidR="00AA1930" w:rsidRDefault="00AA1930" w:rsidP="00FB1421">
      <w:pPr>
        <w:spacing w:before="240" w:line="360" w:lineRule="auto"/>
        <w:contextualSpacing/>
        <w:jc w:val="both"/>
        <w:rPr>
          <w:b/>
          <w:bCs/>
          <w:color w:val="941651"/>
          <w:sz w:val="36"/>
          <w:szCs w:val="36"/>
          <w:lang w:val="en-GB"/>
        </w:rPr>
      </w:pPr>
    </w:p>
    <w:p w:rsidR="00AA1930" w:rsidRDefault="00AA1930" w:rsidP="00FB1421">
      <w:pPr>
        <w:spacing w:before="240" w:line="360" w:lineRule="auto"/>
        <w:contextualSpacing/>
        <w:jc w:val="both"/>
        <w:rPr>
          <w:b/>
          <w:bCs/>
          <w:color w:val="941651"/>
          <w:sz w:val="36"/>
          <w:szCs w:val="36"/>
          <w:lang w:val="en-GB"/>
        </w:rPr>
      </w:pPr>
    </w:p>
    <w:p w:rsidR="00AA1930" w:rsidRDefault="00AA1930" w:rsidP="00FB1421">
      <w:pPr>
        <w:spacing w:before="240" w:line="360" w:lineRule="auto"/>
        <w:contextualSpacing/>
        <w:jc w:val="both"/>
        <w:rPr>
          <w:b/>
          <w:bCs/>
          <w:color w:val="941651"/>
          <w:sz w:val="36"/>
          <w:szCs w:val="36"/>
          <w:lang w:val="en-GB"/>
        </w:rPr>
      </w:pPr>
    </w:p>
    <w:p w:rsidR="00DD3432" w:rsidRPr="003419C8" w:rsidRDefault="00153BEC" w:rsidP="00FB1421">
      <w:pPr>
        <w:spacing w:before="240" w:line="360" w:lineRule="auto"/>
        <w:contextualSpacing/>
        <w:jc w:val="both"/>
        <w:rPr>
          <w:b/>
          <w:bCs/>
          <w:color w:val="941651"/>
          <w:sz w:val="36"/>
          <w:szCs w:val="36"/>
          <w:lang w:val="en-GB"/>
        </w:rPr>
      </w:pPr>
      <w:r w:rsidRPr="003419C8">
        <w:rPr>
          <w:b/>
          <w:bCs/>
          <w:color w:val="941651"/>
          <w:sz w:val="36"/>
          <w:szCs w:val="36"/>
          <w:lang w:val="en-GB"/>
        </w:rPr>
        <w:lastRenderedPageBreak/>
        <w:t>FINANCIAL INFORMATION</w:t>
      </w:r>
    </w:p>
    <w:tbl>
      <w:tblPr>
        <w:tblStyle w:val="TableGrid"/>
        <w:tblW w:w="0" w:type="auto"/>
        <w:tblLook w:val="04A0" w:firstRow="1" w:lastRow="0" w:firstColumn="1" w:lastColumn="0" w:noHBand="0" w:noVBand="1"/>
      </w:tblPr>
      <w:tblGrid>
        <w:gridCol w:w="2038"/>
        <w:gridCol w:w="2038"/>
        <w:gridCol w:w="2039"/>
      </w:tblGrid>
      <w:tr w:rsidR="00153BEC" w:rsidTr="00044DA1">
        <w:trPr>
          <w:trHeight w:val="515"/>
        </w:trPr>
        <w:tc>
          <w:tcPr>
            <w:tcW w:w="2038" w:type="dxa"/>
            <w:shd w:val="clear" w:color="auto" w:fill="767171" w:themeFill="background2" w:themeFillShade="80"/>
          </w:tcPr>
          <w:p w:rsidR="00153BEC" w:rsidRPr="001D2F38" w:rsidRDefault="00153BEC" w:rsidP="00153BEC">
            <w:pPr>
              <w:spacing w:before="240" w:line="360" w:lineRule="auto"/>
              <w:contextualSpacing/>
              <w:jc w:val="center"/>
              <w:rPr>
                <w:b/>
                <w:bCs/>
                <w:color w:val="941651"/>
                <w:sz w:val="28"/>
                <w:szCs w:val="28"/>
                <w:lang w:val="en-GB"/>
              </w:rPr>
            </w:pPr>
            <w:r w:rsidRPr="001D2F38">
              <w:rPr>
                <w:b/>
                <w:bCs/>
                <w:color w:val="941651"/>
                <w:sz w:val="28"/>
                <w:szCs w:val="28"/>
                <w:lang w:val="en-GB"/>
              </w:rPr>
              <w:t>INR MILLIONS</w:t>
            </w:r>
          </w:p>
        </w:tc>
        <w:tc>
          <w:tcPr>
            <w:tcW w:w="2038" w:type="dxa"/>
            <w:shd w:val="clear" w:color="auto" w:fill="767171" w:themeFill="background2" w:themeFillShade="80"/>
          </w:tcPr>
          <w:p w:rsidR="00153BEC" w:rsidRPr="001D2F38" w:rsidRDefault="00153BEC" w:rsidP="00153BEC">
            <w:pPr>
              <w:spacing w:before="240" w:line="360" w:lineRule="auto"/>
              <w:contextualSpacing/>
              <w:jc w:val="center"/>
              <w:rPr>
                <w:b/>
                <w:bCs/>
                <w:color w:val="941651"/>
                <w:sz w:val="28"/>
                <w:szCs w:val="28"/>
                <w:lang w:val="en-GB"/>
              </w:rPr>
            </w:pPr>
            <w:r w:rsidRPr="001D2F38">
              <w:rPr>
                <w:b/>
                <w:bCs/>
                <w:color w:val="941651"/>
                <w:sz w:val="28"/>
                <w:szCs w:val="28"/>
                <w:lang w:val="en-GB"/>
              </w:rPr>
              <w:t>FY2</w:t>
            </w:r>
            <w:r w:rsidR="00CF1B69">
              <w:rPr>
                <w:b/>
                <w:bCs/>
                <w:color w:val="941651"/>
                <w:sz w:val="28"/>
                <w:szCs w:val="28"/>
                <w:lang w:val="en-GB"/>
              </w:rPr>
              <w:t>4</w:t>
            </w:r>
          </w:p>
        </w:tc>
        <w:tc>
          <w:tcPr>
            <w:tcW w:w="2039" w:type="dxa"/>
            <w:shd w:val="clear" w:color="auto" w:fill="767171" w:themeFill="background2" w:themeFillShade="80"/>
          </w:tcPr>
          <w:p w:rsidR="00153BEC" w:rsidRPr="001D2F38" w:rsidRDefault="00153BEC" w:rsidP="00153BEC">
            <w:pPr>
              <w:spacing w:before="240" w:line="360" w:lineRule="auto"/>
              <w:contextualSpacing/>
              <w:jc w:val="center"/>
              <w:rPr>
                <w:b/>
                <w:bCs/>
                <w:color w:val="941651"/>
                <w:sz w:val="28"/>
                <w:szCs w:val="28"/>
                <w:lang w:val="en-GB"/>
              </w:rPr>
            </w:pPr>
            <w:r w:rsidRPr="001D2F38">
              <w:rPr>
                <w:b/>
                <w:bCs/>
                <w:color w:val="941651"/>
                <w:sz w:val="28"/>
                <w:szCs w:val="28"/>
                <w:lang w:val="en-GB"/>
              </w:rPr>
              <w:t>FY2</w:t>
            </w:r>
            <w:r w:rsidR="00CF1B69">
              <w:rPr>
                <w:b/>
                <w:bCs/>
                <w:color w:val="941651"/>
                <w:sz w:val="28"/>
                <w:szCs w:val="28"/>
                <w:lang w:val="en-GB"/>
              </w:rPr>
              <w:t>3</w:t>
            </w:r>
          </w:p>
        </w:tc>
      </w:tr>
      <w:tr w:rsidR="00153BEC" w:rsidTr="00153BEC">
        <w:trPr>
          <w:trHeight w:val="526"/>
        </w:trPr>
        <w:tc>
          <w:tcPr>
            <w:tcW w:w="2038" w:type="dxa"/>
          </w:tcPr>
          <w:p w:rsidR="00153BEC" w:rsidRPr="00153BEC" w:rsidRDefault="00153BEC" w:rsidP="00153BEC">
            <w:pPr>
              <w:spacing w:before="240" w:line="360" w:lineRule="auto"/>
              <w:contextualSpacing/>
              <w:jc w:val="center"/>
              <w:rPr>
                <w:color w:val="000000" w:themeColor="text1"/>
                <w:lang w:val="en-GB"/>
              </w:rPr>
            </w:pPr>
            <w:r w:rsidRPr="00153BEC">
              <w:rPr>
                <w:color w:val="000000" w:themeColor="text1"/>
                <w:lang w:val="en-GB"/>
              </w:rPr>
              <w:t>Total Assets</w:t>
            </w:r>
          </w:p>
        </w:tc>
        <w:tc>
          <w:tcPr>
            <w:tcW w:w="2038" w:type="dxa"/>
          </w:tcPr>
          <w:p w:rsidR="00153BEC" w:rsidRPr="00153BEC" w:rsidRDefault="00D834C7" w:rsidP="00153BEC">
            <w:pPr>
              <w:spacing w:before="240" w:line="360" w:lineRule="auto"/>
              <w:contextualSpacing/>
              <w:jc w:val="center"/>
              <w:rPr>
                <w:color w:val="000000" w:themeColor="text1"/>
                <w:lang w:val="en-GB"/>
              </w:rPr>
            </w:pPr>
            <w:r>
              <w:rPr>
                <w:color w:val="000000" w:themeColor="text1"/>
                <w:lang w:val="en-GB"/>
              </w:rPr>
              <w:t>1,84,960</w:t>
            </w:r>
          </w:p>
        </w:tc>
        <w:tc>
          <w:tcPr>
            <w:tcW w:w="2039" w:type="dxa"/>
          </w:tcPr>
          <w:p w:rsidR="00153BEC" w:rsidRPr="00153BEC" w:rsidRDefault="00D834C7" w:rsidP="00153BEC">
            <w:pPr>
              <w:spacing w:before="240" w:line="360" w:lineRule="auto"/>
              <w:contextualSpacing/>
              <w:jc w:val="center"/>
              <w:rPr>
                <w:color w:val="000000" w:themeColor="text1"/>
                <w:lang w:val="en-GB"/>
              </w:rPr>
            </w:pPr>
            <w:r>
              <w:rPr>
                <w:color w:val="000000" w:themeColor="text1"/>
                <w:lang w:val="en-GB"/>
              </w:rPr>
              <w:t>1,74,990</w:t>
            </w:r>
          </w:p>
        </w:tc>
      </w:tr>
      <w:tr w:rsidR="00153BEC" w:rsidTr="00153BEC">
        <w:trPr>
          <w:trHeight w:val="515"/>
        </w:trPr>
        <w:tc>
          <w:tcPr>
            <w:tcW w:w="2038" w:type="dxa"/>
          </w:tcPr>
          <w:p w:rsidR="00153BEC" w:rsidRPr="00153BEC" w:rsidRDefault="00153BEC" w:rsidP="00153BEC">
            <w:pPr>
              <w:spacing w:before="240" w:line="360" w:lineRule="auto"/>
              <w:contextualSpacing/>
              <w:jc w:val="center"/>
              <w:rPr>
                <w:color w:val="000000" w:themeColor="text1"/>
                <w:lang w:val="en-GB"/>
              </w:rPr>
            </w:pPr>
            <w:r w:rsidRPr="00153BEC">
              <w:rPr>
                <w:color w:val="000000" w:themeColor="text1"/>
                <w:lang w:val="en-GB"/>
              </w:rPr>
              <w:t>EBIT</w:t>
            </w:r>
          </w:p>
        </w:tc>
        <w:tc>
          <w:tcPr>
            <w:tcW w:w="2038" w:type="dxa"/>
          </w:tcPr>
          <w:p w:rsidR="00153BEC" w:rsidRPr="00153BEC" w:rsidRDefault="00D834C7" w:rsidP="00153BEC">
            <w:pPr>
              <w:spacing w:before="240" w:line="360" w:lineRule="auto"/>
              <w:contextualSpacing/>
              <w:jc w:val="center"/>
              <w:rPr>
                <w:color w:val="000000" w:themeColor="text1"/>
                <w:lang w:val="en-GB"/>
              </w:rPr>
            </w:pPr>
            <w:r>
              <w:rPr>
                <w:color w:val="000000" w:themeColor="text1"/>
                <w:lang w:val="en-GB"/>
              </w:rPr>
              <w:t>27,030</w:t>
            </w:r>
          </w:p>
        </w:tc>
        <w:tc>
          <w:tcPr>
            <w:tcW w:w="2039" w:type="dxa"/>
          </w:tcPr>
          <w:p w:rsidR="00153BEC" w:rsidRPr="00153BEC" w:rsidRDefault="00D834C7" w:rsidP="00153BEC">
            <w:pPr>
              <w:spacing w:before="240" w:line="360" w:lineRule="auto"/>
              <w:contextualSpacing/>
              <w:jc w:val="center"/>
              <w:rPr>
                <w:color w:val="000000" w:themeColor="text1"/>
                <w:lang w:val="en-GB"/>
              </w:rPr>
            </w:pPr>
            <w:r>
              <w:rPr>
                <w:color w:val="000000" w:themeColor="text1"/>
                <w:lang w:val="en-GB"/>
              </w:rPr>
              <w:t>21,940</w:t>
            </w:r>
          </w:p>
        </w:tc>
      </w:tr>
      <w:tr w:rsidR="00153BEC" w:rsidTr="00153BEC">
        <w:trPr>
          <w:trHeight w:val="515"/>
        </w:trPr>
        <w:tc>
          <w:tcPr>
            <w:tcW w:w="2038" w:type="dxa"/>
          </w:tcPr>
          <w:p w:rsidR="00153BEC" w:rsidRPr="00153BEC" w:rsidRDefault="00153BEC" w:rsidP="00153BEC">
            <w:pPr>
              <w:spacing w:before="240" w:line="360" w:lineRule="auto"/>
              <w:contextualSpacing/>
              <w:jc w:val="center"/>
              <w:rPr>
                <w:color w:val="000000" w:themeColor="text1"/>
                <w:lang w:val="en-GB"/>
              </w:rPr>
            </w:pPr>
            <w:r w:rsidRPr="00153BEC">
              <w:rPr>
                <w:color w:val="000000" w:themeColor="text1"/>
                <w:lang w:val="en-GB"/>
              </w:rPr>
              <w:t>PAT</w:t>
            </w:r>
          </w:p>
        </w:tc>
        <w:tc>
          <w:tcPr>
            <w:tcW w:w="2038" w:type="dxa"/>
          </w:tcPr>
          <w:p w:rsidR="00153BEC" w:rsidRPr="00153BEC" w:rsidRDefault="00D834C7" w:rsidP="00C6472A">
            <w:pPr>
              <w:spacing w:before="240" w:line="360" w:lineRule="auto"/>
              <w:contextualSpacing/>
              <w:jc w:val="center"/>
              <w:rPr>
                <w:color w:val="000000" w:themeColor="text1"/>
                <w:lang w:val="en-GB"/>
              </w:rPr>
            </w:pPr>
            <w:r>
              <w:rPr>
                <w:color w:val="000000" w:themeColor="text1"/>
                <w:lang w:val="en-GB"/>
              </w:rPr>
              <w:t>-5,610</w:t>
            </w:r>
          </w:p>
        </w:tc>
        <w:tc>
          <w:tcPr>
            <w:tcW w:w="2039" w:type="dxa"/>
          </w:tcPr>
          <w:p w:rsidR="00153BEC" w:rsidRPr="00153BEC" w:rsidRDefault="00D834C7" w:rsidP="00C6472A">
            <w:pPr>
              <w:spacing w:before="240" w:line="360" w:lineRule="auto"/>
              <w:contextualSpacing/>
              <w:jc w:val="center"/>
              <w:rPr>
                <w:color w:val="000000" w:themeColor="text1"/>
                <w:lang w:val="en-GB"/>
              </w:rPr>
            </w:pPr>
            <w:r>
              <w:rPr>
                <w:color w:val="000000" w:themeColor="text1"/>
                <w:lang w:val="en-GB"/>
              </w:rPr>
              <w:t>17,020</w:t>
            </w:r>
          </w:p>
        </w:tc>
      </w:tr>
      <w:tr w:rsidR="00153BEC" w:rsidTr="00153BEC">
        <w:trPr>
          <w:trHeight w:val="526"/>
        </w:trPr>
        <w:tc>
          <w:tcPr>
            <w:tcW w:w="2038" w:type="dxa"/>
          </w:tcPr>
          <w:p w:rsidR="00153BEC" w:rsidRPr="00153BEC" w:rsidRDefault="00044DA1" w:rsidP="00153BEC">
            <w:pPr>
              <w:spacing w:before="240" w:line="360" w:lineRule="auto"/>
              <w:contextualSpacing/>
              <w:jc w:val="center"/>
              <w:rPr>
                <w:color w:val="000000" w:themeColor="text1"/>
                <w:lang w:val="en-GB"/>
              </w:rPr>
            </w:pPr>
            <w:r>
              <w:rPr>
                <w:color w:val="000000" w:themeColor="text1"/>
                <w:lang w:val="en-GB"/>
              </w:rPr>
              <w:t xml:space="preserve">Total </w:t>
            </w:r>
            <w:r w:rsidR="00153BEC" w:rsidRPr="00153BEC">
              <w:rPr>
                <w:color w:val="000000" w:themeColor="text1"/>
                <w:lang w:val="en-GB"/>
              </w:rPr>
              <w:t>Revenue</w:t>
            </w:r>
          </w:p>
        </w:tc>
        <w:tc>
          <w:tcPr>
            <w:tcW w:w="2038" w:type="dxa"/>
          </w:tcPr>
          <w:p w:rsidR="00153BEC" w:rsidRPr="00153BEC" w:rsidRDefault="00D834C7" w:rsidP="00153BEC">
            <w:pPr>
              <w:spacing w:before="240" w:line="360" w:lineRule="auto"/>
              <w:contextualSpacing/>
              <w:jc w:val="center"/>
              <w:rPr>
                <w:color w:val="000000" w:themeColor="text1"/>
                <w:lang w:val="en-GB"/>
              </w:rPr>
            </w:pPr>
            <w:r>
              <w:rPr>
                <w:color w:val="000000" w:themeColor="text1"/>
                <w:lang w:val="en-GB"/>
              </w:rPr>
              <w:t>1,40,960</w:t>
            </w:r>
          </w:p>
        </w:tc>
        <w:tc>
          <w:tcPr>
            <w:tcW w:w="2039" w:type="dxa"/>
          </w:tcPr>
          <w:p w:rsidR="00D834C7" w:rsidRPr="00153BEC" w:rsidRDefault="00D834C7" w:rsidP="00D834C7">
            <w:pPr>
              <w:spacing w:before="240" w:line="360" w:lineRule="auto"/>
              <w:contextualSpacing/>
              <w:jc w:val="center"/>
              <w:rPr>
                <w:color w:val="000000" w:themeColor="text1"/>
                <w:lang w:val="en-GB"/>
              </w:rPr>
            </w:pPr>
            <w:r>
              <w:rPr>
                <w:color w:val="000000" w:themeColor="text1"/>
                <w:lang w:val="en-GB"/>
              </w:rPr>
              <w:t>1,33,160</w:t>
            </w:r>
          </w:p>
        </w:tc>
      </w:tr>
    </w:tbl>
    <w:p w:rsidR="00153BEC" w:rsidRPr="001712BC" w:rsidRDefault="00C6472A" w:rsidP="00FB1421">
      <w:pPr>
        <w:spacing w:before="240" w:line="360" w:lineRule="auto"/>
        <w:contextualSpacing/>
        <w:jc w:val="both"/>
        <w:rPr>
          <w:i/>
          <w:iCs/>
          <w:sz w:val="18"/>
          <w:szCs w:val="18"/>
          <w:lang w:val="en-GB"/>
        </w:rPr>
      </w:pPr>
      <w:r w:rsidRPr="001712BC">
        <w:rPr>
          <w:i/>
          <w:iCs/>
          <w:sz w:val="18"/>
          <w:szCs w:val="18"/>
          <w:lang w:val="en-GB"/>
        </w:rPr>
        <w:t>Source: Company Annual Reports</w:t>
      </w:r>
    </w:p>
    <w:p w:rsidR="00AA1930" w:rsidRDefault="00AA1930" w:rsidP="00AA1930">
      <w:pPr>
        <w:spacing w:before="240" w:line="360" w:lineRule="auto"/>
        <w:contextualSpacing/>
        <w:jc w:val="both"/>
        <w:rPr>
          <w:color w:val="000000" w:themeColor="text1"/>
          <w:sz w:val="28"/>
          <w:szCs w:val="28"/>
        </w:rPr>
      </w:pPr>
      <w:r w:rsidRPr="00AA1930">
        <w:rPr>
          <w:color w:val="000000" w:themeColor="text1"/>
          <w:sz w:val="28"/>
          <w:szCs w:val="28"/>
        </w:rPr>
        <w:t>Godrej Consumer Products Ltd. (GCPL) reported a net loss of ₹560.6 crore in FY24, reversing from a profit of ₹1,702.5 crore in FY23, largely due to exceptional items worth ₹2,476.9 crore. These included goodwill and brand impairments in Africa and losses from the divestment of East African operations.</w:t>
      </w:r>
    </w:p>
    <w:p w:rsidR="00AA1930" w:rsidRPr="00AA1930" w:rsidRDefault="00AA1930" w:rsidP="00AA1930">
      <w:pPr>
        <w:spacing w:before="240" w:line="360" w:lineRule="auto"/>
        <w:contextualSpacing/>
        <w:jc w:val="both"/>
        <w:rPr>
          <w:color w:val="000000" w:themeColor="text1"/>
          <w:sz w:val="28"/>
          <w:szCs w:val="28"/>
        </w:rPr>
      </w:pPr>
    </w:p>
    <w:p w:rsidR="00AA1930" w:rsidRDefault="00AA1930" w:rsidP="00AA1930">
      <w:pPr>
        <w:spacing w:before="240" w:line="360" w:lineRule="auto"/>
        <w:contextualSpacing/>
        <w:jc w:val="both"/>
        <w:rPr>
          <w:color w:val="000000" w:themeColor="text1"/>
          <w:sz w:val="28"/>
          <w:szCs w:val="28"/>
        </w:rPr>
      </w:pPr>
      <w:r w:rsidRPr="00AA1930">
        <w:rPr>
          <w:color w:val="000000" w:themeColor="text1"/>
          <w:sz w:val="28"/>
          <w:szCs w:val="28"/>
        </w:rPr>
        <w:t>Operational performance, however, remained resilient. Consolidated revenue rose 6% YoY to ₹14,096 crore, while EBITDA grew 21%, driven by healthy volume growth and margin expansion. Organic volume growth stood at 7%, led by Indonesia (+11%) and India (+6%), with international markets contributing 41% to topline.</w:t>
      </w:r>
    </w:p>
    <w:p w:rsidR="00AA1930" w:rsidRDefault="00AA1930" w:rsidP="00AA1930">
      <w:pPr>
        <w:spacing w:before="240" w:line="360" w:lineRule="auto"/>
        <w:contextualSpacing/>
        <w:jc w:val="both"/>
        <w:rPr>
          <w:color w:val="000000" w:themeColor="text1"/>
          <w:sz w:val="28"/>
          <w:szCs w:val="28"/>
        </w:rPr>
      </w:pPr>
    </w:p>
    <w:p w:rsidR="00AA1930" w:rsidRPr="00AA1930" w:rsidRDefault="00AA1930" w:rsidP="00AA1930">
      <w:pPr>
        <w:spacing w:before="240" w:line="360" w:lineRule="auto"/>
        <w:contextualSpacing/>
        <w:jc w:val="both"/>
        <w:rPr>
          <w:color w:val="000000" w:themeColor="text1"/>
          <w:sz w:val="28"/>
          <w:szCs w:val="28"/>
        </w:rPr>
      </w:pPr>
      <w:r w:rsidRPr="00AA1930">
        <w:rPr>
          <w:color w:val="000000" w:themeColor="text1"/>
          <w:sz w:val="28"/>
          <w:szCs w:val="28"/>
        </w:rPr>
        <w:t>EPS declined sharply to ₹6.33 (vs. ₹14.80 in FY23) due to the one-offs. While core fundamentals remain strong, near-term earnings visibility may be tempered by restructuring-related headwinds.</w:t>
      </w:r>
    </w:p>
    <w:p w:rsidR="00B12703" w:rsidRPr="00B12703" w:rsidRDefault="00B12703" w:rsidP="00B12703">
      <w:pPr>
        <w:spacing w:before="240" w:line="360" w:lineRule="auto"/>
        <w:contextualSpacing/>
        <w:jc w:val="both"/>
        <w:rPr>
          <w:color w:val="000000" w:themeColor="text1"/>
          <w:sz w:val="28"/>
          <w:szCs w:val="28"/>
        </w:rPr>
      </w:pPr>
      <w:r w:rsidRPr="00B12703">
        <w:rPr>
          <w:color w:val="000000" w:themeColor="text1"/>
          <w:sz w:val="28"/>
          <w:szCs w:val="28"/>
        </w:rPr>
        <w:t>down effects.</w:t>
      </w:r>
    </w:p>
    <w:tbl>
      <w:tblPr>
        <w:tblStyle w:val="TableGrid"/>
        <w:tblpPr w:leftFromText="180" w:rightFromText="180" w:vertAnchor="text" w:horzAnchor="margin" w:tblpY="104"/>
        <w:tblW w:w="0" w:type="auto"/>
        <w:tblLook w:val="04A0" w:firstRow="1" w:lastRow="0" w:firstColumn="1" w:lastColumn="0" w:noHBand="0" w:noVBand="1"/>
      </w:tblPr>
      <w:tblGrid>
        <w:gridCol w:w="4542"/>
        <w:gridCol w:w="4542"/>
      </w:tblGrid>
      <w:tr w:rsidR="00C1237C" w:rsidTr="00AA1930">
        <w:trPr>
          <w:trHeight w:val="430"/>
        </w:trPr>
        <w:tc>
          <w:tcPr>
            <w:tcW w:w="4542" w:type="dxa"/>
            <w:shd w:val="clear" w:color="auto" w:fill="767171" w:themeFill="background2" w:themeFillShade="80"/>
          </w:tcPr>
          <w:p w:rsidR="00C1237C" w:rsidRPr="00D5192A" w:rsidRDefault="00C1237C" w:rsidP="00C1237C">
            <w:pPr>
              <w:spacing w:before="240" w:line="360" w:lineRule="auto"/>
              <w:contextualSpacing/>
              <w:rPr>
                <w:b/>
                <w:bCs/>
                <w:color w:val="000000" w:themeColor="text1"/>
                <w:sz w:val="28"/>
                <w:szCs w:val="28"/>
              </w:rPr>
            </w:pPr>
            <w:r w:rsidRPr="00D5192A">
              <w:rPr>
                <w:b/>
                <w:bCs/>
                <w:color w:val="000000" w:themeColor="text1"/>
                <w:sz w:val="28"/>
                <w:szCs w:val="28"/>
              </w:rPr>
              <w:t>Price to Book Value</w:t>
            </w:r>
          </w:p>
        </w:tc>
        <w:tc>
          <w:tcPr>
            <w:tcW w:w="4542" w:type="dxa"/>
          </w:tcPr>
          <w:p w:rsidR="00C1237C" w:rsidRPr="004C71C5" w:rsidRDefault="00C1237C" w:rsidP="00C1237C">
            <w:pPr>
              <w:spacing w:before="240" w:line="360" w:lineRule="auto"/>
              <w:contextualSpacing/>
              <w:rPr>
                <w:color w:val="000000" w:themeColor="text1"/>
              </w:rPr>
            </w:pPr>
            <w:r w:rsidRPr="004C71C5">
              <w:rPr>
                <w:color w:val="000000" w:themeColor="text1"/>
              </w:rPr>
              <w:t>1</w:t>
            </w:r>
            <w:r>
              <w:rPr>
                <w:color w:val="000000" w:themeColor="text1"/>
              </w:rPr>
              <w:t>0.78</w:t>
            </w:r>
          </w:p>
        </w:tc>
      </w:tr>
      <w:tr w:rsidR="00C1237C" w:rsidTr="00AA1930">
        <w:trPr>
          <w:trHeight w:val="447"/>
        </w:trPr>
        <w:tc>
          <w:tcPr>
            <w:tcW w:w="4542" w:type="dxa"/>
            <w:shd w:val="clear" w:color="auto" w:fill="767171" w:themeFill="background2" w:themeFillShade="80"/>
          </w:tcPr>
          <w:p w:rsidR="00C1237C" w:rsidRPr="00D5192A" w:rsidRDefault="00C1237C" w:rsidP="00C1237C">
            <w:pPr>
              <w:spacing w:before="240" w:line="360" w:lineRule="auto"/>
              <w:contextualSpacing/>
              <w:rPr>
                <w:b/>
                <w:bCs/>
                <w:color w:val="000000" w:themeColor="text1"/>
                <w:sz w:val="28"/>
                <w:szCs w:val="28"/>
              </w:rPr>
            </w:pPr>
            <w:r w:rsidRPr="00D5192A">
              <w:rPr>
                <w:b/>
                <w:bCs/>
                <w:color w:val="000000" w:themeColor="text1"/>
                <w:sz w:val="28"/>
                <w:szCs w:val="28"/>
              </w:rPr>
              <w:t>Dividend Yield</w:t>
            </w:r>
          </w:p>
        </w:tc>
        <w:tc>
          <w:tcPr>
            <w:tcW w:w="4542" w:type="dxa"/>
          </w:tcPr>
          <w:p w:rsidR="00C1237C" w:rsidRPr="004C71C5" w:rsidRDefault="00C1237C" w:rsidP="00C1237C">
            <w:pPr>
              <w:spacing w:before="240" w:line="360" w:lineRule="auto"/>
              <w:contextualSpacing/>
              <w:rPr>
                <w:color w:val="000000" w:themeColor="text1"/>
              </w:rPr>
            </w:pPr>
            <w:r>
              <w:rPr>
                <w:color w:val="000000" w:themeColor="text1"/>
              </w:rPr>
              <w:t>1.96</w:t>
            </w:r>
          </w:p>
        </w:tc>
      </w:tr>
      <w:tr w:rsidR="00C1237C" w:rsidTr="00AA1930">
        <w:trPr>
          <w:trHeight w:val="430"/>
        </w:trPr>
        <w:tc>
          <w:tcPr>
            <w:tcW w:w="4542" w:type="dxa"/>
            <w:shd w:val="clear" w:color="auto" w:fill="767171" w:themeFill="background2" w:themeFillShade="80"/>
          </w:tcPr>
          <w:p w:rsidR="00C1237C" w:rsidRPr="00D5192A" w:rsidRDefault="00C1237C" w:rsidP="00C1237C">
            <w:pPr>
              <w:spacing w:before="240" w:line="360" w:lineRule="auto"/>
              <w:contextualSpacing/>
              <w:rPr>
                <w:b/>
                <w:bCs/>
                <w:color w:val="000000" w:themeColor="text1"/>
                <w:sz w:val="28"/>
                <w:szCs w:val="28"/>
              </w:rPr>
            </w:pPr>
            <w:r w:rsidRPr="00D5192A">
              <w:rPr>
                <w:b/>
                <w:bCs/>
                <w:color w:val="000000" w:themeColor="text1"/>
                <w:sz w:val="28"/>
                <w:szCs w:val="28"/>
              </w:rPr>
              <w:t>Return on Assets (ROA)</w:t>
            </w:r>
          </w:p>
        </w:tc>
        <w:tc>
          <w:tcPr>
            <w:tcW w:w="4542" w:type="dxa"/>
          </w:tcPr>
          <w:p w:rsidR="00C1237C" w:rsidRPr="00D5192A" w:rsidRDefault="00C1237C" w:rsidP="00C1237C">
            <w:pPr>
              <w:spacing w:before="240" w:line="360" w:lineRule="auto"/>
              <w:contextualSpacing/>
              <w:rPr>
                <w:color w:val="000000" w:themeColor="text1"/>
              </w:rPr>
            </w:pPr>
            <w:r>
              <w:rPr>
                <w:color w:val="000000" w:themeColor="text1"/>
              </w:rPr>
              <w:t>15.02</w:t>
            </w:r>
          </w:p>
        </w:tc>
      </w:tr>
      <w:tr w:rsidR="00C1237C" w:rsidTr="00AA1930">
        <w:trPr>
          <w:trHeight w:val="430"/>
        </w:trPr>
        <w:tc>
          <w:tcPr>
            <w:tcW w:w="4542" w:type="dxa"/>
            <w:shd w:val="clear" w:color="auto" w:fill="767171" w:themeFill="background2" w:themeFillShade="80"/>
          </w:tcPr>
          <w:p w:rsidR="00C1237C" w:rsidRPr="00D5192A" w:rsidRDefault="00C1237C" w:rsidP="00C1237C">
            <w:pPr>
              <w:spacing w:before="240" w:line="360" w:lineRule="auto"/>
              <w:contextualSpacing/>
              <w:rPr>
                <w:b/>
                <w:bCs/>
                <w:color w:val="000000" w:themeColor="text1"/>
                <w:sz w:val="28"/>
                <w:szCs w:val="28"/>
              </w:rPr>
            </w:pPr>
            <w:r>
              <w:rPr>
                <w:b/>
                <w:bCs/>
                <w:color w:val="000000" w:themeColor="text1"/>
                <w:sz w:val="28"/>
                <w:szCs w:val="28"/>
              </w:rPr>
              <w:t>Return on Equity</w:t>
            </w:r>
            <w:r w:rsidRPr="00D5192A">
              <w:rPr>
                <w:b/>
                <w:bCs/>
                <w:color w:val="000000" w:themeColor="text1"/>
                <w:sz w:val="28"/>
                <w:szCs w:val="28"/>
              </w:rPr>
              <w:t xml:space="preserve"> (</w:t>
            </w:r>
            <w:r>
              <w:rPr>
                <w:b/>
                <w:bCs/>
                <w:color w:val="000000" w:themeColor="text1"/>
                <w:sz w:val="28"/>
                <w:szCs w:val="28"/>
              </w:rPr>
              <w:t>ROE</w:t>
            </w:r>
            <w:r w:rsidRPr="00D5192A">
              <w:rPr>
                <w:b/>
                <w:bCs/>
                <w:color w:val="000000" w:themeColor="text1"/>
                <w:sz w:val="28"/>
                <w:szCs w:val="28"/>
              </w:rPr>
              <w:t>)</w:t>
            </w:r>
          </w:p>
        </w:tc>
        <w:tc>
          <w:tcPr>
            <w:tcW w:w="4542" w:type="dxa"/>
          </w:tcPr>
          <w:p w:rsidR="00C1237C" w:rsidRPr="00D5192A" w:rsidRDefault="00C1237C" w:rsidP="00C1237C">
            <w:pPr>
              <w:spacing w:before="240" w:line="360" w:lineRule="auto"/>
              <w:contextualSpacing/>
              <w:rPr>
                <w:color w:val="000000" w:themeColor="text1"/>
              </w:rPr>
            </w:pPr>
            <w:r>
              <w:rPr>
                <w:color w:val="000000" w:themeColor="text1"/>
              </w:rPr>
              <w:t>29.83</w:t>
            </w:r>
          </w:p>
        </w:tc>
      </w:tr>
      <w:tr w:rsidR="00C1237C" w:rsidTr="00AA1930">
        <w:trPr>
          <w:trHeight w:val="430"/>
        </w:trPr>
        <w:tc>
          <w:tcPr>
            <w:tcW w:w="4542" w:type="dxa"/>
            <w:shd w:val="clear" w:color="auto" w:fill="767171" w:themeFill="background2" w:themeFillShade="80"/>
          </w:tcPr>
          <w:p w:rsidR="00C1237C" w:rsidRPr="00D5192A" w:rsidRDefault="00C1237C" w:rsidP="00C1237C">
            <w:pPr>
              <w:spacing w:before="240" w:line="360" w:lineRule="auto"/>
              <w:contextualSpacing/>
              <w:rPr>
                <w:b/>
                <w:bCs/>
                <w:color w:val="000000" w:themeColor="text1"/>
                <w:sz w:val="28"/>
                <w:szCs w:val="28"/>
              </w:rPr>
            </w:pPr>
            <w:r>
              <w:rPr>
                <w:b/>
                <w:bCs/>
                <w:color w:val="000000" w:themeColor="text1"/>
                <w:sz w:val="28"/>
                <w:szCs w:val="28"/>
              </w:rPr>
              <w:t>Return on Employed Capital</w:t>
            </w:r>
            <w:r w:rsidRPr="00D5192A">
              <w:rPr>
                <w:b/>
                <w:bCs/>
                <w:color w:val="000000" w:themeColor="text1"/>
                <w:sz w:val="28"/>
                <w:szCs w:val="28"/>
              </w:rPr>
              <w:t xml:space="preserve"> (</w:t>
            </w:r>
            <w:r>
              <w:rPr>
                <w:b/>
                <w:bCs/>
                <w:color w:val="000000" w:themeColor="text1"/>
                <w:sz w:val="28"/>
                <w:szCs w:val="28"/>
              </w:rPr>
              <w:t>ROCE</w:t>
            </w:r>
            <w:r w:rsidRPr="00D5192A">
              <w:rPr>
                <w:b/>
                <w:bCs/>
                <w:color w:val="000000" w:themeColor="text1"/>
                <w:sz w:val="28"/>
                <w:szCs w:val="28"/>
              </w:rPr>
              <w:t>)</w:t>
            </w:r>
          </w:p>
        </w:tc>
        <w:tc>
          <w:tcPr>
            <w:tcW w:w="4542" w:type="dxa"/>
          </w:tcPr>
          <w:p w:rsidR="00C1237C" w:rsidRPr="00D5192A" w:rsidRDefault="00C1237C" w:rsidP="00C1237C">
            <w:pPr>
              <w:spacing w:before="240" w:line="360" w:lineRule="auto"/>
              <w:contextualSpacing/>
              <w:rPr>
                <w:color w:val="000000" w:themeColor="text1"/>
              </w:rPr>
            </w:pPr>
            <w:r>
              <w:rPr>
                <w:color w:val="000000" w:themeColor="text1"/>
              </w:rPr>
              <w:t>16.79</w:t>
            </w:r>
          </w:p>
        </w:tc>
      </w:tr>
    </w:tbl>
    <w:p w:rsidR="00C1237C" w:rsidRDefault="004C71C5" w:rsidP="00FB1421">
      <w:pPr>
        <w:spacing w:before="240" w:line="360" w:lineRule="auto"/>
        <w:contextualSpacing/>
        <w:jc w:val="both"/>
        <w:rPr>
          <w:i/>
          <w:iCs/>
          <w:sz w:val="18"/>
          <w:szCs w:val="18"/>
          <w:lang w:val="en-GB"/>
        </w:rPr>
      </w:pPr>
      <w:r w:rsidRPr="001712BC">
        <w:rPr>
          <w:i/>
          <w:iCs/>
          <w:sz w:val="18"/>
          <w:szCs w:val="18"/>
          <w:lang w:val="en-GB"/>
        </w:rPr>
        <w:t>Source: Company Financial Report</w:t>
      </w:r>
    </w:p>
    <w:p w:rsidR="00D5023F" w:rsidRPr="00C1237C" w:rsidRDefault="00AA1930" w:rsidP="00FB1421">
      <w:pPr>
        <w:spacing w:before="240" w:line="360" w:lineRule="auto"/>
        <w:contextualSpacing/>
        <w:jc w:val="both"/>
        <w:rPr>
          <w:i/>
          <w:iCs/>
          <w:sz w:val="18"/>
          <w:szCs w:val="18"/>
          <w:lang w:val="en-GB"/>
        </w:rPr>
      </w:pPr>
      <w:r>
        <w:rPr>
          <w:b/>
          <w:bCs/>
          <w:noProof/>
          <w:color w:val="2E74B5" w:themeColor="accent5" w:themeShade="BF"/>
          <w:sz w:val="36"/>
          <w:szCs w:val="36"/>
          <w:lang w:val="en-GB"/>
        </w:rPr>
        <w:lastRenderedPageBreak/>
        <w:drawing>
          <wp:anchor distT="0" distB="0" distL="114300" distR="114300" simplePos="0" relativeHeight="251668480" behindDoc="0" locked="0" layoutInCell="1" allowOverlap="1">
            <wp:simplePos x="0" y="0"/>
            <wp:positionH relativeFrom="margin">
              <wp:posOffset>-11430</wp:posOffset>
            </wp:positionH>
            <wp:positionV relativeFrom="margin">
              <wp:posOffset>345774</wp:posOffset>
            </wp:positionV>
            <wp:extent cx="2927350" cy="2274570"/>
            <wp:effectExtent l="0" t="0" r="6350" b="0"/>
            <wp:wrapSquare wrapText="bothSides"/>
            <wp:docPr id="8472037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03769" name="Picture 8472037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7350" cy="2274570"/>
                    </a:xfrm>
                    <a:prstGeom prst="rect">
                      <a:avLst/>
                    </a:prstGeom>
                  </pic:spPr>
                </pic:pic>
              </a:graphicData>
            </a:graphic>
            <wp14:sizeRelH relativeFrom="margin">
              <wp14:pctWidth>0</wp14:pctWidth>
            </wp14:sizeRelH>
            <wp14:sizeRelV relativeFrom="margin">
              <wp14:pctHeight>0</wp14:pctHeight>
            </wp14:sizeRelV>
          </wp:anchor>
        </w:drawing>
      </w:r>
      <w:r w:rsidR="004C71C5" w:rsidRPr="003419C8">
        <w:rPr>
          <w:b/>
          <w:bCs/>
          <w:color w:val="941651"/>
          <w:sz w:val="36"/>
          <w:szCs w:val="36"/>
          <w:lang w:val="en-GB"/>
        </w:rPr>
        <w:t>SHAREHOLDING PATTERN</w:t>
      </w:r>
    </w:p>
    <w:p w:rsidR="00F178A7" w:rsidRPr="004C71C5" w:rsidRDefault="00F178A7" w:rsidP="00FB1421">
      <w:pPr>
        <w:spacing w:before="240" w:line="360" w:lineRule="auto"/>
        <w:contextualSpacing/>
        <w:jc w:val="both"/>
        <w:rPr>
          <w:b/>
          <w:bCs/>
          <w:color w:val="2E74B5" w:themeColor="accent5" w:themeShade="BF"/>
          <w:sz w:val="36"/>
          <w:szCs w:val="36"/>
          <w:lang w:val="en-GB"/>
        </w:rPr>
      </w:pPr>
    </w:p>
    <w:p w:rsidR="00127FC0" w:rsidRDefault="00127FC0" w:rsidP="00FB1421">
      <w:pPr>
        <w:spacing w:before="240" w:line="360" w:lineRule="auto"/>
        <w:contextualSpacing/>
        <w:jc w:val="both"/>
        <w:rPr>
          <w:i/>
          <w:iCs/>
          <w:sz w:val="18"/>
          <w:szCs w:val="18"/>
          <w:lang w:val="en-GB"/>
        </w:rPr>
      </w:pPr>
    </w:p>
    <w:p w:rsidR="00127FC0" w:rsidRDefault="00127FC0" w:rsidP="00FB1421">
      <w:pPr>
        <w:spacing w:before="240" w:line="360" w:lineRule="auto"/>
        <w:contextualSpacing/>
        <w:jc w:val="both"/>
        <w:rPr>
          <w:i/>
          <w:iCs/>
          <w:sz w:val="18"/>
          <w:szCs w:val="18"/>
          <w:lang w:val="en-GB"/>
        </w:rPr>
      </w:pPr>
    </w:p>
    <w:p w:rsidR="00127FC0" w:rsidRDefault="00127FC0" w:rsidP="00FB1421">
      <w:pPr>
        <w:spacing w:before="240" w:line="360" w:lineRule="auto"/>
        <w:contextualSpacing/>
        <w:jc w:val="both"/>
        <w:rPr>
          <w:i/>
          <w:iCs/>
          <w:sz w:val="18"/>
          <w:szCs w:val="18"/>
          <w:lang w:val="en-GB"/>
        </w:rPr>
      </w:pPr>
    </w:p>
    <w:p w:rsidR="00127FC0" w:rsidRDefault="00127FC0" w:rsidP="00FB1421">
      <w:pPr>
        <w:spacing w:before="240" w:line="360" w:lineRule="auto"/>
        <w:contextualSpacing/>
        <w:jc w:val="both"/>
        <w:rPr>
          <w:i/>
          <w:iCs/>
          <w:sz w:val="18"/>
          <w:szCs w:val="18"/>
          <w:lang w:val="en-GB"/>
        </w:rPr>
      </w:pPr>
    </w:p>
    <w:p w:rsidR="00127FC0" w:rsidRDefault="00127FC0" w:rsidP="00FB1421">
      <w:pPr>
        <w:spacing w:before="240" w:line="360" w:lineRule="auto"/>
        <w:contextualSpacing/>
        <w:jc w:val="both"/>
        <w:rPr>
          <w:i/>
          <w:iCs/>
          <w:sz w:val="18"/>
          <w:szCs w:val="18"/>
          <w:lang w:val="en-GB"/>
        </w:rPr>
      </w:pPr>
    </w:p>
    <w:p w:rsidR="00127FC0" w:rsidRDefault="00127FC0" w:rsidP="00FB1421">
      <w:pPr>
        <w:spacing w:before="240" w:line="360" w:lineRule="auto"/>
        <w:contextualSpacing/>
        <w:jc w:val="both"/>
        <w:rPr>
          <w:i/>
          <w:iCs/>
          <w:sz w:val="18"/>
          <w:szCs w:val="18"/>
          <w:lang w:val="en-GB"/>
        </w:rPr>
      </w:pPr>
    </w:p>
    <w:p w:rsidR="00127FC0" w:rsidRDefault="00127FC0" w:rsidP="00FB1421">
      <w:pPr>
        <w:spacing w:before="240" w:line="360" w:lineRule="auto"/>
        <w:contextualSpacing/>
        <w:jc w:val="both"/>
        <w:rPr>
          <w:i/>
          <w:iCs/>
          <w:sz w:val="18"/>
          <w:szCs w:val="18"/>
          <w:lang w:val="en-GB"/>
        </w:rPr>
      </w:pPr>
    </w:p>
    <w:p w:rsidR="00127FC0" w:rsidRDefault="00127FC0" w:rsidP="00FB1421">
      <w:pPr>
        <w:spacing w:before="240" w:line="360" w:lineRule="auto"/>
        <w:contextualSpacing/>
        <w:jc w:val="both"/>
        <w:rPr>
          <w:i/>
          <w:iCs/>
          <w:sz w:val="18"/>
          <w:szCs w:val="18"/>
          <w:lang w:val="en-GB"/>
        </w:rPr>
      </w:pPr>
    </w:p>
    <w:p w:rsidR="00127FC0" w:rsidRDefault="00127FC0" w:rsidP="00FB1421">
      <w:pPr>
        <w:spacing w:before="240" w:line="360" w:lineRule="auto"/>
        <w:contextualSpacing/>
        <w:jc w:val="both"/>
        <w:rPr>
          <w:i/>
          <w:iCs/>
          <w:sz w:val="18"/>
          <w:szCs w:val="18"/>
          <w:lang w:val="en-GB"/>
        </w:rPr>
      </w:pPr>
    </w:p>
    <w:p w:rsidR="001712BC" w:rsidRDefault="00166212" w:rsidP="00FB1421">
      <w:pPr>
        <w:spacing w:before="240" w:line="360" w:lineRule="auto"/>
        <w:contextualSpacing/>
        <w:jc w:val="both"/>
        <w:rPr>
          <w:i/>
          <w:iCs/>
          <w:sz w:val="18"/>
          <w:szCs w:val="18"/>
          <w:lang w:val="en-GB"/>
        </w:rPr>
      </w:pPr>
      <w:r w:rsidRPr="001712BC">
        <w:rPr>
          <w:i/>
          <w:iCs/>
          <w:sz w:val="18"/>
          <w:szCs w:val="18"/>
          <w:lang w:val="en-GB"/>
        </w:rPr>
        <w:t>Source: Company Shareholding Report</w:t>
      </w:r>
    </w:p>
    <w:p w:rsidR="00857D8E" w:rsidRPr="001712BC" w:rsidRDefault="00857D8E" w:rsidP="00FB1421">
      <w:pPr>
        <w:spacing w:before="240" w:line="360" w:lineRule="auto"/>
        <w:contextualSpacing/>
        <w:jc w:val="both"/>
        <w:rPr>
          <w:i/>
          <w:iCs/>
          <w:sz w:val="18"/>
          <w:szCs w:val="18"/>
          <w:lang w:val="en-GB"/>
        </w:rPr>
      </w:pPr>
    </w:p>
    <w:tbl>
      <w:tblPr>
        <w:tblStyle w:val="TableGrid"/>
        <w:tblW w:w="0" w:type="auto"/>
        <w:tblLook w:val="04A0" w:firstRow="1" w:lastRow="0" w:firstColumn="1" w:lastColumn="0" w:noHBand="0" w:noVBand="1"/>
      </w:tblPr>
      <w:tblGrid>
        <w:gridCol w:w="4368"/>
        <w:gridCol w:w="4368"/>
      </w:tblGrid>
      <w:tr w:rsidR="00166212" w:rsidTr="008A6EDE">
        <w:trPr>
          <w:trHeight w:val="518"/>
        </w:trPr>
        <w:tc>
          <w:tcPr>
            <w:tcW w:w="4368" w:type="dxa"/>
            <w:shd w:val="clear" w:color="auto" w:fill="767171" w:themeFill="background2" w:themeFillShade="80"/>
          </w:tcPr>
          <w:p w:rsidR="00166212" w:rsidRPr="008A6EDE" w:rsidRDefault="00166212" w:rsidP="001662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ook Antiqua" w:hAnsi="Book Antiqua" w:cs="Helvetica"/>
                <w:b/>
                <w:bCs/>
                <w:kern w:val="0"/>
                <w:sz w:val="28"/>
                <w:szCs w:val="28"/>
                <w:lang w:val="en-GB"/>
              </w:rPr>
            </w:pPr>
            <w:r w:rsidRPr="008A6EDE">
              <w:rPr>
                <w:rFonts w:ascii="Book Antiqua" w:hAnsi="Book Antiqua" w:cs="Helvetica"/>
                <w:b/>
                <w:bCs/>
                <w:kern w:val="0"/>
                <w:sz w:val="28"/>
                <w:szCs w:val="28"/>
                <w:lang w:val="en-GB"/>
              </w:rPr>
              <w:t>Majority shareholders</w:t>
            </w:r>
          </w:p>
        </w:tc>
        <w:tc>
          <w:tcPr>
            <w:tcW w:w="4368" w:type="dxa"/>
          </w:tcPr>
          <w:p w:rsidR="00166212" w:rsidRPr="008A6EDE" w:rsidRDefault="00206BCF" w:rsidP="00FB1421">
            <w:pPr>
              <w:spacing w:before="240" w:line="360" w:lineRule="auto"/>
              <w:contextualSpacing/>
              <w:jc w:val="both"/>
              <w:rPr>
                <w:rFonts w:ascii="Book Antiqua" w:hAnsi="Book Antiqua"/>
                <w:color w:val="000000" w:themeColor="text1"/>
                <w:sz w:val="28"/>
                <w:szCs w:val="28"/>
                <w:lang w:val="en-GB"/>
              </w:rPr>
            </w:pPr>
            <w:r>
              <w:rPr>
                <w:rFonts w:ascii="Book Antiqua" w:hAnsi="Book Antiqua"/>
                <w:color w:val="000000" w:themeColor="text1"/>
                <w:sz w:val="28"/>
                <w:szCs w:val="28"/>
                <w:lang w:val="en-GB"/>
              </w:rPr>
              <w:t>Promoters</w:t>
            </w:r>
          </w:p>
        </w:tc>
      </w:tr>
      <w:tr w:rsidR="00166212" w:rsidTr="008A6EDE">
        <w:trPr>
          <w:trHeight w:val="518"/>
        </w:trPr>
        <w:tc>
          <w:tcPr>
            <w:tcW w:w="4368" w:type="dxa"/>
            <w:shd w:val="clear" w:color="auto" w:fill="767171" w:themeFill="background2" w:themeFillShade="80"/>
          </w:tcPr>
          <w:p w:rsidR="00166212" w:rsidRPr="008A6EDE" w:rsidRDefault="00166212" w:rsidP="001662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ook Antiqua" w:hAnsi="Book Antiqua" w:cs="Helvetica"/>
                <w:b/>
                <w:bCs/>
                <w:kern w:val="0"/>
                <w:sz w:val="28"/>
                <w:szCs w:val="28"/>
                <w:lang w:val="en-GB"/>
              </w:rPr>
            </w:pPr>
            <w:proofErr w:type="spellStart"/>
            <w:r w:rsidRPr="008A6EDE">
              <w:rPr>
                <w:rFonts w:ascii="Book Antiqua" w:hAnsi="Book Antiqua" w:cs="Helvetica"/>
                <w:b/>
                <w:bCs/>
                <w:kern w:val="0"/>
                <w:sz w:val="28"/>
                <w:szCs w:val="28"/>
                <w:lang w:val="en-GB"/>
              </w:rPr>
              <w:t>FIl</w:t>
            </w:r>
            <w:r w:rsidR="002E5A65">
              <w:rPr>
                <w:rFonts w:ascii="Book Antiqua" w:hAnsi="Book Antiqua" w:cs="Helvetica"/>
                <w:b/>
                <w:bCs/>
                <w:kern w:val="0"/>
                <w:sz w:val="28"/>
                <w:szCs w:val="28"/>
                <w:lang w:val="en-GB"/>
              </w:rPr>
              <w:t>s</w:t>
            </w:r>
            <w:proofErr w:type="spellEnd"/>
          </w:p>
        </w:tc>
        <w:tc>
          <w:tcPr>
            <w:tcW w:w="4368" w:type="dxa"/>
          </w:tcPr>
          <w:p w:rsidR="008A6EDE" w:rsidRPr="008A6EDE" w:rsidRDefault="008A6EDE" w:rsidP="00166212">
            <w:pPr>
              <w:spacing w:before="240" w:line="360" w:lineRule="auto"/>
              <w:contextualSpacing/>
              <w:jc w:val="both"/>
              <w:rPr>
                <w:rFonts w:ascii="Book Antiqua" w:hAnsi="Book Antiqua"/>
                <w:color w:val="000000" w:themeColor="text1"/>
                <w:sz w:val="28"/>
                <w:szCs w:val="28"/>
              </w:rPr>
            </w:pPr>
            <w:r w:rsidRPr="008A6EDE">
              <w:rPr>
                <w:rFonts w:ascii="Book Antiqua" w:hAnsi="Book Antiqua"/>
                <w:color w:val="000000" w:themeColor="text1"/>
                <w:sz w:val="28"/>
                <w:szCs w:val="28"/>
              </w:rPr>
              <w:t>2</w:t>
            </w:r>
            <w:r w:rsidR="00127FC0">
              <w:rPr>
                <w:rFonts w:ascii="Book Antiqua" w:hAnsi="Book Antiqua"/>
                <w:color w:val="000000" w:themeColor="text1"/>
                <w:sz w:val="28"/>
                <w:szCs w:val="28"/>
              </w:rPr>
              <w:t>1.70</w:t>
            </w:r>
            <w:r w:rsidR="00206BCF">
              <w:rPr>
                <w:rFonts w:ascii="Book Antiqua" w:hAnsi="Book Antiqua"/>
                <w:color w:val="000000" w:themeColor="text1"/>
                <w:sz w:val="28"/>
                <w:szCs w:val="28"/>
              </w:rPr>
              <w:t>%</w:t>
            </w:r>
          </w:p>
        </w:tc>
      </w:tr>
      <w:tr w:rsidR="00166212" w:rsidTr="008A6EDE">
        <w:trPr>
          <w:trHeight w:val="531"/>
        </w:trPr>
        <w:tc>
          <w:tcPr>
            <w:tcW w:w="4368" w:type="dxa"/>
            <w:shd w:val="clear" w:color="auto" w:fill="767171" w:themeFill="background2" w:themeFillShade="80"/>
          </w:tcPr>
          <w:p w:rsidR="00166212" w:rsidRPr="008A6EDE" w:rsidRDefault="00166212" w:rsidP="001662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ook Antiqua" w:hAnsi="Book Antiqua" w:cs="Helvetica"/>
                <w:b/>
                <w:bCs/>
                <w:kern w:val="0"/>
                <w:sz w:val="28"/>
                <w:szCs w:val="28"/>
                <w:lang w:val="en-GB"/>
              </w:rPr>
            </w:pPr>
            <w:r w:rsidRPr="008A6EDE">
              <w:rPr>
                <w:rFonts w:ascii="Book Antiqua" w:hAnsi="Book Antiqua" w:cs="Helvetica"/>
                <w:b/>
                <w:bCs/>
                <w:kern w:val="0"/>
                <w:sz w:val="28"/>
                <w:szCs w:val="28"/>
                <w:lang w:val="en-GB"/>
              </w:rPr>
              <w:t>Mutual Fund</w:t>
            </w:r>
          </w:p>
        </w:tc>
        <w:tc>
          <w:tcPr>
            <w:tcW w:w="4368" w:type="dxa"/>
          </w:tcPr>
          <w:p w:rsidR="00166212" w:rsidRPr="008A6EDE" w:rsidRDefault="00206BCF" w:rsidP="00166212">
            <w:pPr>
              <w:spacing w:before="240" w:line="360" w:lineRule="auto"/>
              <w:contextualSpacing/>
              <w:jc w:val="both"/>
              <w:rPr>
                <w:rFonts w:ascii="Book Antiqua" w:hAnsi="Book Antiqua"/>
                <w:color w:val="000000" w:themeColor="text1"/>
                <w:sz w:val="28"/>
                <w:szCs w:val="28"/>
                <w:lang w:val="en-GB"/>
              </w:rPr>
            </w:pPr>
            <w:r>
              <w:rPr>
                <w:rFonts w:ascii="Book Antiqua" w:hAnsi="Book Antiqua"/>
                <w:color w:val="000000" w:themeColor="text1"/>
                <w:sz w:val="28"/>
                <w:szCs w:val="28"/>
                <w:lang w:val="en-GB"/>
              </w:rPr>
              <w:t>5</w:t>
            </w:r>
            <w:r w:rsidR="008A6EDE" w:rsidRPr="008A6EDE">
              <w:rPr>
                <w:rFonts w:ascii="Book Antiqua" w:hAnsi="Book Antiqua"/>
                <w:color w:val="000000" w:themeColor="text1"/>
                <w:sz w:val="28"/>
                <w:szCs w:val="28"/>
                <w:lang w:val="en-GB"/>
              </w:rPr>
              <w:t>.</w:t>
            </w:r>
            <w:r>
              <w:rPr>
                <w:rFonts w:ascii="Book Antiqua" w:hAnsi="Book Antiqua"/>
                <w:color w:val="000000" w:themeColor="text1"/>
                <w:sz w:val="28"/>
                <w:szCs w:val="28"/>
                <w:lang w:val="en-GB"/>
              </w:rPr>
              <w:t>56</w:t>
            </w:r>
            <w:r w:rsidR="008A6EDE" w:rsidRPr="008A6EDE">
              <w:rPr>
                <w:rFonts w:ascii="Book Antiqua" w:hAnsi="Book Antiqua"/>
                <w:color w:val="000000" w:themeColor="text1"/>
                <w:sz w:val="28"/>
                <w:szCs w:val="28"/>
                <w:lang w:val="en-GB"/>
              </w:rPr>
              <w:t>%</w:t>
            </w:r>
          </w:p>
        </w:tc>
      </w:tr>
      <w:tr w:rsidR="00166212" w:rsidTr="008A6EDE">
        <w:trPr>
          <w:trHeight w:val="518"/>
        </w:trPr>
        <w:tc>
          <w:tcPr>
            <w:tcW w:w="4368" w:type="dxa"/>
            <w:shd w:val="clear" w:color="auto" w:fill="767171" w:themeFill="background2" w:themeFillShade="80"/>
          </w:tcPr>
          <w:p w:rsidR="00166212" w:rsidRPr="008A6EDE" w:rsidRDefault="00166212" w:rsidP="001662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ook Antiqua" w:hAnsi="Book Antiqua" w:cs="Helvetica"/>
                <w:b/>
                <w:bCs/>
                <w:kern w:val="0"/>
                <w:sz w:val="28"/>
                <w:szCs w:val="28"/>
                <w:lang w:val="en-GB"/>
              </w:rPr>
            </w:pPr>
            <w:r w:rsidRPr="008A6EDE">
              <w:rPr>
                <w:rFonts w:ascii="Book Antiqua" w:hAnsi="Book Antiqua" w:cs="Helvetica"/>
                <w:b/>
                <w:bCs/>
                <w:kern w:val="0"/>
                <w:sz w:val="28"/>
                <w:szCs w:val="28"/>
                <w:lang w:val="en-GB"/>
              </w:rPr>
              <w:t>Promoters with Highest Holdings</w:t>
            </w:r>
          </w:p>
        </w:tc>
        <w:tc>
          <w:tcPr>
            <w:tcW w:w="4368" w:type="dxa"/>
          </w:tcPr>
          <w:p w:rsidR="00166212" w:rsidRPr="008A6EDE" w:rsidRDefault="00AB08D1" w:rsidP="00166212">
            <w:pPr>
              <w:spacing w:before="240" w:line="360" w:lineRule="auto"/>
              <w:contextualSpacing/>
              <w:jc w:val="both"/>
              <w:rPr>
                <w:rFonts w:ascii="Book Antiqua" w:hAnsi="Book Antiqua"/>
                <w:color w:val="000000" w:themeColor="text1"/>
                <w:sz w:val="28"/>
                <w:szCs w:val="28"/>
                <w:lang w:val="en-GB"/>
              </w:rPr>
            </w:pPr>
            <w:r>
              <w:rPr>
                <w:rFonts w:ascii="Book Antiqua" w:hAnsi="Book Antiqua"/>
                <w:color w:val="000000" w:themeColor="text1"/>
                <w:sz w:val="28"/>
                <w:szCs w:val="28"/>
                <w:lang w:val="en-GB"/>
              </w:rPr>
              <w:t>None</w:t>
            </w:r>
          </w:p>
        </w:tc>
      </w:tr>
      <w:tr w:rsidR="00166212" w:rsidTr="008A6EDE">
        <w:trPr>
          <w:trHeight w:val="518"/>
        </w:trPr>
        <w:tc>
          <w:tcPr>
            <w:tcW w:w="4368" w:type="dxa"/>
            <w:shd w:val="clear" w:color="auto" w:fill="767171" w:themeFill="background2" w:themeFillShade="80"/>
          </w:tcPr>
          <w:p w:rsidR="00166212" w:rsidRPr="008A6EDE" w:rsidRDefault="00166212" w:rsidP="001662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ook Antiqua" w:hAnsi="Book Antiqua" w:cs="Helvetica"/>
                <w:b/>
                <w:bCs/>
                <w:kern w:val="0"/>
                <w:sz w:val="28"/>
                <w:szCs w:val="28"/>
                <w:lang w:val="en-GB"/>
              </w:rPr>
            </w:pPr>
            <w:r w:rsidRPr="008A6EDE">
              <w:rPr>
                <w:rFonts w:ascii="Book Antiqua" w:hAnsi="Book Antiqua" w:cs="Helvetica"/>
                <w:b/>
                <w:bCs/>
                <w:kern w:val="0"/>
                <w:sz w:val="28"/>
                <w:szCs w:val="28"/>
                <w:lang w:val="en-GB"/>
              </w:rPr>
              <w:t>Pledged Promoter Holding</w:t>
            </w:r>
          </w:p>
        </w:tc>
        <w:tc>
          <w:tcPr>
            <w:tcW w:w="4368" w:type="dxa"/>
          </w:tcPr>
          <w:p w:rsidR="00166212" w:rsidRPr="008A6EDE" w:rsidRDefault="00166212" w:rsidP="00166212">
            <w:pPr>
              <w:spacing w:before="240" w:line="360" w:lineRule="auto"/>
              <w:contextualSpacing/>
              <w:jc w:val="both"/>
              <w:rPr>
                <w:rFonts w:ascii="Book Antiqua" w:hAnsi="Book Antiqua"/>
                <w:color w:val="000000" w:themeColor="text1"/>
                <w:sz w:val="28"/>
                <w:szCs w:val="28"/>
                <w:lang w:val="en-GB"/>
              </w:rPr>
            </w:pPr>
            <w:r w:rsidRPr="008A6EDE">
              <w:rPr>
                <w:rFonts w:ascii="Book Antiqua" w:hAnsi="Book Antiqua"/>
                <w:color w:val="000000" w:themeColor="text1"/>
                <w:sz w:val="28"/>
                <w:szCs w:val="28"/>
                <w:lang w:val="en-GB"/>
              </w:rPr>
              <w:t>None</w:t>
            </w:r>
          </w:p>
        </w:tc>
      </w:tr>
      <w:tr w:rsidR="00166212" w:rsidTr="008A6EDE">
        <w:trPr>
          <w:trHeight w:val="518"/>
        </w:trPr>
        <w:tc>
          <w:tcPr>
            <w:tcW w:w="4368" w:type="dxa"/>
            <w:shd w:val="clear" w:color="auto" w:fill="767171" w:themeFill="background2" w:themeFillShade="80"/>
          </w:tcPr>
          <w:p w:rsidR="00166212" w:rsidRPr="008A6EDE" w:rsidRDefault="008A6EDE" w:rsidP="001662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ook Antiqua" w:hAnsi="Book Antiqua" w:cs="Helvetica"/>
                <w:b/>
                <w:bCs/>
                <w:kern w:val="0"/>
                <w:sz w:val="28"/>
                <w:szCs w:val="28"/>
                <w:lang w:val="en-GB"/>
              </w:rPr>
            </w:pPr>
            <w:r w:rsidRPr="008A6EDE">
              <w:rPr>
                <w:rFonts w:ascii="Book Antiqua" w:hAnsi="Book Antiqua" w:cs="Helvetica"/>
                <w:b/>
                <w:bCs/>
                <w:kern w:val="0"/>
                <w:sz w:val="28"/>
                <w:szCs w:val="28"/>
                <w:lang w:val="en-GB"/>
              </w:rPr>
              <w:t>Largest</w:t>
            </w:r>
            <w:r w:rsidR="00166212" w:rsidRPr="008A6EDE">
              <w:rPr>
                <w:rFonts w:ascii="Book Antiqua" w:hAnsi="Book Antiqua" w:cs="Helvetica"/>
                <w:b/>
                <w:bCs/>
                <w:kern w:val="0"/>
                <w:sz w:val="28"/>
                <w:szCs w:val="28"/>
                <w:lang w:val="en-GB"/>
              </w:rPr>
              <w:t xml:space="preserve"> </w:t>
            </w:r>
            <w:r w:rsidRPr="008A6EDE">
              <w:rPr>
                <w:rFonts w:ascii="Book Antiqua" w:hAnsi="Book Antiqua" w:cs="Helvetica"/>
                <w:b/>
                <w:bCs/>
                <w:kern w:val="0"/>
                <w:sz w:val="28"/>
                <w:szCs w:val="28"/>
                <w:lang w:val="en-GB"/>
              </w:rPr>
              <w:t>Single</w:t>
            </w:r>
            <w:r w:rsidR="00166212" w:rsidRPr="008A6EDE">
              <w:rPr>
                <w:rFonts w:ascii="Book Antiqua" w:hAnsi="Book Antiqua" w:cs="Helvetica"/>
                <w:b/>
                <w:bCs/>
                <w:kern w:val="0"/>
                <w:sz w:val="28"/>
                <w:szCs w:val="28"/>
                <w:lang w:val="en-GB"/>
              </w:rPr>
              <w:t xml:space="preserve"> Shareholder</w:t>
            </w:r>
          </w:p>
        </w:tc>
        <w:tc>
          <w:tcPr>
            <w:tcW w:w="4368" w:type="dxa"/>
          </w:tcPr>
          <w:p w:rsidR="00166212" w:rsidRPr="008A6EDE" w:rsidRDefault="00AB08D1" w:rsidP="00166212">
            <w:pPr>
              <w:spacing w:before="240" w:line="360" w:lineRule="auto"/>
              <w:contextualSpacing/>
              <w:jc w:val="both"/>
              <w:rPr>
                <w:rFonts w:ascii="Book Antiqua" w:hAnsi="Book Antiqua"/>
                <w:color w:val="000000" w:themeColor="text1"/>
                <w:sz w:val="28"/>
                <w:szCs w:val="28"/>
                <w:lang w:val="en-GB"/>
              </w:rPr>
            </w:pPr>
            <w:r>
              <w:rPr>
                <w:rFonts w:ascii="Book Antiqua" w:hAnsi="Book Antiqua"/>
                <w:color w:val="000000" w:themeColor="text1"/>
                <w:sz w:val="28"/>
                <w:szCs w:val="28"/>
                <w:lang w:val="en-GB"/>
              </w:rPr>
              <w:t>None</w:t>
            </w:r>
          </w:p>
        </w:tc>
      </w:tr>
      <w:tr w:rsidR="00166212" w:rsidTr="008A6EDE">
        <w:trPr>
          <w:trHeight w:val="518"/>
        </w:trPr>
        <w:tc>
          <w:tcPr>
            <w:tcW w:w="4368" w:type="dxa"/>
            <w:shd w:val="clear" w:color="auto" w:fill="767171" w:themeFill="background2" w:themeFillShade="80"/>
          </w:tcPr>
          <w:p w:rsidR="00166212" w:rsidRPr="008A6EDE" w:rsidRDefault="00166212" w:rsidP="00166212">
            <w:pPr>
              <w:spacing w:before="240" w:line="360" w:lineRule="auto"/>
              <w:contextualSpacing/>
              <w:jc w:val="both"/>
              <w:rPr>
                <w:rFonts w:ascii="Book Antiqua" w:hAnsi="Book Antiqua"/>
                <w:b/>
                <w:bCs/>
                <w:color w:val="000000" w:themeColor="text1"/>
                <w:sz w:val="28"/>
                <w:szCs w:val="28"/>
                <w:lang w:val="en-GB"/>
              </w:rPr>
            </w:pPr>
            <w:r w:rsidRPr="008A6EDE">
              <w:rPr>
                <w:rFonts w:ascii="Book Antiqua" w:hAnsi="Book Antiqua" w:cs="Helvetica"/>
                <w:b/>
                <w:bCs/>
                <w:kern w:val="0"/>
                <w:sz w:val="28"/>
                <w:szCs w:val="28"/>
                <w:lang w:val="en-GB"/>
              </w:rPr>
              <w:t>Individual Investors holdings</w:t>
            </w:r>
          </w:p>
        </w:tc>
        <w:tc>
          <w:tcPr>
            <w:tcW w:w="4368" w:type="dxa"/>
          </w:tcPr>
          <w:p w:rsidR="00166212" w:rsidRPr="008A6EDE" w:rsidRDefault="00AB08D1" w:rsidP="00166212">
            <w:pPr>
              <w:spacing w:before="240" w:line="360" w:lineRule="auto"/>
              <w:contextualSpacing/>
              <w:jc w:val="both"/>
              <w:rPr>
                <w:rFonts w:ascii="Book Antiqua" w:hAnsi="Book Antiqua"/>
                <w:color w:val="000000" w:themeColor="text1"/>
                <w:sz w:val="28"/>
                <w:szCs w:val="28"/>
                <w:lang w:val="en-GB"/>
              </w:rPr>
            </w:pPr>
            <w:r>
              <w:rPr>
                <w:rFonts w:ascii="Book Antiqua" w:hAnsi="Book Antiqua"/>
                <w:color w:val="000000" w:themeColor="text1"/>
                <w:sz w:val="28"/>
                <w:szCs w:val="28"/>
                <w:lang w:val="en-GB"/>
              </w:rPr>
              <w:t>4.06</w:t>
            </w:r>
            <w:r w:rsidR="008A6EDE" w:rsidRPr="008A6EDE">
              <w:rPr>
                <w:rFonts w:ascii="Book Antiqua" w:hAnsi="Book Antiqua"/>
                <w:color w:val="000000" w:themeColor="text1"/>
                <w:sz w:val="28"/>
                <w:szCs w:val="28"/>
                <w:lang w:val="en-GB"/>
              </w:rPr>
              <w:t>%</w:t>
            </w:r>
          </w:p>
        </w:tc>
      </w:tr>
    </w:tbl>
    <w:p w:rsidR="001712BC" w:rsidRDefault="001712BC" w:rsidP="009F6553">
      <w:pPr>
        <w:spacing w:before="240" w:line="360" w:lineRule="auto"/>
        <w:contextualSpacing/>
        <w:rPr>
          <w:b/>
          <w:bCs/>
          <w:color w:val="2E74B5" w:themeColor="accent5" w:themeShade="BF"/>
          <w:sz w:val="36"/>
          <w:szCs w:val="36"/>
          <w:lang w:val="en-GB"/>
        </w:rPr>
      </w:pPr>
    </w:p>
    <w:p w:rsidR="00CC09A5" w:rsidRPr="003419C8" w:rsidRDefault="008A6EDE" w:rsidP="009F6553">
      <w:pPr>
        <w:spacing w:before="240" w:line="360" w:lineRule="auto"/>
        <w:contextualSpacing/>
        <w:rPr>
          <w:b/>
          <w:bCs/>
          <w:color w:val="941651"/>
          <w:sz w:val="36"/>
          <w:szCs w:val="36"/>
          <w:lang w:val="en-GB"/>
        </w:rPr>
      </w:pPr>
      <w:r w:rsidRPr="003419C8">
        <w:rPr>
          <w:b/>
          <w:bCs/>
          <w:color w:val="941651"/>
          <w:sz w:val="36"/>
          <w:szCs w:val="36"/>
          <w:lang w:val="en-GB"/>
        </w:rPr>
        <w:t>SHAREHOLDING COMPARE (%</w:t>
      </w:r>
      <w:r w:rsidR="009F6553" w:rsidRPr="003419C8">
        <w:rPr>
          <w:b/>
          <w:bCs/>
          <w:color w:val="941651"/>
          <w:sz w:val="36"/>
          <w:szCs w:val="36"/>
          <w:lang w:val="en-GB"/>
        </w:rPr>
        <w:t xml:space="preserve"> Holding</w:t>
      </w:r>
      <w:r w:rsidRPr="003419C8">
        <w:rPr>
          <w:b/>
          <w:bCs/>
          <w:color w:val="941651"/>
          <w:sz w:val="36"/>
          <w:szCs w:val="36"/>
          <w:lang w:val="en-GB"/>
        </w:rPr>
        <w:t>)</w:t>
      </w:r>
    </w:p>
    <w:tbl>
      <w:tblPr>
        <w:tblStyle w:val="TableGrid"/>
        <w:tblW w:w="9588" w:type="dxa"/>
        <w:tblLook w:val="04A0" w:firstRow="1" w:lastRow="0" w:firstColumn="1" w:lastColumn="0" w:noHBand="0" w:noVBand="1"/>
      </w:tblPr>
      <w:tblGrid>
        <w:gridCol w:w="2397"/>
        <w:gridCol w:w="2397"/>
        <w:gridCol w:w="2397"/>
        <w:gridCol w:w="2397"/>
      </w:tblGrid>
      <w:tr w:rsidR="009F6553" w:rsidRPr="0038158D" w:rsidTr="0038158D">
        <w:trPr>
          <w:trHeight w:val="740"/>
        </w:trPr>
        <w:tc>
          <w:tcPr>
            <w:tcW w:w="2397" w:type="dxa"/>
            <w:shd w:val="clear" w:color="auto" w:fill="767171" w:themeFill="background2" w:themeFillShade="80"/>
          </w:tcPr>
          <w:p w:rsidR="009F6553" w:rsidRPr="0038158D" w:rsidRDefault="009F6553" w:rsidP="009F6553">
            <w:pPr>
              <w:spacing w:before="240"/>
              <w:contextualSpacing/>
              <w:jc w:val="both"/>
              <w:rPr>
                <w:rFonts w:ascii="Book Antiqua" w:hAnsi="Book Antiqua"/>
                <w:b/>
                <w:bCs/>
                <w:color w:val="000000" w:themeColor="text1"/>
                <w:sz w:val="28"/>
                <w:szCs w:val="28"/>
                <w:lang w:val="en-GB"/>
              </w:rPr>
            </w:pPr>
            <w:r w:rsidRPr="0038158D">
              <w:rPr>
                <w:rFonts w:ascii="Book Antiqua" w:hAnsi="Book Antiqua"/>
                <w:b/>
                <w:bCs/>
                <w:color w:val="000000" w:themeColor="text1"/>
                <w:sz w:val="28"/>
                <w:szCs w:val="28"/>
                <w:lang w:val="en-GB"/>
              </w:rPr>
              <w:t>Majority shareholders</w:t>
            </w:r>
          </w:p>
        </w:tc>
        <w:tc>
          <w:tcPr>
            <w:tcW w:w="2397" w:type="dxa"/>
          </w:tcPr>
          <w:p w:rsidR="009F6553" w:rsidRPr="0038158D" w:rsidRDefault="00AB08D1" w:rsidP="0038158D">
            <w:pPr>
              <w:spacing w:before="240"/>
              <w:contextualSpacing/>
              <w:jc w:val="center"/>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62.5</w:t>
            </w:r>
            <w:r w:rsidR="002E5A65" w:rsidRPr="0038158D">
              <w:rPr>
                <w:rFonts w:ascii="Book Antiqua" w:hAnsi="Book Antiqua"/>
                <w:b/>
                <w:bCs/>
                <w:color w:val="000000" w:themeColor="text1"/>
                <w:sz w:val="28"/>
                <w:szCs w:val="28"/>
                <w:lang w:val="en-GB"/>
              </w:rPr>
              <w:t>%</w:t>
            </w:r>
          </w:p>
        </w:tc>
        <w:tc>
          <w:tcPr>
            <w:tcW w:w="2397" w:type="dxa"/>
          </w:tcPr>
          <w:p w:rsidR="009F6553" w:rsidRPr="0038158D" w:rsidRDefault="00525943" w:rsidP="0038158D">
            <w:pPr>
              <w:spacing w:before="240"/>
              <w:contextualSpacing/>
              <w:jc w:val="center"/>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63.21</w:t>
            </w:r>
            <w:r w:rsidR="00AB08D1">
              <w:rPr>
                <w:rFonts w:ascii="Book Antiqua" w:hAnsi="Book Antiqua"/>
                <w:b/>
                <w:bCs/>
                <w:color w:val="000000" w:themeColor="text1"/>
                <w:sz w:val="28"/>
                <w:szCs w:val="28"/>
                <w:lang w:val="en-GB"/>
              </w:rPr>
              <w:t>%</w:t>
            </w:r>
          </w:p>
        </w:tc>
        <w:tc>
          <w:tcPr>
            <w:tcW w:w="2397" w:type="dxa"/>
          </w:tcPr>
          <w:p w:rsidR="009F6553" w:rsidRPr="0038158D" w:rsidRDefault="00525943" w:rsidP="0038158D">
            <w:pPr>
              <w:spacing w:before="240"/>
              <w:contextualSpacing/>
              <w:jc w:val="center"/>
              <w:rPr>
                <w:rFonts w:ascii="Book Antiqua" w:hAnsi="Book Antiqua"/>
                <w:b/>
                <w:bCs/>
                <w:color w:val="00B050"/>
                <w:sz w:val="28"/>
                <w:szCs w:val="28"/>
                <w:lang w:val="en-GB"/>
              </w:rPr>
            </w:pPr>
            <w:r w:rsidRPr="00525943">
              <w:rPr>
                <w:rFonts w:ascii="Book Antiqua" w:hAnsi="Book Antiqua"/>
                <w:b/>
                <w:bCs/>
                <w:color w:val="FF0000"/>
                <w:sz w:val="28"/>
                <w:szCs w:val="28"/>
                <w:lang w:val="en-GB"/>
              </w:rPr>
              <w:t>-</w:t>
            </w:r>
            <w:r w:rsidR="002E5A65" w:rsidRPr="00525943">
              <w:rPr>
                <w:rFonts w:ascii="Book Antiqua" w:hAnsi="Book Antiqua"/>
                <w:b/>
                <w:bCs/>
                <w:color w:val="FF0000"/>
                <w:sz w:val="28"/>
                <w:szCs w:val="28"/>
                <w:lang w:val="en-GB"/>
              </w:rPr>
              <w:t>0</w:t>
            </w:r>
            <w:r w:rsidRPr="00525943">
              <w:rPr>
                <w:rFonts w:ascii="Book Antiqua" w:hAnsi="Book Antiqua"/>
                <w:b/>
                <w:bCs/>
                <w:color w:val="FF0000"/>
                <w:sz w:val="28"/>
                <w:szCs w:val="28"/>
                <w:lang w:val="en-GB"/>
              </w:rPr>
              <w:t>.7</w:t>
            </w:r>
            <w:r w:rsidR="002E5A65" w:rsidRPr="00525943">
              <w:rPr>
                <w:rFonts w:ascii="Book Antiqua" w:hAnsi="Book Antiqua"/>
                <w:b/>
                <w:bCs/>
                <w:color w:val="FF0000"/>
                <w:sz w:val="28"/>
                <w:szCs w:val="28"/>
                <w:lang w:val="en-GB"/>
              </w:rPr>
              <w:t>%</w:t>
            </w:r>
          </w:p>
        </w:tc>
      </w:tr>
      <w:tr w:rsidR="009F6553" w:rsidRPr="0038158D" w:rsidTr="0038158D">
        <w:trPr>
          <w:trHeight w:val="383"/>
        </w:trPr>
        <w:tc>
          <w:tcPr>
            <w:tcW w:w="2397" w:type="dxa"/>
            <w:shd w:val="clear" w:color="auto" w:fill="767171" w:themeFill="background2" w:themeFillShade="80"/>
          </w:tcPr>
          <w:p w:rsidR="009F6553" w:rsidRPr="0038158D" w:rsidRDefault="009F6553" w:rsidP="009F6553">
            <w:pPr>
              <w:spacing w:before="240"/>
              <w:contextualSpacing/>
              <w:jc w:val="both"/>
              <w:rPr>
                <w:rFonts w:ascii="Book Antiqua" w:hAnsi="Book Antiqua"/>
                <w:b/>
                <w:bCs/>
                <w:color w:val="000000" w:themeColor="text1"/>
                <w:sz w:val="28"/>
                <w:szCs w:val="28"/>
                <w:lang w:val="en-GB"/>
              </w:rPr>
            </w:pPr>
            <w:r w:rsidRPr="0038158D">
              <w:rPr>
                <w:rFonts w:ascii="Book Antiqua" w:hAnsi="Book Antiqua"/>
                <w:b/>
                <w:bCs/>
                <w:color w:val="000000" w:themeColor="text1"/>
                <w:sz w:val="28"/>
                <w:szCs w:val="28"/>
                <w:lang w:val="en-GB"/>
              </w:rPr>
              <w:t>FIIs</w:t>
            </w:r>
          </w:p>
        </w:tc>
        <w:tc>
          <w:tcPr>
            <w:tcW w:w="2397" w:type="dxa"/>
          </w:tcPr>
          <w:p w:rsidR="009F6553" w:rsidRPr="0038158D" w:rsidRDefault="0038158D" w:rsidP="0038158D">
            <w:pPr>
              <w:spacing w:before="240"/>
              <w:contextualSpacing/>
              <w:jc w:val="center"/>
              <w:rPr>
                <w:rFonts w:ascii="Book Antiqua" w:hAnsi="Book Antiqua"/>
                <w:b/>
                <w:bCs/>
                <w:color w:val="000000" w:themeColor="text1"/>
                <w:sz w:val="28"/>
                <w:szCs w:val="28"/>
                <w:lang w:val="en-GB"/>
              </w:rPr>
            </w:pPr>
            <w:r w:rsidRPr="0038158D">
              <w:rPr>
                <w:rFonts w:ascii="Book Antiqua" w:hAnsi="Book Antiqua"/>
                <w:b/>
                <w:bCs/>
                <w:color w:val="000000" w:themeColor="text1"/>
                <w:sz w:val="28"/>
                <w:szCs w:val="28"/>
                <w:lang w:val="en-GB"/>
              </w:rPr>
              <w:t>2</w:t>
            </w:r>
            <w:r w:rsidR="00525943">
              <w:rPr>
                <w:rFonts w:ascii="Book Antiqua" w:hAnsi="Book Antiqua"/>
                <w:b/>
                <w:bCs/>
                <w:color w:val="000000" w:themeColor="text1"/>
                <w:sz w:val="28"/>
                <w:szCs w:val="28"/>
                <w:lang w:val="en-GB"/>
              </w:rPr>
              <w:t>2.56</w:t>
            </w:r>
            <w:r w:rsidRPr="0038158D">
              <w:rPr>
                <w:rFonts w:ascii="Book Antiqua" w:hAnsi="Book Antiqua"/>
                <w:b/>
                <w:bCs/>
                <w:color w:val="000000" w:themeColor="text1"/>
                <w:sz w:val="28"/>
                <w:szCs w:val="28"/>
                <w:lang w:val="en-GB"/>
              </w:rPr>
              <w:t>%</w:t>
            </w:r>
          </w:p>
        </w:tc>
        <w:tc>
          <w:tcPr>
            <w:tcW w:w="2397" w:type="dxa"/>
          </w:tcPr>
          <w:p w:rsidR="009F6553" w:rsidRPr="0038158D" w:rsidRDefault="0038158D" w:rsidP="0038158D">
            <w:pPr>
              <w:spacing w:before="240"/>
              <w:contextualSpacing/>
              <w:jc w:val="center"/>
              <w:rPr>
                <w:rFonts w:ascii="Book Antiqua" w:hAnsi="Book Antiqua"/>
                <w:b/>
                <w:bCs/>
                <w:color w:val="000000" w:themeColor="text1"/>
                <w:sz w:val="28"/>
                <w:szCs w:val="28"/>
                <w:lang w:val="en-GB"/>
              </w:rPr>
            </w:pPr>
            <w:r w:rsidRPr="0038158D">
              <w:rPr>
                <w:rFonts w:ascii="Book Antiqua" w:hAnsi="Book Antiqua"/>
                <w:b/>
                <w:bCs/>
                <w:color w:val="000000" w:themeColor="text1"/>
                <w:sz w:val="28"/>
                <w:szCs w:val="28"/>
                <w:lang w:val="en-GB"/>
              </w:rPr>
              <w:t>23.</w:t>
            </w:r>
            <w:r w:rsidR="00525943">
              <w:rPr>
                <w:rFonts w:ascii="Book Antiqua" w:hAnsi="Book Antiqua"/>
                <w:b/>
                <w:bCs/>
                <w:color w:val="000000" w:themeColor="text1"/>
                <w:sz w:val="28"/>
                <w:szCs w:val="28"/>
                <w:lang w:val="en-GB"/>
              </w:rPr>
              <w:t>72</w:t>
            </w:r>
            <w:r w:rsidRPr="0038158D">
              <w:rPr>
                <w:rFonts w:ascii="Book Antiqua" w:hAnsi="Book Antiqua"/>
                <w:b/>
                <w:bCs/>
                <w:color w:val="000000" w:themeColor="text1"/>
                <w:sz w:val="28"/>
                <w:szCs w:val="28"/>
                <w:lang w:val="en-GB"/>
              </w:rPr>
              <w:t>%</w:t>
            </w:r>
          </w:p>
        </w:tc>
        <w:tc>
          <w:tcPr>
            <w:tcW w:w="2397" w:type="dxa"/>
          </w:tcPr>
          <w:p w:rsidR="009F6553" w:rsidRPr="0038158D" w:rsidRDefault="00525943" w:rsidP="0038158D">
            <w:pPr>
              <w:spacing w:before="240"/>
              <w:contextualSpacing/>
              <w:jc w:val="center"/>
              <w:rPr>
                <w:rFonts w:ascii="Book Antiqua" w:hAnsi="Book Antiqua"/>
                <w:b/>
                <w:bCs/>
                <w:color w:val="00B050"/>
                <w:sz w:val="28"/>
                <w:szCs w:val="28"/>
                <w:lang w:val="en-GB"/>
              </w:rPr>
            </w:pPr>
            <w:r w:rsidRPr="00525943">
              <w:rPr>
                <w:rFonts w:ascii="Book Antiqua" w:hAnsi="Book Antiqua"/>
                <w:b/>
                <w:bCs/>
                <w:color w:val="EE0000"/>
                <w:sz w:val="28"/>
                <w:szCs w:val="28"/>
                <w:lang w:val="en-GB"/>
              </w:rPr>
              <w:t>-1.</w:t>
            </w:r>
            <w:r>
              <w:rPr>
                <w:rFonts w:ascii="Book Antiqua" w:hAnsi="Book Antiqua"/>
                <w:b/>
                <w:bCs/>
                <w:color w:val="EE0000"/>
                <w:sz w:val="28"/>
                <w:szCs w:val="28"/>
                <w:lang w:val="en-GB"/>
              </w:rPr>
              <w:t>1</w:t>
            </w:r>
            <w:r w:rsidRPr="00525943">
              <w:rPr>
                <w:rFonts w:ascii="Book Antiqua" w:hAnsi="Book Antiqua"/>
                <w:b/>
                <w:bCs/>
                <w:color w:val="EE0000"/>
                <w:sz w:val="28"/>
                <w:szCs w:val="28"/>
                <w:lang w:val="en-GB"/>
              </w:rPr>
              <w:t>6</w:t>
            </w:r>
            <w:r w:rsidR="0038158D" w:rsidRPr="00525943">
              <w:rPr>
                <w:rFonts w:ascii="Book Antiqua" w:hAnsi="Book Antiqua"/>
                <w:b/>
                <w:bCs/>
                <w:color w:val="EE0000"/>
                <w:sz w:val="28"/>
                <w:szCs w:val="28"/>
                <w:lang w:val="en-GB"/>
              </w:rPr>
              <w:t>%</w:t>
            </w:r>
          </w:p>
        </w:tc>
      </w:tr>
      <w:tr w:rsidR="009F6553" w:rsidRPr="0038158D" w:rsidTr="0038158D">
        <w:trPr>
          <w:trHeight w:val="368"/>
        </w:trPr>
        <w:tc>
          <w:tcPr>
            <w:tcW w:w="2397" w:type="dxa"/>
            <w:shd w:val="clear" w:color="auto" w:fill="767171" w:themeFill="background2" w:themeFillShade="80"/>
          </w:tcPr>
          <w:p w:rsidR="009F6553" w:rsidRPr="0038158D" w:rsidRDefault="009F6553" w:rsidP="009F6553">
            <w:pPr>
              <w:spacing w:before="240"/>
              <w:contextualSpacing/>
              <w:jc w:val="both"/>
              <w:rPr>
                <w:rFonts w:ascii="Book Antiqua" w:hAnsi="Book Antiqua"/>
                <w:b/>
                <w:bCs/>
                <w:color w:val="000000" w:themeColor="text1"/>
                <w:sz w:val="28"/>
                <w:szCs w:val="28"/>
                <w:lang w:val="en-GB"/>
              </w:rPr>
            </w:pPr>
            <w:r w:rsidRPr="0038158D">
              <w:rPr>
                <w:rFonts w:ascii="Book Antiqua" w:hAnsi="Book Antiqua"/>
                <w:b/>
                <w:bCs/>
                <w:color w:val="000000" w:themeColor="text1"/>
                <w:sz w:val="28"/>
                <w:szCs w:val="28"/>
                <w:lang w:val="en-GB"/>
              </w:rPr>
              <w:t>Mutual Fund</w:t>
            </w:r>
          </w:p>
        </w:tc>
        <w:tc>
          <w:tcPr>
            <w:tcW w:w="2397" w:type="dxa"/>
          </w:tcPr>
          <w:p w:rsidR="009F6553" w:rsidRPr="0038158D" w:rsidRDefault="00525943" w:rsidP="0038158D">
            <w:pPr>
              <w:spacing w:before="240"/>
              <w:contextualSpacing/>
              <w:jc w:val="center"/>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5.56</w:t>
            </w:r>
            <w:r w:rsidR="0038158D" w:rsidRPr="0038158D">
              <w:rPr>
                <w:rFonts w:ascii="Book Antiqua" w:hAnsi="Book Antiqua"/>
                <w:b/>
                <w:bCs/>
                <w:color w:val="000000" w:themeColor="text1"/>
                <w:sz w:val="28"/>
                <w:szCs w:val="28"/>
                <w:lang w:val="en-GB"/>
              </w:rPr>
              <w:t>%</w:t>
            </w:r>
          </w:p>
        </w:tc>
        <w:tc>
          <w:tcPr>
            <w:tcW w:w="2397" w:type="dxa"/>
          </w:tcPr>
          <w:p w:rsidR="009F6553" w:rsidRPr="0038158D" w:rsidRDefault="00525943" w:rsidP="0038158D">
            <w:pPr>
              <w:spacing w:before="240"/>
              <w:contextualSpacing/>
              <w:jc w:val="center"/>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3.88</w:t>
            </w:r>
            <w:r w:rsidR="0038158D" w:rsidRPr="0038158D">
              <w:rPr>
                <w:rFonts w:ascii="Book Antiqua" w:hAnsi="Book Antiqua"/>
                <w:b/>
                <w:bCs/>
                <w:color w:val="000000" w:themeColor="text1"/>
                <w:sz w:val="28"/>
                <w:szCs w:val="28"/>
                <w:lang w:val="en-GB"/>
              </w:rPr>
              <w:t>%</w:t>
            </w:r>
          </w:p>
        </w:tc>
        <w:tc>
          <w:tcPr>
            <w:tcW w:w="2397" w:type="dxa"/>
          </w:tcPr>
          <w:p w:rsidR="009F6553" w:rsidRPr="0038158D" w:rsidRDefault="0038158D" w:rsidP="0038158D">
            <w:pPr>
              <w:spacing w:before="240"/>
              <w:contextualSpacing/>
              <w:jc w:val="center"/>
              <w:rPr>
                <w:rFonts w:ascii="Book Antiqua" w:hAnsi="Book Antiqua"/>
                <w:b/>
                <w:bCs/>
                <w:color w:val="00B050"/>
                <w:sz w:val="28"/>
                <w:szCs w:val="28"/>
                <w:lang w:val="en-GB"/>
              </w:rPr>
            </w:pPr>
            <w:r w:rsidRPr="0038158D">
              <w:rPr>
                <w:rFonts w:ascii="Book Antiqua" w:hAnsi="Book Antiqua"/>
                <w:b/>
                <w:bCs/>
                <w:color w:val="00B050"/>
                <w:sz w:val="28"/>
                <w:szCs w:val="28"/>
                <w:lang w:val="en-GB"/>
              </w:rPr>
              <w:t>+1.</w:t>
            </w:r>
            <w:r w:rsidR="00525943">
              <w:rPr>
                <w:rFonts w:ascii="Book Antiqua" w:hAnsi="Book Antiqua"/>
                <w:b/>
                <w:bCs/>
                <w:color w:val="00B050"/>
                <w:sz w:val="28"/>
                <w:szCs w:val="28"/>
                <w:lang w:val="en-GB"/>
              </w:rPr>
              <w:t>68</w:t>
            </w:r>
            <w:r w:rsidRPr="0038158D">
              <w:rPr>
                <w:rFonts w:ascii="Book Antiqua" w:hAnsi="Book Antiqua"/>
                <w:b/>
                <w:bCs/>
                <w:color w:val="00B050"/>
                <w:sz w:val="28"/>
                <w:szCs w:val="28"/>
                <w:lang w:val="en-GB"/>
              </w:rPr>
              <w:t>%</w:t>
            </w:r>
          </w:p>
        </w:tc>
      </w:tr>
      <w:tr w:rsidR="009F6553" w:rsidRPr="0038158D" w:rsidTr="0038158D">
        <w:trPr>
          <w:trHeight w:val="740"/>
        </w:trPr>
        <w:tc>
          <w:tcPr>
            <w:tcW w:w="2397" w:type="dxa"/>
            <w:shd w:val="clear" w:color="auto" w:fill="767171" w:themeFill="background2" w:themeFillShade="80"/>
          </w:tcPr>
          <w:p w:rsidR="009F6553" w:rsidRPr="0038158D" w:rsidRDefault="009F6553" w:rsidP="002E5A65">
            <w:pPr>
              <w:spacing w:before="240"/>
              <w:contextualSpacing/>
              <w:jc w:val="both"/>
              <w:rPr>
                <w:rFonts w:ascii="Book Antiqua" w:hAnsi="Book Antiqua"/>
                <w:b/>
                <w:bCs/>
                <w:color w:val="000000" w:themeColor="text1"/>
                <w:sz w:val="28"/>
                <w:szCs w:val="28"/>
                <w:lang w:val="en-GB"/>
              </w:rPr>
            </w:pPr>
            <w:r w:rsidRPr="0038158D">
              <w:rPr>
                <w:rFonts w:ascii="Book Antiqua" w:hAnsi="Book Antiqua"/>
                <w:b/>
                <w:bCs/>
                <w:color w:val="000000" w:themeColor="text1"/>
                <w:sz w:val="28"/>
                <w:szCs w:val="28"/>
                <w:lang w:val="en-GB"/>
              </w:rPr>
              <w:t>Insurance Companies</w:t>
            </w:r>
          </w:p>
        </w:tc>
        <w:tc>
          <w:tcPr>
            <w:tcW w:w="2397" w:type="dxa"/>
          </w:tcPr>
          <w:p w:rsidR="009F6553" w:rsidRPr="0038158D" w:rsidRDefault="00525943" w:rsidP="0038158D">
            <w:pPr>
              <w:spacing w:before="240"/>
              <w:contextualSpacing/>
              <w:jc w:val="center"/>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2.21</w:t>
            </w:r>
            <w:r w:rsidR="0038158D" w:rsidRPr="0038158D">
              <w:rPr>
                <w:rFonts w:ascii="Book Antiqua" w:hAnsi="Book Antiqua"/>
                <w:b/>
                <w:bCs/>
                <w:color w:val="000000" w:themeColor="text1"/>
                <w:sz w:val="28"/>
                <w:szCs w:val="28"/>
                <w:lang w:val="en-GB"/>
              </w:rPr>
              <w:t>%</w:t>
            </w:r>
          </w:p>
        </w:tc>
        <w:tc>
          <w:tcPr>
            <w:tcW w:w="2397" w:type="dxa"/>
          </w:tcPr>
          <w:p w:rsidR="009F6553" w:rsidRPr="0038158D" w:rsidRDefault="00525943" w:rsidP="0038158D">
            <w:pPr>
              <w:spacing w:before="240"/>
              <w:contextualSpacing/>
              <w:jc w:val="center"/>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2.41</w:t>
            </w:r>
            <w:r w:rsidR="0038158D" w:rsidRPr="0038158D">
              <w:rPr>
                <w:rFonts w:ascii="Book Antiqua" w:hAnsi="Book Antiqua"/>
                <w:b/>
                <w:bCs/>
                <w:color w:val="000000" w:themeColor="text1"/>
                <w:sz w:val="28"/>
                <w:szCs w:val="28"/>
                <w:lang w:val="en-GB"/>
              </w:rPr>
              <w:t>%</w:t>
            </w:r>
          </w:p>
        </w:tc>
        <w:tc>
          <w:tcPr>
            <w:tcW w:w="2397" w:type="dxa"/>
          </w:tcPr>
          <w:p w:rsidR="009F6553" w:rsidRPr="0038158D" w:rsidRDefault="0038158D" w:rsidP="0038158D">
            <w:pPr>
              <w:spacing w:before="240"/>
              <w:contextualSpacing/>
              <w:jc w:val="center"/>
              <w:rPr>
                <w:rFonts w:ascii="Book Antiqua" w:hAnsi="Book Antiqua"/>
                <w:b/>
                <w:bCs/>
                <w:color w:val="FF0000"/>
                <w:sz w:val="28"/>
                <w:szCs w:val="28"/>
                <w:lang w:val="en-GB"/>
              </w:rPr>
            </w:pPr>
            <w:r w:rsidRPr="0038158D">
              <w:rPr>
                <w:rFonts w:ascii="Book Antiqua" w:hAnsi="Book Antiqua"/>
                <w:b/>
                <w:bCs/>
                <w:color w:val="FF0000"/>
                <w:sz w:val="28"/>
                <w:szCs w:val="28"/>
                <w:lang w:val="en-GB"/>
              </w:rPr>
              <w:t>-0.</w:t>
            </w:r>
            <w:r w:rsidR="00525943">
              <w:rPr>
                <w:rFonts w:ascii="Book Antiqua" w:hAnsi="Book Antiqua"/>
                <w:b/>
                <w:bCs/>
                <w:color w:val="FF0000"/>
                <w:sz w:val="28"/>
                <w:szCs w:val="28"/>
                <w:lang w:val="en-GB"/>
              </w:rPr>
              <w:t>20</w:t>
            </w:r>
            <w:r w:rsidRPr="0038158D">
              <w:rPr>
                <w:rFonts w:ascii="Book Antiqua" w:hAnsi="Book Antiqua"/>
                <w:b/>
                <w:bCs/>
                <w:color w:val="FF0000"/>
                <w:sz w:val="28"/>
                <w:szCs w:val="28"/>
                <w:lang w:val="en-GB"/>
              </w:rPr>
              <w:t>%</w:t>
            </w:r>
          </w:p>
        </w:tc>
      </w:tr>
      <w:tr w:rsidR="009F6553" w:rsidRPr="0038158D" w:rsidTr="0038158D">
        <w:trPr>
          <w:trHeight w:val="754"/>
        </w:trPr>
        <w:tc>
          <w:tcPr>
            <w:tcW w:w="2397" w:type="dxa"/>
            <w:shd w:val="clear" w:color="auto" w:fill="767171" w:themeFill="background2" w:themeFillShade="80"/>
          </w:tcPr>
          <w:p w:rsidR="009F6553" w:rsidRPr="0038158D" w:rsidRDefault="009F6553" w:rsidP="002E5A65">
            <w:pPr>
              <w:spacing w:before="240"/>
              <w:contextualSpacing/>
              <w:rPr>
                <w:rFonts w:ascii="Book Antiqua" w:hAnsi="Book Antiqua"/>
                <w:b/>
                <w:bCs/>
                <w:color w:val="000000" w:themeColor="text1"/>
                <w:sz w:val="28"/>
                <w:szCs w:val="28"/>
                <w:lang w:val="en-GB"/>
              </w:rPr>
            </w:pPr>
            <w:r w:rsidRPr="0038158D">
              <w:rPr>
                <w:rFonts w:ascii="Book Antiqua" w:hAnsi="Book Antiqua"/>
                <w:b/>
                <w:bCs/>
                <w:color w:val="000000" w:themeColor="text1"/>
                <w:sz w:val="28"/>
                <w:szCs w:val="28"/>
                <w:lang w:val="en-GB"/>
              </w:rPr>
              <w:t>Non institutional Investors</w:t>
            </w:r>
          </w:p>
        </w:tc>
        <w:tc>
          <w:tcPr>
            <w:tcW w:w="2397" w:type="dxa"/>
          </w:tcPr>
          <w:p w:rsidR="009F6553" w:rsidRPr="0038158D" w:rsidRDefault="00525943" w:rsidP="0038158D">
            <w:pPr>
              <w:spacing w:before="240"/>
              <w:contextualSpacing/>
              <w:jc w:val="center"/>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5.05</w:t>
            </w:r>
            <w:r w:rsidR="0038158D" w:rsidRPr="0038158D">
              <w:rPr>
                <w:rFonts w:ascii="Book Antiqua" w:hAnsi="Book Antiqua"/>
                <w:b/>
                <w:bCs/>
                <w:color w:val="000000" w:themeColor="text1"/>
                <w:sz w:val="28"/>
                <w:szCs w:val="28"/>
                <w:lang w:val="en-GB"/>
              </w:rPr>
              <w:t>%</w:t>
            </w:r>
          </w:p>
        </w:tc>
        <w:tc>
          <w:tcPr>
            <w:tcW w:w="2397" w:type="dxa"/>
          </w:tcPr>
          <w:p w:rsidR="009F6553" w:rsidRPr="0038158D" w:rsidRDefault="00525943" w:rsidP="0038158D">
            <w:pPr>
              <w:spacing w:before="240"/>
              <w:contextualSpacing/>
              <w:jc w:val="center"/>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5.71</w:t>
            </w:r>
            <w:r w:rsidR="0038158D" w:rsidRPr="0038158D">
              <w:rPr>
                <w:rFonts w:ascii="Book Antiqua" w:hAnsi="Book Antiqua"/>
                <w:b/>
                <w:bCs/>
                <w:color w:val="000000" w:themeColor="text1"/>
                <w:sz w:val="28"/>
                <w:szCs w:val="28"/>
                <w:lang w:val="en-GB"/>
              </w:rPr>
              <w:t>%</w:t>
            </w:r>
          </w:p>
        </w:tc>
        <w:tc>
          <w:tcPr>
            <w:tcW w:w="2397" w:type="dxa"/>
          </w:tcPr>
          <w:p w:rsidR="009F6553" w:rsidRPr="0038158D" w:rsidRDefault="0038158D" w:rsidP="0038158D">
            <w:pPr>
              <w:spacing w:before="240"/>
              <w:contextualSpacing/>
              <w:jc w:val="center"/>
              <w:rPr>
                <w:rFonts w:ascii="Book Antiqua" w:hAnsi="Book Antiqua"/>
                <w:b/>
                <w:bCs/>
                <w:color w:val="FF0000"/>
                <w:sz w:val="28"/>
                <w:szCs w:val="28"/>
                <w:lang w:val="en-GB"/>
              </w:rPr>
            </w:pPr>
            <w:r w:rsidRPr="0038158D">
              <w:rPr>
                <w:rFonts w:ascii="Book Antiqua" w:hAnsi="Book Antiqua"/>
                <w:b/>
                <w:bCs/>
                <w:color w:val="FF0000"/>
                <w:sz w:val="28"/>
                <w:szCs w:val="28"/>
                <w:lang w:val="en-GB"/>
              </w:rPr>
              <w:t>-</w:t>
            </w:r>
            <w:r w:rsidR="00525943">
              <w:rPr>
                <w:rFonts w:ascii="Book Antiqua" w:hAnsi="Book Antiqua"/>
                <w:b/>
                <w:bCs/>
                <w:color w:val="FF0000"/>
                <w:sz w:val="28"/>
                <w:szCs w:val="28"/>
                <w:lang w:val="en-GB"/>
              </w:rPr>
              <w:t>0.66</w:t>
            </w:r>
            <w:r w:rsidRPr="0038158D">
              <w:rPr>
                <w:rFonts w:ascii="Book Antiqua" w:hAnsi="Book Antiqua"/>
                <w:b/>
                <w:bCs/>
                <w:color w:val="FF0000"/>
                <w:sz w:val="28"/>
                <w:szCs w:val="28"/>
                <w:lang w:val="en-GB"/>
              </w:rPr>
              <w:t>%</w:t>
            </w:r>
          </w:p>
        </w:tc>
      </w:tr>
      <w:tr w:rsidR="009F6553" w:rsidRPr="0038158D" w:rsidTr="0038158D">
        <w:trPr>
          <w:trHeight w:val="368"/>
        </w:trPr>
        <w:tc>
          <w:tcPr>
            <w:tcW w:w="2397" w:type="dxa"/>
            <w:shd w:val="clear" w:color="auto" w:fill="767171" w:themeFill="background2" w:themeFillShade="80"/>
          </w:tcPr>
          <w:p w:rsidR="009F6553" w:rsidRPr="0038158D" w:rsidRDefault="009F6553" w:rsidP="009F6553">
            <w:pPr>
              <w:spacing w:before="240"/>
              <w:contextualSpacing/>
              <w:jc w:val="both"/>
              <w:rPr>
                <w:rFonts w:ascii="Book Antiqua" w:hAnsi="Book Antiqua"/>
                <w:b/>
                <w:bCs/>
                <w:color w:val="000000" w:themeColor="text1"/>
                <w:sz w:val="28"/>
                <w:szCs w:val="28"/>
                <w:lang w:val="en-GB"/>
              </w:rPr>
            </w:pPr>
            <w:r w:rsidRPr="0038158D">
              <w:rPr>
                <w:rFonts w:ascii="Book Antiqua" w:hAnsi="Book Antiqua"/>
                <w:b/>
                <w:bCs/>
                <w:color w:val="000000" w:themeColor="text1"/>
                <w:sz w:val="28"/>
                <w:szCs w:val="28"/>
                <w:lang w:val="en-GB"/>
              </w:rPr>
              <w:t>Other D</w:t>
            </w:r>
            <w:r w:rsidR="002E5A65" w:rsidRPr="0038158D">
              <w:rPr>
                <w:rFonts w:ascii="Book Antiqua" w:hAnsi="Book Antiqua"/>
                <w:b/>
                <w:bCs/>
                <w:color w:val="000000" w:themeColor="text1"/>
                <w:sz w:val="28"/>
                <w:szCs w:val="28"/>
                <w:lang w:val="en-GB"/>
              </w:rPr>
              <w:t>II</w:t>
            </w:r>
            <w:r w:rsidRPr="0038158D">
              <w:rPr>
                <w:rFonts w:ascii="Book Antiqua" w:hAnsi="Book Antiqua"/>
                <w:b/>
                <w:bCs/>
                <w:color w:val="000000" w:themeColor="text1"/>
                <w:sz w:val="28"/>
                <w:szCs w:val="28"/>
                <w:lang w:val="en-GB"/>
              </w:rPr>
              <w:t>s</w:t>
            </w:r>
          </w:p>
        </w:tc>
        <w:tc>
          <w:tcPr>
            <w:tcW w:w="2397" w:type="dxa"/>
          </w:tcPr>
          <w:p w:rsidR="009F6553" w:rsidRPr="0038158D" w:rsidRDefault="00525943" w:rsidP="0038158D">
            <w:pPr>
              <w:spacing w:before="240"/>
              <w:contextualSpacing/>
              <w:jc w:val="center"/>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1.42</w:t>
            </w:r>
            <w:r w:rsidR="0038158D" w:rsidRPr="0038158D">
              <w:rPr>
                <w:rFonts w:ascii="Book Antiqua" w:hAnsi="Book Antiqua"/>
                <w:b/>
                <w:bCs/>
                <w:color w:val="000000" w:themeColor="text1"/>
                <w:sz w:val="28"/>
                <w:szCs w:val="28"/>
                <w:lang w:val="en-GB"/>
              </w:rPr>
              <w:t>%</w:t>
            </w:r>
          </w:p>
        </w:tc>
        <w:tc>
          <w:tcPr>
            <w:tcW w:w="2397" w:type="dxa"/>
          </w:tcPr>
          <w:p w:rsidR="009F6553" w:rsidRPr="0038158D" w:rsidRDefault="00525943" w:rsidP="0038158D">
            <w:pPr>
              <w:spacing w:before="240"/>
              <w:contextualSpacing/>
              <w:jc w:val="center"/>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1.07</w:t>
            </w:r>
            <w:r w:rsidR="0038158D" w:rsidRPr="0038158D">
              <w:rPr>
                <w:rFonts w:ascii="Book Antiqua" w:hAnsi="Book Antiqua"/>
                <w:b/>
                <w:bCs/>
                <w:color w:val="000000" w:themeColor="text1"/>
                <w:sz w:val="28"/>
                <w:szCs w:val="28"/>
                <w:lang w:val="en-GB"/>
              </w:rPr>
              <w:t>%</w:t>
            </w:r>
          </w:p>
        </w:tc>
        <w:tc>
          <w:tcPr>
            <w:tcW w:w="2397" w:type="dxa"/>
          </w:tcPr>
          <w:p w:rsidR="009F6553" w:rsidRPr="0038158D" w:rsidRDefault="00525943" w:rsidP="0038158D">
            <w:pPr>
              <w:spacing w:before="240"/>
              <w:contextualSpacing/>
              <w:jc w:val="center"/>
              <w:rPr>
                <w:rFonts w:ascii="Book Antiqua" w:hAnsi="Book Antiqua"/>
                <w:b/>
                <w:bCs/>
                <w:color w:val="FF0000"/>
                <w:sz w:val="28"/>
                <w:szCs w:val="28"/>
                <w:lang w:val="en-GB"/>
              </w:rPr>
            </w:pPr>
            <w:r w:rsidRPr="00525943">
              <w:rPr>
                <w:rFonts w:ascii="Book Antiqua" w:hAnsi="Book Antiqua"/>
                <w:b/>
                <w:bCs/>
                <w:color w:val="00B050"/>
                <w:sz w:val="28"/>
                <w:szCs w:val="28"/>
                <w:lang w:val="en-GB"/>
              </w:rPr>
              <w:t>+0.35</w:t>
            </w:r>
            <w:r w:rsidR="0038158D" w:rsidRPr="00525943">
              <w:rPr>
                <w:rFonts w:ascii="Book Antiqua" w:hAnsi="Book Antiqua"/>
                <w:b/>
                <w:bCs/>
                <w:color w:val="00B050"/>
                <w:sz w:val="28"/>
                <w:szCs w:val="28"/>
                <w:lang w:val="en-GB"/>
              </w:rPr>
              <w:t>%</w:t>
            </w:r>
          </w:p>
        </w:tc>
      </w:tr>
    </w:tbl>
    <w:p w:rsidR="001712BC" w:rsidRDefault="0043297D" w:rsidP="00FB1421">
      <w:pPr>
        <w:spacing w:before="240" w:line="360" w:lineRule="auto"/>
        <w:contextualSpacing/>
        <w:jc w:val="both"/>
        <w:rPr>
          <w:i/>
          <w:iCs/>
          <w:sz w:val="18"/>
          <w:szCs w:val="18"/>
          <w:lang w:val="en-GB"/>
        </w:rPr>
      </w:pPr>
      <w:r w:rsidRPr="001712BC">
        <w:rPr>
          <w:i/>
          <w:iCs/>
          <w:sz w:val="18"/>
          <w:szCs w:val="18"/>
          <w:lang w:val="en-GB"/>
        </w:rPr>
        <w:t xml:space="preserve">Source: Company </w:t>
      </w:r>
      <w:r w:rsidR="00525943">
        <w:rPr>
          <w:i/>
          <w:iCs/>
          <w:sz w:val="18"/>
          <w:szCs w:val="18"/>
          <w:lang w:val="en-GB"/>
        </w:rPr>
        <w:t>Annual</w:t>
      </w:r>
      <w:r w:rsidRPr="001712BC">
        <w:rPr>
          <w:i/>
          <w:iCs/>
          <w:sz w:val="18"/>
          <w:szCs w:val="18"/>
          <w:lang w:val="en-GB"/>
        </w:rPr>
        <w:t xml:space="preserve"> Report</w:t>
      </w:r>
    </w:p>
    <w:p w:rsidR="00D5023F" w:rsidRPr="003419C8" w:rsidRDefault="0043297D" w:rsidP="00FB1421">
      <w:pPr>
        <w:spacing w:before="240" w:line="360" w:lineRule="auto"/>
        <w:contextualSpacing/>
        <w:jc w:val="both"/>
        <w:rPr>
          <w:i/>
          <w:iCs/>
          <w:color w:val="941651"/>
          <w:sz w:val="18"/>
          <w:szCs w:val="18"/>
          <w:lang w:val="en-GB"/>
        </w:rPr>
      </w:pPr>
      <w:r w:rsidRPr="003419C8">
        <w:rPr>
          <w:b/>
          <w:bCs/>
          <w:color w:val="941651"/>
          <w:sz w:val="36"/>
          <w:szCs w:val="36"/>
          <w:lang w:val="en-GB"/>
        </w:rPr>
        <w:lastRenderedPageBreak/>
        <w:t>COMPARE VALUATION WITH PEERS</w:t>
      </w:r>
    </w:p>
    <w:tbl>
      <w:tblPr>
        <w:tblStyle w:val="TableGrid"/>
        <w:tblW w:w="0" w:type="auto"/>
        <w:tblLook w:val="04A0" w:firstRow="1" w:lastRow="0" w:firstColumn="1" w:lastColumn="0" w:noHBand="0" w:noVBand="1"/>
      </w:tblPr>
      <w:tblGrid>
        <w:gridCol w:w="2434"/>
        <w:gridCol w:w="2434"/>
        <w:gridCol w:w="2434"/>
        <w:gridCol w:w="2434"/>
      </w:tblGrid>
      <w:tr w:rsidR="0043297D" w:rsidTr="0038158D">
        <w:tc>
          <w:tcPr>
            <w:tcW w:w="2434" w:type="dxa"/>
            <w:shd w:val="clear" w:color="auto" w:fill="767171" w:themeFill="background2" w:themeFillShade="80"/>
          </w:tcPr>
          <w:p w:rsidR="0043297D" w:rsidRPr="0038158D" w:rsidRDefault="0043297D" w:rsidP="0043297D">
            <w:pPr>
              <w:spacing w:before="240" w:line="360" w:lineRule="auto"/>
              <w:contextualSpacing/>
              <w:rPr>
                <w:rFonts w:ascii="Book Antiqua" w:hAnsi="Book Antiqua"/>
                <w:b/>
                <w:bCs/>
                <w:color w:val="000000" w:themeColor="text1"/>
                <w:sz w:val="28"/>
                <w:szCs w:val="28"/>
                <w:lang w:val="en-GB"/>
              </w:rPr>
            </w:pPr>
            <w:r w:rsidRPr="0038158D">
              <w:rPr>
                <w:rFonts w:ascii="Book Antiqua" w:hAnsi="Book Antiqua"/>
                <w:b/>
                <w:bCs/>
                <w:color w:val="000000" w:themeColor="text1"/>
                <w:sz w:val="28"/>
                <w:szCs w:val="28"/>
                <w:lang w:val="en-GB"/>
              </w:rPr>
              <w:t>Company</w:t>
            </w:r>
          </w:p>
        </w:tc>
        <w:tc>
          <w:tcPr>
            <w:tcW w:w="2434" w:type="dxa"/>
            <w:shd w:val="clear" w:color="auto" w:fill="767171" w:themeFill="background2" w:themeFillShade="80"/>
          </w:tcPr>
          <w:p w:rsidR="0043297D" w:rsidRPr="0038158D" w:rsidRDefault="0043297D" w:rsidP="0043297D">
            <w:pPr>
              <w:spacing w:before="240" w:line="360" w:lineRule="auto"/>
              <w:contextualSpacing/>
              <w:jc w:val="center"/>
              <w:rPr>
                <w:rFonts w:ascii="Book Antiqua" w:hAnsi="Book Antiqua"/>
                <w:b/>
                <w:bCs/>
                <w:color w:val="000000" w:themeColor="text1"/>
                <w:sz w:val="28"/>
                <w:szCs w:val="28"/>
                <w:lang w:val="en-GB"/>
              </w:rPr>
            </w:pPr>
            <w:r w:rsidRPr="0038158D">
              <w:rPr>
                <w:rFonts w:ascii="Book Antiqua" w:hAnsi="Book Antiqua"/>
                <w:b/>
                <w:bCs/>
                <w:color w:val="000000" w:themeColor="text1"/>
                <w:sz w:val="28"/>
                <w:szCs w:val="28"/>
                <w:lang w:val="en-GB"/>
              </w:rPr>
              <w:t>P/E</w:t>
            </w:r>
          </w:p>
        </w:tc>
        <w:tc>
          <w:tcPr>
            <w:tcW w:w="2434" w:type="dxa"/>
            <w:shd w:val="clear" w:color="auto" w:fill="767171" w:themeFill="background2" w:themeFillShade="80"/>
          </w:tcPr>
          <w:p w:rsidR="0043297D" w:rsidRPr="0038158D" w:rsidRDefault="0043297D" w:rsidP="0043297D">
            <w:pPr>
              <w:spacing w:before="240" w:line="360" w:lineRule="auto"/>
              <w:contextualSpacing/>
              <w:jc w:val="center"/>
              <w:rPr>
                <w:rFonts w:ascii="Book Antiqua" w:hAnsi="Book Antiqua"/>
                <w:b/>
                <w:bCs/>
                <w:color w:val="000000" w:themeColor="text1"/>
                <w:sz w:val="28"/>
                <w:szCs w:val="28"/>
                <w:lang w:val="en-GB"/>
              </w:rPr>
            </w:pPr>
            <w:r w:rsidRPr="0038158D">
              <w:rPr>
                <w:rFonts w:ascii="Book Antiqua" w:hAnsi="Book Antiqua"/>
                <w:b/>
                <w:bCs/>
                <w:color w:val="000000" w:themeColor="text1"/>
                <w:sz w:val="28"/>
                <w:szCs w:val="28"/>
                <w:lang w:val="en-GB"/>
              </w:rPr>
              <w:t>EV/EBITDA</w:t>
            </w:r>
          </w:p>
        </w:tc>
        <w:tc>
          <w:tcPr>
            <w:tcW w:w="2434" w:type="dxa"/>
            <w:shd w:val="clear" w:color="auto" w:fill="767171" w:themeFill="background2" w:themeFillShade="80"/>
          </w:tcPr>
          <w:p w:rsidR="0043297D" w:rsidRDefault="0043297D" w:rsidP="0043297D">
            <w:pPr>
              <w:spacing w:before="240" w:line="360" w:lineRule="auto"/>
              <w:contextualSpacing/>
              <w:jc w:val="center"/>
              <w:rPr>
                <w:rFonts w:ascii="Book Antiqua" w:hAnsi="Book Antiqua"/>
                <w:b/>
                <w:bCs/>
                <w:color w:val="000000" w:themeColor="text1"/>
                <w:sz w:val="28"/>
                <w:szCs w:val="28"/>
                <w:lang w:val="en-GB"/>
              </w:rPr>
            </w:pPr>
            <w:r w:rsidRPr="0038158D">
              <w:rPr>
                <w:rFonts w:ascii="Book Antiqua" w:hAnsi="Book Antiqua"/>
                <w:b/>
                <w:bCs/>
                <w:color w:val="000000" w:themeColor="text1"/>
                <w:sz w:val="28"/>
                <w:szCs w:val="28"/>
                <w:lang w:val="en-GB"/>
              </w:rPr>
              <w:t>PEG RATIO</w:t>
            </w:r>
          </w:p>
          <w:p w:rsidR="0038158D" w:rsidRPr="0038158D" w:rsidRDefault="0038158D" w:rsidP="0043297D">
            <w:pPr>
              <w:spacing w:before="240" w:line="360" w:lineRule="auto"/>
              <w:contextualSpacing/>
              <w:jc w:val="center"/>
              <w:rPr>
                <w:rFonts w:ascii="Book Antiqua" w:hAnsi="Book Antiqua"/>
                <w:b/>
                <w:bCs/>
                <w:color w:val="000000" w:themeColor="text1"/>
                <w:sz w:val="28"/>
                <w:szCs w:val="28"/>
                <w:lang w:val="en-GB"/>
              </w:rPr>
            </w:pPr>
          </w:p>
        </w:tc>
      </w:tr>
      <w:tr w:rsidR="00E44A01" w:rsidTr="003557C9">
        <w:tc>
          <w:tcPr>
            <w:tcW w:w="2434" w:type="dxa"/>
            <w:shd w:val="clear" w:color="auto" w:fill="auto"/>
          </w:tcPr>
          <w:p w:rsidR="00E44A01" w:rsidRPr="0038158D" w:rsidRDefault="00E44A01" w:rsidP="00E44A01">
            <w:pPr>
              <w:spacing w:before="240" w:line="360" w:lineRule="auto"/>
              <w:contextualSpacing/>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Nestle</w:t>
            </w:r>
          </w:p>
        </w:tc>
        <w:tc>
          <w:tcPr>
            <w:tcW w:w="2434" w:type="dxa"/>
            <w:vAlign w:val="center"/>
          </w:tcPr>
          <w:p w:rsidR="00E44A01" w:rsidRPr="00E44A01" w:rsidRDefault="00E44A01" w:rsidP="00E44A01">
            <w:pPr>
              <w:jc w:val="center"/>
              <w:rPr>
                <w:rFonts w:ascii="Book Antiqua" w:hAnsi="Book Antiqua"/>
                <w:color w:val="000000"/>
                <w:sz w:val="28"/>
                <w:szCs w:val="28"/>
              </w:rPr>
            </w:pPr>
            <w:r w:rsidRPr="00E44A01">
              <w:rPr>
                <w:rFonts w:ascii="Book Antiqua" w:hAnsi="Book Antiqua"/>
                <w:color w:val="000000"/>
                <w:sz w:val="28"/>
                <w:szCs w:val="28"/>
              </w:rPr>
              <w:t>55.5</w:t>
            </w:r>
          </w:p>
        </w:tc>
        <w:tc>
          <w:tcPr>
            <w:tcW w:w="2434" w:type="dxa"/>
            <w:vAlign w:val="center"/>
          </w:tcPr>
          <w:p w:rsidR="00E44A01" w:rsidRPr="00E44A01" w:rsidRDefault="00E44A01" w:rsidP="00E44A01">
            <w:pPr>
              <w:jc w:val="center"/>
              <w:rPr>
                <w:rFonts w:ascii="Book Antiqua" w:hAnsi="Book Antiqua"/>
                <w:color w:val="000000"/>
                <w:sz w:val="28"/>
                <w:szCs w:val="28"/>
              </w:rPr>
            </w:pPr>
            <w:r w:rsidRPr="00E44A01">
              <w:rPr>
                <w:rFonts w:ascii="Book Antiqua" w:hAnsi="Book Antiqua"/>
                <w:color w:val="000000"/>
                <w:sz w:val="28"/>
                <w:szCs w:val="28"/>
              </w:rPr>
              <w:t>37.0</w:t>
            </w:r>
          </w:p>
        </w:tc>
        <w:tc>
          <w:tcPr>
            <w:tcW w:w="2434" w:type="dxa"/>
          </w:tcPr>
          <w:p w:rsidR="00E44A01" w:rsidRPr="0038158D" w:rsidRDefault="00E44A01" w:rsidP="00E44A01">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7.75</w:t>
            </w:r>
          </w:p>
        </w:tc>
      </w:tr>
      <w:tr w:rsidR="00E44A01" w:rsidTr="003557C9">
        <w:tc>
          <w:tcPr>
            <w:tcW w:w="2434" w:type="dxa"/>
            <w:shd w:val="clear" w:color="auto" w:fill="auto"/>
          </w:tcPr>
          <w:p w:rsidR="00E44A01" w:rsidRPr="0038158D" w:rsidRDefault="00E44A01" w:rsidP="00E44A01">
            <w:pPr>
              <w:spacing w:before="240" w:line="360" w:lineRule="auto"/>
              <w:contextualSpacing/>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HUL</w:t>
            </w:r>
          </w:p>
        </w:tc>
        <w:tc>
          <w:tcPr>
            <w:tcW w:w="2434" w:type="dxa"/>
            <w:vAlign w:val="center"/>
          </w:tcPr>
          <w:p w:rsidR="00E44A01" w:rsidRPr="00E44A01" w:rsidRDefault="00E44A01" w:rsidP="00E44A01">
            <w:pPr>
              <w:jc w:val="center"/>
              <w:rPr>
                <w:rFonts w:ascii="Book Antiqua" w:hAnsi="Book Antiqua"/>
                <w:color w:val="000000"/>
                <w:sz w:val="28"/>
                <w:szCs w:val="28"/>
              </w:rPr>
            </w:pPr>
            <w:r w:rsidRPr="00E44A01">
              <w:rPr>
                <w:rFonts w:ascii="Book Antiqua" w:hAnsi="Book Antiqua"/>
                <w:color w:val="000000"/>
                <w:sz w:val="28"/>
                <w:szCs w:val="28"/>
              </w:rPr>
              <w:t>57.8</w:t>
            </w:r>
          </w:p>
        </w:tc>
        <w:tc>
          <w:tcPr>
            <w:tcW w:w="2434" w:type="dxa"/>
            <w:vAlign w:val="center"/>
          </w:tcPr>
          <w:p w:rsidR="00E44A01" w:rsidRPr="00E44A01" w:rsidRDefault="00E44A01" w:rsidP="00E44A01">
            <w:pPr>
              <w:jc w:val="center"/>
              <w:rPr>
                <w:rFonts w:ascii="Book Antiqua" w:hAnsi="Book Antiqua"/>
                <w:color w:val="000000"/>
                <w:sz w:val="28"/>
                <w:szCs w:val="28"/>
              </w:rPr>
            </w:pPr>
            <w:r w:rsidRPr="00E44A01">
              <w:rPr>
                <w:rFonts w:ascii="Book Antiqua" w:hAnsi="Book Antiqua"/>
                <w:color w:val="000000"/>
                <w:sz w:val="28"/>
                <w:szCs w:val="28"/>
              </w:rPr>
              <w:t>38.0</w:t>
            </w:r>
          </w:p>
        </w:tc>
        <w:tc>
          <w:tcPr>
            <w:tcW w:w="2434" w:type="dxa"/>
          </w:tcPr>
          <w:p w:rsidR="00E44A01" w:rsidRPr="0038158D" w:rsidRDefault="00E44A01" w:rsidP="00E44A01">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6.09</w:t>
            </w:r>
          </w:p>
        </w:tc>
      </w:tr>
      <w:tr w:rsidR="00E44A01" w:rsidTr="003557C9">
        <w:tc>
          <w:tcPr>
            <w:tcW w:w="2434" w:type="dxa"/>
            <w:shd w:val="clear" w:color="auto" w:fill="auto"/>
          </w:tcPr>
          <w:p w:rsidR="00E44A01" w:rsidRPr="0038158D" w:rsidRDefault="00E44A01" w:rsidP="00E44A01">
            <w:pPr>
              <w:spacing w:before="240"/>
              <w:contextualSpacing/>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Dabur</w:t>
            </w:r>
          </w:p>
        </w:tc>
        <w:tc>
          <w:tcPr>
            <w:tcW w:w="2434" w:type="dxa"/>
            <w:vAlign w:val="center"/>
          </w:tcPr>
          <w:p w:rsidR="00E44A01" w:rsidRPr="00E44A01" w:rsidRDefault="00E44A01" w:rsidP="00E44A01">
            <w:pPr>
              <w:jc w:val="center"/>
              <w:rPr>
                <w:rFonts w:ascii="Book Antiqua" w:hAnsi="Book Antiqua"/>
                <w:color w:val="000000"/>
                <w:sz w:val="28"/>
                <w:szCs w:val="28"/>
              </w:rPr>
            </w:pPr>
            <w:r w:rsidRPr="00E44A01">
              <w:rPr>
                <w:rFonts w:ascii="Book Antiqua" w:hAnsi="Book Antiqua"/>
                <w:color w:val="000000"/>
                <w:sz w:val="28"/>
                <w:szCs w:val="28"/>
              </w:rPr>
              <w:t>52.8</w:t>
            </w:r>
          </w:p>
        </w:tc>
        <w:tc>
          <w:tcPr>
            <w:tcW w:w="2434" w:type="dxa"/>
            <w:vAlign w:val="center"/>
          </w:tcPr>
          <w:p w:rsidR="00E44A01" w:rsidRPr="00E44A01" w:rsidRDefault="00E44A01" w:rsidP="00E44A01">
            <w:pPr>
              <w:jc w:val="center"/>
              <w:rPr>
                <w:rFonts w:ascii="Book Antiqua" w:hAnsi="Book Antiqua"/>
                <w:color w:val="000000"/>
                <w:sz w:val="28"/>
                <w:szCs w:val="28"/>
              </w:rPr>
            </w:pPr>
            <w:r w:rsidRPr="00E44A01">
              <w:rPr>
                <w:rFonts w:ascii="Book Antiqua" w:hAnsi="Book Antiqua"/>
                <w:color w:val="000000"/>
                <w:sz w:val="28"/>
                <w:szCs w:val="28"/>
              </w:rPr>
              <w:t>52.5</w:t>
            </w:r>
          </w:p>
        </w:tc>
        <w:tc>
          <w:tcPr>
            <w:tcW w:w="2434" w:type="dxa"/>
          </w:tcPr>
          <w:p w:rsidR="00E44A01" w:rsidRPr="0038158D" w:rsidRDefault="00E44A01" w:rsidP="00E44A01">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17.3</w:t>
            </w:r>
          </w:p>
        </w:tc>
      </w:tr>
      <w:tr w:rsidR="00E44A01" w:rsidTr="003557C9">
        <w:tc>
          <w:tcPr>
            <w:tcW w:w="2434" w:type="dxa"/>
            <w:shd w:val="clear" w:color="auto" w:fill="auto"/>
          </w:tcPr>
          <w:p w:rsidR="00E44A01" w:rsidRPr="0038158D" w:rsidRDefault="00E44A01" w:rsidP="00E44A01">
            <w:pPr>
              <w:spacing w:before="240"/>
              <w:contextualSpacing/>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Britannia</w:t>
            </w:r>
          </w:p>
        </w:tc>
        <w:tc>
          <w:tcPr>
            <w:tcW w:w="2434" w:type="dxa"/>
            <w:vAlign w:val="center"/>
          </w:tcPr>
          <w:p w:rsidR="00E44A01" w:rsidRPr="00E44A01" w:rsidRDefault="00E44A01" w:rsidP="00E44A01">
            <w:pPr>
              <w:jc w:val="center"/>
              <w:rPr>
                <w:rFonts w:ascii="Book Antiqua" w:hAnsi="Book Antiqua"/>
                <w:color w:val="000000"/>
                <w:sz w:val="28"/>
                <w:szCs w:val="28"/>
              </w:rPr>
            </w:pPr>
            <w:r w:rsidRPr="00E44A01">
              <w:rPr>
                <w:rFonts w:ascii="Book Antiqua" w:hAnsi="Book Antiqua"/>
                <w:color w:val="000000"/>
                <w:sz w:val="28"/>
                <w:szCs w:val="28"/>
              </w:rPr>
              <w:t>64.6</w:t>
            </w:r>
          </w:p>
        </w:tc>
        <w:tc>
          <w:tcPr>
            <w:tcW w:w="2434" w:type="dxa"/>
            <w:vAlign w:val="center"/>
          </w:tcPr>
          <w:p w:rsidR="00E44A01" w:rsidRPr="00E44A01" w:rsidRDefault="00E44A01" w:rsidP="00E44A01">
            <w:pPr>
              <w:jc w:val="center"/>
              <w:rPr>
                <w:rFonts w:ascii="Book Antiqua" w:hAnsi="Book Antiqua"/>
                <w:color w:val="000000"/>
                <w:sz w:val="28"/>
                <w:szCs w:val="28"/>
              </w:rPr>
            </w:pPr>
            <w:r w:rsidRPr="00E44A01">
              <w:rPr>
                <w:rFonts w:ascii="Book Antiqua" w:hAnsi="Book Antiqua"/>
                <w:color w:val="000000"/>
                <w:sz w:val="28"/>
                <w:szCs w:val="28"/>
              </w:rPr>
              <w:t>57.1</w:t>
            </w:r>
          </w:p>
        </w:tc>
        <w:tc>
          <w:tcPr>
            <w:tcW w:w="2434" w:type="dxa"/>
          </w:tcPr>
          <w:p w:rsidR="00E44A01" w:rsidRPr="0038158D" w:rsidRDefault="00E44A01" w:rsidP="00E44A01">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6.55</w:t>
            </w:r>
          </w:p>
        </w:tc>
      </w:tr>
      <w:tr w:rsidR="00E44A01" w:rsidTr="003557C9">
        <w:tc>
          <w:tcPr>
            <w:tcW w:w="2434" w:type="dxa"/>
            <w:shd w:val="clear" w:color="auto" w:fill="auto"/>
          </w:tcPr>
          <w:p w:rsidR="00E44A01" w:rsidRPr="0038158D" w:rsidRDefault="00E44A01" w:rsidP="00E44A01">
            <w:pPr>
              <w:spacing w:before="240" w:line="360" w:lineRule="auto"/>
              <w:contextualSpacing/>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Tata Consumer</w:t>
            </w:r>
          </w:p>
        </w:tc>
        <w:tc>
          <w:tcPr>
            <w:tcW w:w="2434" w:type="dxa"/>
            <w:vAlign w:val="center"/>
          </w:tcPr>
          <w:p w:rsidR="00E44A01" w:rsidRPr="00E44A01" w:rsidRDefault="00E44A01" w:rsidP="00E44A01">
            <w:pPr>
              <w:jc w:val="center"/>
              <w:rPr>
                <w:rFonts w:ascii="Book Antiqua" w:hAnsi="Book Antiqua"/>
                <w:color w:val="000000"/>
                <w:sz w:val="28"/>
                <w:szCs w:val="28"/>
              </w:rPr>
            </w:pPr>
            <w:r w:rsidRPr="00E44A01">
              <w:rPr>
                <w:rFonts w:ascii="Book Antiqua" w:hAnsi="Book Antiqua"/>
                <w:color w:val="000000"/>
                <w:sz w:val="28"/>
                <w:szCs w:val="28"/>
              </w:rPr>
              <w:t>81.6</w:t>
            </w:r>
          </w:p>
        </w:tc>
        <w:tc>
          <w:tcPr>
            <w:tcW w:w="2434" w:type="dxa"/>
            <w:vAlign w:val="center"/>
          </w:tcPr>
          <w:p w:rsidR="00E44A01" w:rsidRPr="00E44A01" w:rsidRDefault="00E44A01" w:rsidP="00E44A01">
            <w:pPr>
              <w:jc w:val="center"/>
              <w:rPr>
                <w:rFonts w:ascii="Book Antiqua" w:hAnsi="Book Antiqua"/>
                <w:color w:val="000000"/>
                <w:sz w:val="28"/>
                <w:szCs w:val="28"/>
              </w:rPr>
            </w:pPr>
            <w:r w:rsidRPr="00E44A01">
              <w:rPr>
                <w:rFonts w:ascii="Book Antiqua" w:hAnsi="Book Antiqua"/>
                <w:color w:val="000000"/>
                <w:sz w:val="28"/>
                <w:szCs w:val="28"/>
              </w:rPr>
              <w:t>66.1</w:t>
            </w:r>
          </w:p>
        </w:tc>
        <w:tc>
          <w:tcPr>
            <w:tcW w:w="2434" w:type="dxa"/>
          </w:tcPr>
          <w:p w:rsidR="00E44A01" w:rsidRPr="0038158D" w:rsidRDefault="00E44A01" w:rsidP="00E44A01">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5.55</w:t>
            </w:r>
          </w:p>
        </w:tc>
      </w:tr>
      <w:tr w:rsidR="00E44A01" w:rsidTr="003557C9">
        <w:tc>
          <w:tcPr>
            <w:tcW w:w="2434" w:type="dxa"/>
            <w:shd w:val="clear" w:color="auto" w:fill="auto"/>
          </w:tcPr>
          <w:p w:rsidR="00E44A01" w:rsidRPr="0038158D" w:rsidRDefault="00E44A01" w:rsidP="00E44A01">
            <w:pPr>
              <w:spacing w:before="240" w:line="360" w:lineRule="auto"/>
              <w:contextualSpacing/>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Marico</w:t>
            </w:r>
          </w:p>
        </w:tc>
        <w:tc>
          <w:tcPr>
            <w:tcW w:w="2434" w:type="dxa"/>
            <w:vAlign w:val="center"/>
          </w:tcPr>
          <w:p w:rsidR="00E44A01" w:rsidRPr="00E44A01" w:rsidRDefault="00E44A01" w:rsidP="00E44A01">
            <w:pPr>
              <w:jc w:val="center"/>
              <w:rPr>
                <w:rFonts w:ascii="Book Antiqua" w:hAnsi="Book Antiqua"/>
                <w:color w:val="000000"/>
                <w:sz w:val="28"/>
                <w:szCs w:val="28"/>
              </w:rPr>
            </w:pPr>
            <w:r w:rsidRPr="00E44A01">
              <w:rPr>
                <w:rFonts w:ascii="Book Antiqua" w:hAnsi="Book Antiqua"/>
                <w:color w:val="000000"/>
                <w:sz w:val="28"/>
                <w:szCs w:val="28"/>
              </w:rPr>
              <w:t>55.0</w:t>
            </w:r>
          </w:p>
        </w:tc>
        <w:tc>
          <w:tcPr>
            <w:tcW w:w="2434" w:type="dxa"/>
            <w:vAlign w:val="center"/>
          </w:tcPr>
          <w:p w:rsidR="00E44A01" w:rsidRPr="00E44A01" w:rsidRDefault="00E44A01" w:rsidP="00E44A01">
            <w:pPr>
              <w:jc w:val="center"/>
              <w:rPr>
                <w:rFonts w:ascii="Book Antiqua" w:hAnsi="Book Antiqua"/>
                <w:color w:val="000000"/>
                <w:sz w:val="28"/>
                <w:szCs w:val="28"/>
              </w:rPr>
            </w:pPr>
            <w:r w:rsidRPr="00E44A01">
              <w:rPr>
                <w:rFonts w:ascii="Book Antiqua" w:hAnsi="Book Antiqua"/>
                <w:color w:val="000000"/>
                <w:sz w:val="28"/>
                <w:szCs w:val="28"/>
              </w:rPr>
              <w:t>48.2</w:t>
            </w:r>
          </w:p>
        </w:tc>
        <w:tc>
          <w:tcPr>
            <w:tcW w:w="2434" w:type="dxa"/>
          </w:tcPr>
          <w:p w:rsidR="00E44A01" w:rsidRPr="0038158D" w:rsidRDefault="00D73F31" w:rsidP="00E44A01">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5.85</w:t>
            </w:r>
          </w:p>
        </w:tc>
      </w:tr>
      <w:tr w:rsidR="00E44A01" w:rsidTr="003557C9">
        <w:tc>
          <w:tcPr>
            <w:tcW w:w="2434" w:type="dxa"/>
            <w:shd w:val="clear" w:color="auto" w:fill="auto"/>
          </w:tcPr>
          <w:p w:rsidR="00E44A01" w:rsidRDefault="00E44A01" w:rsidP="00E44A01">
            <w:pPr>
              <w:spacing w:before="240" w:line="360" w:lineRule="auto"/>
              <w:contextualSpacing/>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Colgate</w:t>
            </w:r>
          </w:p>
        </w:tc>
        <w:tc>
          <w:tcPr>
            <w:tcW w:w="2434" w:type="dxa"/>
            <w:vAlign w:val="center"/>
          </w:tcPr>
          <w:p w:rsidR="00E44A01" w:rsidRPr="00E44A01" w:rsidRDefault="00E44A01" w:rsidP="00E44A01">
            <w:pPr>
              <w:jc w:val="center"/>
              <w:rPr>
                <w:rFonts w:ascii="Book Antiqua" w:hAnsi="Book Antiqua"/>
                <w:color w:val="000000"/>
                <w:sz w:val="28"/>
                <w:szCs w:val="28"/>
              </w:rPr>
            </w:pPr>
            <w:r w:rsidRPr="00E44A01">
              <w:rPr>
                <w:rFonts w:ascii="Book Antiqua" w:hAnsi="Book Antiqua"/>
                <w:color w:val="000000"/>
                <w:sz w:val="28"/>
                <w:szCs w:val="28"/>
              </w:rPr>
              <w:t>62.9</w:t>
            </w:r>
          </w:p>
        </w:tc>
        <w:tc>
          <w:tcPr>
            <w:tcW w:w="2434" w:type="dxa"/>
            <w:vAlign w:val="center"/>
          </w:tcPr>
          <w:p w:rsidR="00E44A01" w:rsidRPr="00E44A01" w:rsidRDefault="00E44A01" w:rsidP="00E44A01">
            <w:pPr>
              <w:jc w:val="center"/>
              <w:rPr>
                <w:rFonts w:ascii="Book Antiqua" w:hAnsi="Book Antiqua"/>
                <w:color w:val="000000"/>
                <w:sz w:val="28"/>
                <w:szCs w:val="28"/>
              </w:rPr>
            </w:pPr>
            <w:r w:rsidRPr="00E44A01">
              <w:rPr>
                <w:rFonts w:ascii="Book Antiqua" w:hAnsi="Book Antiqua"/>
                <w:color w:val="000000"/>
                <w:sz w:val="28"/>
                <w:szCs w:val="28"/>
              </w:rPr>
              <w:t>50.4</w:t>
            </w:r>
          </w:p>
        </w:tc>
        <w:tc>
          <w:tcPr>
            <w:tcW w:w="2434" w:type="dxa"/>
          </w:tcPr>
          <w:p w:rsidR="00E44A01" w:rsidRDefault="00D73F31" w:rsidP="00E44A01">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3.77</w:t>
            </w:r>
          </w:p>
        </w:tc>
      </w:tr>
    </w:tbl>
    <w:p w:rsidR="00D5023F" w:rsidRPr="009406FC" w:rsidRDefault="0043297D" w:rsidP="00FB1421">
      <w:pPr>
        <w:spacing w:before="240" w:line="360" w:lineRule="auto"/>
        <w:contextualSpacing/>
        <w:jc w:val="both"/>
        <w:rPr>
          <w:i/>
          <w:iCs/>
          <w:sz w:val="18"/>
          <w:szCs w:val="18"/>
          <w:lang w:val="en-GB"/>
        </w:rPr>
      </w:pPr>
      <w:r w:rsidRPr="001712BC">
        <w:rPr>
          <w:i/>
          <w:iCs/>
          <w:sz w:val="18"/>
          <w:szCs w:val="18"/>
          <w:lang w:val="en-GB"/>
        </w:rPr>
        <w:t>Source: Company Financial Report</w:t>
      </w:r>
    </w:p>
    <w:p w:rsidR="00AA1930" w:rsidRPr="00AA1930" w:rsidRDefault="00AA1930" w:rsidP="00AA1930">
      <w:pPr>
        <w:spacing w:before="100" w:beforeAutospacing="1" w:after="100" w:afterAutospacing="1" w:line="360" w:lineRule="auto"/>
        <w:rPr>
          <w:color w:val="000000" w:themeColor="text1"/>
          <w:sz w:val="28"/>
          <w:szCs w:val="28"/>
        </w:rPr>
      </w:pPr>
      <w:r w:rsidRPr="00AA1930">
        <w:rPr>
          <w:color w:val="000000" w:themeColor="text1"/>
          <w:sz w:val="28"/>
          <w:szCs w:val="28"/>
        </w:rPr>
        <w:t xml:space="preserve">GCPL continued strengthening its go-to-market strategy through Project </w:t>
      </w:r>
      <w:proofErr w:type="spellStart"/>
      <w:r w:rsidRPr="00AA1930">
        <w:rPr>
          <w:color w:val="000000" w:themeColor="text1"/>
          <w:sz w:val="28"/>
          <w:szCs w:val="28"/>
        </w:rPr>
        <w:t>Vistaar</w:t>
      </w:r>
      <w:proofErr w:type="spellEnd"/>
      <w:r w:rsidRPr="00AA1930">
        <w:rPr>
          <w:color w:val="000000" w:themeColor="text1"/>
          <w:sz w:val="28"/>
          <w:szCs w:val="28"/>
        </w:rPr>
        <w:t>, expanding rural reach by adding 300,000 outlets and tripling village coverage. The Raymond Consumer Care integration brought in 100,000 chemist outlets, significantly boosting the Sexual Wellness portfolio's accessibility.</w:t>
      </w:r>
    </w:p>
    <w:p w:rsidR="00AA1930" w:rsidRPr="00AA1930" w:rsidRDefault="00AA1930" w:rsidP="00AA1930">
      <w:pPr>
        <w:spacing w:before="100" w:beforeAutospacing="1" w:after="100" w:afterAutospacing="1" w:line="360" w:lineRule="auto"/>
        <w:rPr>
          <w:color w:val="000000" w:themeColor="text1"/>
          <w:sz w:val="28"/>
          <w:szCs w:val="28"/>
        </w:rPr>
      </w:pPr>
      <w:r w:rsidRPr="00AA1930">
        <w:rPr>
          <w:color w:val="000000" w:themeColor="text1"/>
          <w:sz w:val="28"/>
          <w:szCs w:val="28"/>
        </w:rPr>
        <w:t>The company reported strong penetration gains—over 500 bps in hair colour and a 25% rise for Goodknight Liquid Vaporisers. Modern trade and e-commerce saw a 10% increase in active outlets, aiding premiumisation. Customer engagement remained robust, with NPS inching up to 51%, surpassing the 50% benchmark.</w:t>
      </w:r>
    </w:p>
    <w:p w:rsidR="00AA1930" w:rsidRPr="00AA1930" w:rsidRDefault="00AA1930" w:rsidP="00AA1930">
      <w:pPr>
        <w:spacing w:before="100" w:beforeAutospacing="1" w:after="100" w:afterAutospacing="1" w:line="360" w:lineRule="auto"/>
        <w:rPr>
          <w:color w:val="000000" w:themeColor="text1"/>
          <w:sz w:val="28"/>
          <w:szCs w:val="28"/>
        </w:rPr>
      </w:pPr>
      <w:r w:rsidRPr="00AA1930">
        <w:rPr>
          <w:color w:val="000000" w:themeColor="text1"/>
          <w:sz w:val="28"/>
          <w:szCs w:val="28"/>
        </w:rPr>
        <w:t>Advertising investments crossed ₹1,000 crore, elevating GCPL to the 5th largest advertiser in India (from 17th in 2021), underscoring its commitment to brand-led growth. Looking ahead, the company is well-positioned to sustain momentum through deeper rural access, digital and chemist channel acceleration, and continued brand-building to reinforce category leadership.</w:t>
      </w:r>
    </w:p>
    <w:p w:rsidR="00AA1930" w:rsidRDefault="00AA1930" w:rsidP="00B3118B">
      <w:pPr>
        <w:spacing w:before="100" w:beforeAutospacing="1" w:after="100" w:afterAutospacing="1" w:line="360" w:lineRule="auto"/>
        <w:rPr>
          <w:b/>
          <w:bCs/>
          <w:color w:val="941651"/>
          <w:sz w:val="36"/>
          <w:szCs w:val="36"/>
          <w:lang w:val="en-GB"/>
        </w:rPr>
      </w:pPr>
    </w:p>
    <w:p w:rsidR="00D5023F" w:rsidRPr="00E11605" w:rsidRDefault="00700E6D" w:rsidP="00B3118B">
      <w:pPr>
        <w:spacing w:before="100" w:beforeAutospacing="1" w:after="100" w:afterAutospacing="1" w:line="360" w:lineRule="auto"/>
        <w:rPr>
          <w:color w:val="000000" w:themeColor="text1"/>
          <w:sz w:val="28"/>
          <w:szCs w:val="28"/>
        </w:rPr>
      </w:pPr>
      <w:r w:rsidRPr="003419C8">
        <w:rPr>
          <w:b/>
          <w:bCs/>
          <w:color w:val="941651"/>
          <w:sz w:val="36"/>
          <w:szCs w:val="36"/>
          <w:lang w:val="en-GB"/>
        </w:rPr>
        <w:lastRenderedPageBreak/>
        <w:t>PRICE ACTION</w:t>
      </w:r>
    </w:p>
    <w:tbl>
      <w:tblPr>
        <w:tblStyle w:val="TableGrid"/>
        <w:tblW w:w="0" w:type="auto"/>
        <w:tblLook w:val="04A0" w:firstRow="1" w:lastRow="0" w:firstColumn="1" w:lastColumn="0" w:noHBand="0" w:noVBand="1"/>
      </w:tblPr>
      <w:tblGrid>
        <w:gridCol w:w="3137"/>
        <w:gridCol w:w="3137"/>
      </w:tblGrid>
      <w:tr w:rsidR="00700E6D" w:rsidTr="004011ED">
        <w:trPr>
          <w:trHeight w:val="664"/>
        </w:trPr>
        <w:tc>
          <w:tcPr>
            <w:tcW w:w="3137" w:type="dxa"/>
            <w:shd w:val="clear" w:color="auto" w:fill="767171" w:themeFill="background2" w:themeFillShade="80"/>
          </w:tcPr>
          <w:p w:rsidR="00700E6D" w:rsidRPr="001712BC" w:rsidRDefault="00700E6D" w:rsidP="001712BC">
            <w:pPr>
              <w:spacing w:before="240" w:line="360" w:lineRule="auto"/>
              <w:contextualSpacing/>
              <w:rPr>
                <w:rFonts w:ascii="Book Antiqua" w:hAnsi="Book Antiqua"/>
                <w:b/>
                <w:bCs/>
                <w:color w:val="000000" w:themeColor="text1"/>
                <w:sz w:val="28"/>
                <w:szCs w:val="28"/>
                <w:lang w:val="en-GB"/>
              </w:rPr>
            </w:pPr>
            <w:r w:rsidRPr="001712BC">
              <w:rPr>
                <w:rFonts w:ascii="Book Antiqua" w:hAnsi="Book Antiqua"/>
                <w:b/>
                <w:bCs/>
                <w:color w:val="000000" w:themeColor="text1"/>
                <w:sz w:val="28"/>
                <w:szCs w:val="28"/>
                <w:lang w:val="en-GB"/>
              </w:rPr>
              <w:t>Parameters</w:t>
            </w:r>
          </w:p>
        </w:tc>
        <w:tc>
          <w:tcPr>
            <w:tcW w:w="3137" w:type="dxa"/>
            <w:shd w:val="clear" w:color="auto" w:fill="767171" w:themeFill="background2" w:themeFillShade="80"/>
          </w:tcPr>
          <w:p w:rsidR="00700E6D" w:rsidRDefault="00700E6D" w:rsidP="001712BC">
            <w:pPr>
              <w:spacing w:before="240" w:line="360" w:lineRule="auto"/>
              <w:contextualSpacing/>
              <w:rPr>
                <w:b/>
                <w:bCs/>
                <w:color w:val="2E74B5" w:themeColor="accent5" w:themeShade="BF"/>
                <w:sz w:val="36"/>
                <w:szCs w:val="36"/>
                <w:lang w:val="en-GB"/>
              </w:rPr>
            </w:pPr>
            <w:r w:rsidRPr="001712BC">
              <w:rPr>
                <w:rFonts w:ascii="Book Antiqua" w:hAnsi="Book Antiqua"/>
                <w:b/>
                <w:bCs/>
                <w:color w:val="000000" w:themeColor="text1"/>
                <w:sz w:val="28"/>
                <w:szCs w:val="28"/>
                <w:lang w:val="en-GB"/>
              </w:rPr>
              <w:t>Range</w:t>
            </w:r>
          </w:p>
        </w:tc>
      </w:tr>
      <w:tr w:rsidR="00700E6D" w:rsidTr="004011ED">
        <w:trPr>
          <w:trHeight w:val="664"/>
        </w:trPr>
        <w:tc>
          <w:tcPr>
            <w:tcW w:w="3137" w:type="dxa"/>
          </w:tcPr>
          <w:p w:rsidR="00700E6D" w:rsidRPr="001712BC" w:rsidRDefault="00700E6D" w:rsidP="001712BC">
            <w:pPr>
              <w:spacing w:before="240" w:line="360" w:lineRule="auto"/>
              <w:contextualSpacing/>
              <w:jc w:val="center"/>
              <w:rPr>
                <w:rFonts w:ascii="Book Antiqua" w:hAnsi="Book Antiqua"/>
                <w:color w:val="000000" w:themeColor="text1"/>
                <w:sz w:val="28"/>
                <w:szCs w:val="28"/>
                <w:lang w:val="en-GB"/>
              </w:rPr>
            </w:pPr>
            <w:r w:rsidRPr="001712BC">
              <w:rPr>
                <w:rFonts w:ascii="Book Antiqua" w:hAnsi="Book Antiqua"/>
                <w:color w:val="000000" w:themeColor="text1"/>
                <w:sz w:val="28"/>
                <w:szCs w:val="28"/>
                <w:lang w:val="en-GB"/>
              </w:rPr>
              <w:t>Volume Traded</w:t>
            </w:r>
          </w:p>
        </w:tc>
        <w:tc>
          <w:tcPr>
            <w:tcW w:w="3137" w:type="dxa"/>
          </w:tcPr>
          <w:p w:rsidR="00700E6D" w:rsidRDefault="008F52E8" w:rsidP="00BD5A2D">
            <w:pPr>
              <w:spacing w:before="240" w:line="360" w:lineRule="auto"/>
              <w:contextualSpacing/>
              <w:jc w:val="center"/>
              <w:rPr>
                <w:b/>
                <w:bCs/>
                <w:color w:val="2E74B5" w:themeColor="accent5" w:themeShade="BF"/>
                <w:sz w:val="36"/>
                <w:szCs w:val="36"/>
                <w:lang w:val="en-GB"/>
              </w:rPr>
            </w:pPr>
            <w:r>
              <w:rPr>
                <w:rFonts w:ascii="Book Antiqua" w:hAnsi="Book Antiqua"/>
                <w:color w:val="000000" w:themeColor="text1"/>
                <w:sz w:val="28"/>
                <w:szCs w:val="28"/>
                <w:lang w:val="en-GB"/>
              </w:rPr>
              <w:t>8</w:t>
            </w:r>
            <w:r w:rsidR="001F6444" w:rsidRPr="001F6444">
              <w:rPr>
                <w:rFonts w:ascii="Book Antiqua" w:hAnsi="Book Antiqua"/>
                <w:color w:val="000000" w:themeColor="text1"/>
                <w:sz w:val="28"/>
                <w:szCs w:val="28"/>
                <w:lang w:val="en-GB"/>
              </w:rPr>
              <w:t>,</w:t>
            </w:r>
            <w:r>
              <w:rPr>
                <w:rFonts w:ascii="Book Antiqua" w:hAnsi="Book Antiqua"/>
                <w:color w:val="000000" w:themeColor="text1"/>
                <w:sz w:val="28"/>
                <w:szCs w:val="28"/>
                <w:lang w:val="en-GB"/>
              </w:rPr>
              <w:t>58</w:t>
            </w:r>
            <w:r w:rsidR="001F6444" w:rsidRPr="001F6444">
              <w:rPr>
                <w:rFonts w:ascii="Book Antiqua" w:hAnsi="Book Antiqua"/>
                <w:color w:val="000000" w:themeColor="text1"/>
                <w:sz w:val="28"/>
                <w:szCs w:val="28"/>
                <w:lang w:val="en-GB"/>
              </w:rPr>
              <w:t>,</w:t>
            </w:r>
            <w:r w:rsidR="005445DF">
              <w:rPr>
                <w:rFonts w:ascii="Book Antiqua" w:hAnsi="Book Antiqua"/>
                <w:color w:val="000000" w:themeColor="text1"/>
                <w:sz w:val="28"/>
                <w:szCs w:val="28"/>
                <w:lang w:val="en-GB"/>
              </w:rPr>
              <w:t>3</w:t>
            </w:r>
            <w:r>
              <w:rPr>
                <w:rFonts w:ascii="Book Antiqua" w:hAnsi="Book Antiqua"/>
                <w:color w:val="000000" w:themeColor="text1"/>
                <w:sz w:val="28"/>
                <w:szCs w:val="28"/>
                <w:lang w:val="en-GB"/>
              </w:rPr>
              <w:t>07</w:t>
            </w:r>
          </w:p>
        </w:tc>
      </w:tr>
      <w:tr w:rsidR="00700E6D" w:rsidTr="004011ED">
        <w:trPr>
          <w:trHeight w:val="664"/>
        </w:trPr>
        <w:tc>
          <w:tcPr>
            <w:tcW w:w="3137" w:type="dxa"/>
          </w:tcPr>
          <w:p w:rsidR="00700E6D" w:rsidRPr="001712BC" w:rsidRDefault="00700E6D" w:rsidP="001712BC">
            <w:pPr>
              <w:spacing w:before="240" w:line="360" w:lineRule="auto"/>
              <w:contextualSpacing/>
              <w:jc w:val="center"/>
              <w:rPr>
                <w:rFonts w:ascii="Book Antiqua" w:hAnsi="Book Antiqua"/>
                <w:color w:val="000000" w:themeColor="text1"/>
                <w:sz w:val="28"/>
                <w:szCs w:val="28"/>
                <w:lang w:val="en-GB"/>
              </w:rPr>
            </w:pPr>
            <w:r w:rsidRPr="001712BC">
              <w:rPr>
                <w:rFonts w:ascii="Book Antiqua" w:hAnsi="Book Antiqua"/>
                <w:color w:val="000000" w:themeColor="text1"/>
                <w:sz w:val="28"/>
                <w:szCs w:val="28"/>
                <w:lang w:val="en-GB"/>
              </w:rPr>
              <w:t>Current Price</w:t>
            </w:r>
          </w:p>
        </w:tc>
        <w:tc>
          <w:tcPr>
            <w:tcW w:w="3137" w:type="dxa"/>
          </w:tcPr>
          <w:p w:rsidR="00700E6D" w:rsidRPr="00BD5A2D" w:rsidRDefault="008F52E8" w:rsidP="00BD5A2D">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12</w:t>
            </w:r>
            <w:r w:rsidR="004F7F3B">
              <w:rPr>
                <w:rFonts w:ascii="Book Antiqua" w:hAnsi="Book Antiqua"/>
                <w:color w:val="000000" w:themeColor="text1"/>
                <w:sz w:val="28"/>
                <w:szCs w:val="28"/>
                <w:lang w:val="en-GB"/>
              </w:rPr>
              <w:t>83</w:t>
            </w:r>
            <w:r>
              <w:rPr>
                <w:rFonts w:ascii="Book Antiqua" w:hAnsi="Book Antiqua"/>
                <w:color w:val="000000" w:themeColor="text1"/>
                <w:sz w:val="28"/>
                <w:szCs w:val="28"/>
                <w:lang w:val="en-GB"/>
              </w:rPr>
              <w:t>.15</w:t>
            </w:r>
          </w:p>
        </w:tc>
      </w:tr>
      <w:tr w:rsidR="00700E6D" w:rsidTr="004011ED">
        <w:trPr>
          <w:trHeight w:val="664"/>
        </w:trPr>
        <w:tc>
          <w:tcPr>
            <w:tcW w:w="3137" w:type="dxa"/>
          </w:tcPr>
          <w:p w:rsidR="00700E6D" w:rsidRPr="001712BC" w:rsidRDefault="00700E6D" w:rsidP="001712BC">
            <w:pPr>
              <w:spacing w:before="240" w:line="360" w:lineRule="auto"/>
              <w:contextualSpacing/>
              <w:jc w:val="center"/>
              <w:rPr>
                <w:rFonts w:ascii="Book Antiqua" w:hAnsi="Book Antiqua"/>
                <w:color w:val="000000" w:themeColor="text1"/>
                <w:sz w:val="28"/>
                <w:szCs w:val="28"/>
                <w:lang w:val="en-GB"/>
              </w:rPr>
            </w:pPr>
            <w:r w:rsidRPr="001712BC">
              <w:rPr>
                <w:rFonts w:ascii="Book Antiqua" w:hAnsi="Book Antiqua"/>
                <w:color w:val="000000" w:themeColor="text1"/>
                <w:sz w:val="28"/>
                <w:szCs w:val="28"/>
                <w:lang w:val="en-GB"/>
              </w:rPr>
              <w:t>Face Value</w:t>
            </w:r>
          </w:p>
        </w:tc>
        <w:tc>
          <w:tcPr>
            <w:tcW w:w="3137" w:type="dxa"/>
          </w:tcPr>
          <w:p w:rsidR="005445DF" w:rsidRPr="00BD5A2D" w:rsidRDefault="005445DF" w:rsidP="005445DF">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1</w:t>
            </w:r>
            <w:r w:rsidR="0080580C">
              <w:rPr>
                <w:rFonts w:ascii="Book Antiqua" w:hAnsi="Book Antiqua"/>
                <w:color w:val="000000" w:themeColor="text1"/>
                <w:sz w:val="28"/>
                <w:szCs w:val="28"/>
                <w:lang w:val="en-GB"/>
              </w:rPr>
              <w:t>.0</w:t>
            </w:r>
          </w:p>
        </w:tc>
      </w:tr>
      <w:tr w:rsidR="00700E6D" w:rsidTr="004011ED">
        <w:trPr>
          <w:trHeight w:val="664"/>
        </w:trPr>
        <w:tc>
          <w:tcPr>
            <w:tcW w:w="3137" w:type="dxa"/>
          </w:tcPr>
          <w:p w:rsidR="00700E6D" w:rsidRPr="001712BC" w:rsidRDefault="00700E6D" w:rsidP="001712BC">
            <w:pPr>
              <w:spacing w:before="240" w:line="360" w:lineRule="auto"/>
              <w:contextualSpacing/>
              <w:jc w:val="center"/>
              <w:rPr>
                <w:rFonts w:ascii="Book Antiqua" w:hAnsi="Book Antiqua"/>
                <w:color w:val="000000" w:themeColor="text1"/>
                <w:sz w:val="28"/>
                <w:szCs w:val="28"/>
                <w:lang w:val="en-GB"/>
              </w:rPr>
            </w:pPr>
            <w:r w:rsidRPr="001712BC">
              <w:rPr>
                <w:rFonts w:ascii="Book Antiqua" w:hAnsi="Book Antiqua"/>
                <w:color w:val="000000" w:themeColor="text1"/>
                <w:sz w:val="28"/>
                <w:szCs w:val="28"/>
                <w:lang w:val="en-GB"/>
              </w:rPr>
              <w:t>Previous Value</w:t>
            </w:r>
          </w:p>
        </w:tc>
        <w:tc>
          <w:tcPr>
            <w:tcW w:w="3137" w:type="dxa"/>
          </w:tcPr>
          <w:p w:rsidR="00700E6D" w:rsidRPr="00BD5A2D" w:rsidRDefault="001F6444" w:rsidP="00BD5A2D">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1</w:t>
            </w:r>
            <w:r w:rsidR="008F52E8">
              <w:rPr>
                <w:rFonts w:ascii="Book Antiqua" w:hAnsi="Book Antiqua"/>
                <w:color w:val="000000" w:themeColor="text1"/>
                <w:sz w:val="28"/>
                <w:szCs w:val="28"/>
                <w:lang w:val="en-GB"/>
              </w:rPr>
              <w:t>300.05</w:t>
            </w:r>
          </w:p>
        </w:tc>
      </w:tr>
      <w:tr w:rsidR="00700E6D" w:rsidTr="004011ED">
        <w:trPr>
          <w:trHeight w:val="675"/>
        </w:trPr>
        <w:tc>
          <w:tcPr>
            <w:tcW w:w="3137" w:type="dxa"/>
          </w:tcPr>
          <w:p w:rsidR="00700E6D" w:rsidRPr="001712BC" w:rsidRDefault="001712BC" w:rsidP="001712BC">
            <w:pPr>
              <w:spacing w:before="240" w:line="360" w:lineRule="auto"/>
              <w:contextualSpacing/>
              <w:jc w:val="center"/>
              <w:rPr>
                <w:rFonts w:ascii="Book Antiqua" w:hAnsi="Book Antiqua"/>
                <w:color w:val="000000" w:themeColor="text1"/>
                <w:sz w:val="28"/>
                <w:szCs w:val="28"/>
                <w:lang w:val="en-GB"/>
              </w:rPr>
            </w:pPr>
            <w:r w:rsidRPr="001712BC">
              <w:rPr>
                <w:rFonts w:ascii="Book Antiqua" w:hAnsi="Book Antiqua"/>
                <w:color w:val="000000" w:themeColor="text1"/>
                <w:sz w:val="28"/>
                <w:szCs w:val="28"/>
                <w:lang w:val="en-GB"/>
              </w:rPr>
              <w:t>Open Price</w:t>
            </w:r>
          </w:p>
        </w:tc>
        <w:tc>
          <w:tcPr>
            <w:tcW w:w="3137" w:type="dxa"/>
          </w:tcPr>
          <w:p w:rsidR="00700E6D" w:rsidRPr="00BD5A2D" w:rsidRDefault="001F6444" w:rsidP="00BD5A2D">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1</w:t>
            </w:r>
            <w:r w:rsidR="008F52E8">
              <w:rPr>
                <w:rFonts w:ascii="Book Antiqua" w:hAnsi="Book Antiqua"/>
                <w:color w:val="000000" w:themeColor="text1"/>
                <w:sz w:val="28"/>
                <w:szCs w:val="28"/>
                <w:lang w:val="en-GB"/>
              </w:rPr>
              <w:t>308.90</w:t>
            </w:r>
          </w:p>
        </w:tc>
      </w:tr>
      <w:tr w:rsidR="00700E6D" w:rsidTr="004011ED">
        <w:trPr>
          <w:trHeight w:val="664"/>
        </w:trPr>
        <w:tc>
          <w:tcPr>
            <w:tcW w:w="3137" w:type="dxa"/>
          </w:tcPr>
          <w:p w:rsidR="00700E6D" w:rsidRPr="001712BC" w:rsidRDefault="001712BC" w:rsidP="001712BC">
            <w:pPr>
              <w:spacing w:before="240" w:line="360" w:lineRule="auto"/>
              <w:contextualSpacing/>
              <w:jc w:val="center"/>
              <w:rPr>
                <w:rFonts w:ascii="Book Antiqua" w:hAnsi="Book Antiqua"/>
                <w:color w:val="000000" w:themeColor="text1"/>
                <w:sz w:val="28"/>
                <w:szCs w:val="28"/>
                <w:lang w:val="en-GB"/>
              </w:rPr>
            </w:pPr>
            <w:r w:rsidRPr="001712BC">
              <w:rPr>
                <w:rFonts w:ascii="Book Antiqua" w:hAnsi="Book Antiqua"/>
                <w:color w:val="000000" w:themeColor="text1"/>
                <w:sz w:val="28"/>
                <w:szCs w:val="28"/>
                <w:lang w:val="en-GB"/>
              </w:rPr>
              <w:t>Today low/high</w:t>
            </w:r>
          </w:p>
        </w:tc>
        <w:tc>
          <w:tcPr>
            <w:tcW w:w="3137" w:type="dxa"/>
          </w:tcPr>
          <w:p w:rsidR="00700E6D" w:rsidRPr="00BD5A2D" w:rsidRDefault="001F6444" w:rsidP="00BD5A2D">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1,</w:t>
            </w:r>
            <w:r w:rsidR="008F52E8">
              <w:rPr>
                <w:rFonts w:ascii="Book Antiqua" w:hAnsi="Book Antiqua"/>
                <w:color w:val="000000" w:themeColor="text1"/>
                <w:sz w:val="28"/>
                <w:szCs w:val="28"/>
                <w:lang w:val="en-GB"/>
              </w:rPr>
              <w:t>277.20</w:t>
            </w:r>
            <w:r w:rsidR="00BD5A2D">
              <w:rPr>
                <w:rFonts w:ascii="Book Antiqua" w:hAnsi="Book Antiqua"/>
                <w:color w:val="000000" w:themeColor="text1"/>
                <w:sz w:val="28"/>
                <w:szCs w:val="28"/>
                <w:lang w:val="en-GB"/>
              </w:rPr>
              <w:t>/</w:t>
            </w:r>
            <w:r>
              <w:rPr>
                <w:rFonts w:ascii="Book Antiqua" w:hAnsi="Book Antiqua"/>
                <w:color w:val="000000" w:themeColor="text1"/>
                <w:sz w:val="28"/>
                <w:szCs w:val="28"/>
                <w:lang w:val="en-GB"/>
              </w:rPr>
              <w:t>1,</w:t>
            </w:r>
            <w:r w:rsidR="008F52E8">
              <w:rPr>
                <w:rFonts w:ascii="Book Antiqua" w:hAnsi="Book Antiqua"/>
                <w:color w:val="000000" w:themeColor="text1"/>
                <w:sz w:val="28"/>
                <w:szCs w:val="28"/>
                <w:lang w:val="en-GB"/>
              </w:rPr>
              <w:t>319.75</w:t>
            </w:r>
          </w:p>
        </w:tc>
      </w:tr>
      <w:tr w:rsidR="00700E6D" w:rsidTr="004011ED">
        <w:trPr>
          <w:trHeight w:val="664"/>
        </w:trPr>
        <w:tc>
          <w:tcPr>
            <w:tcW w:w="3137" w:type="dxa"/>
          </w:tcPr>
          <w:p w:rsidR="00700E6D" w:rsidRPr="001712BC" w:rsidRDefault="001712BC" w:rsidP="001712BC">
            <w:pPr>
              <w:spacing w:before="240" w:line="360" w:lineRule="auto"/>
              <w:contextualSpacing/>
              <w:jc w:val="center"/>
              <w:rPr>
                <w:rFonts w:ascii="Book Antiqua" w:hAnsi="Book Antiqua"/>
                <w:color w:val="000000" w:themeColor="text1"/>
                <w:sz w:val="28"/>
                <w:szCs w:val="28"/>
                <w:lang w:val="en-GB"/>
              </w:rPr>
            </w:pPr>
            <w:r w:rsidRPr="001712BC">
              <w:rPr>
                <w:rFonts w:ascii="Book Antiqua" w:hAnsi="Book Antiqua"/>
                <w:color w:val="000000" w:themeColor="text1"/>
                <w:sz w:val="28"/>
                <w:szCs w:val="28"/>
                <w:lang w:val="en-GB"/>
              </w:rPr>
              <w:t>52-week low/high</w:t>
            </w:r>
          </w:p>
        </w:tc>
        <w:tc>
          <w:tcPr>
            <w:tcW w:w="3137" w:type="dxa"/>
          </w:tcPr>
          <w:p w:rsidR="00700E6D" w:rsidRPr="00BD5A2D" w:rsidRDefault="001F6444" w:rsidP="00BD5A2D">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979.50</w:t>
            </w:r>
            <w:r w:rsidR="00BD5A2D">
              <w:rPr>
                <w:rFonts w:ascii="Book Antiqua" w:hAnsi="Book Antiqua"/>
                <w:color w:val="000000" w:themeColor="text1"/>
                <w:sz w:val="28"/>
                <w:szCs w:val="28"/>
                <w:lang w:val="en-GB"/>
              </w:rPr>
              <w:t>/</w:t>
            </w:r>
            <w:r>
              <w:rPr>
                <w:rFonts w:ascii="Book Antiqua" w:hAnsi="Book Antiqua"/>
                <w:color w:val="000000" w:themeColor="text1"/>
                <w:sz w:val="28"/>
                <w:szCs w:val="28"/>
                <w:lang w:val="en-GB"/>
              </w:rPr>
              <w:t>1,541.85</w:t>
            </w:r>
          </w:p>
        </w:tc>
      </w:tr>
    </w:tbl>
    <w:p w:rsidR="00700E6D" w:rsidRPr="001712BC" w:rsidRDefault="001712BC" w:rsidP="00FB1421">
      <w:pPr>
        <w:spacing w:before="240" w:line="360" w:lineRule="auto"/>
        <w:contextualSpacing/>
        <w:jc w:val="both"/>
        <w:rPr>
          <w:i/>
          <w:iCs/>
          <w:sz w:val="18"/>
          <w:szCs w:val="18"/>
          <w:lang w:val="en-GB"/>
        </w:rPr>
      </w:pPr>
      <w:r w:rsidRPr="001712BC">
        <w:rPr>
          <w:i/>
          <w:iCs/>
          <w:sz w:val="18"/>
          <w:szCs w:val="18"/>
          <w:lang w:val="en-GB"/>
        </w:rPr>
        <w:t>Source: National Stock Exchange</w:t>
      </w:r>
    </w:p>
    <w:p w:rsidR="00E11DF2" w:rsidRDefault="00E11DF2" w:rsidP="00A22217">
      <w:pPr>
        <w:spacing w:before="240" w:line="360" w:lineRule="auto"/>
        <w:contextualSpacing/>
        <w:jc w:val="both"/>
        <w:rPr>
          <w:rFonts w:ascii="-webkit-standard" w:hAnsi="-webkit-standard"/>
          <w:color w:val="000000"/>
          <w:sz w:val="27"/>
          <w:szCs w:val="27"/>
        </w:rPr>
      </w:pPr>
    </w:p>
    <w:p w:rsidR="00AA1930" w:rsidRDefault="00AA1930" w:rsidP="00AA1930">
      <w:pPr>
        <w:spacing w:before="240" w:line="360" w:lineRule="auto"/>
        <w:contextualSpacing/>
        <w:jc w:val="both"/>
        <w:rPr>
          <w:color w:val="000000" w:themeColor="text1"/>
          <w:sz w:val="28"/>
          <w:szCs w:val="28"/>
        </w:rPr>
      </w:pPr>
      <w:r>
        <w:rPr>
          <w:color w:val="000000" w:themeColor="text1"/>
          <w:sz w:val="28"/>
          <w:szCs w:val="28"/>
        </w:rPr>
        <w:t>I</w:t>
      </w:r>
      <w:r w:rsidRPr="00AA1930">
        <w:rPr>
          <w:color w:val="000000" w:themeColor="text1"/>
          <w:sz w:val="28"/>
          <w:szCs w:val="28"/>
        </w:rPr>
        <w:t>ndia’s robust macro environment</w:t>
      </w:r>
      <w:r w:rsidR="0080580C">
        <w:rPr>
          <w:color w:val="000000" w:themeColor="text1"/>
          <w:sz w:val="28"/>
          <w:szCs w:val="28"/>
        </w:rPr>
        <w:t xml:space="preserve"> </w:t>
      </w:r>
      <w:r w:rsidRPr="00AA1930">
        <w:rPr>
          <w:color w:val="000000" w:themeColor="text1"/>
          <w:sz w:val="28"/>
          <w:szCs w:val="28"/>
        </w:rPr>
        <w:t>8.2% real GDP growth in FY24 and an estimated 6.4% in FY25—alongside rising consumption, digital adoption, and sustained public capex, sets a strong foundation for FMCG expansion. The sector reported 10.6% value growth in Q3 FY24 and is poised for a 27.9% CAGR through FY27, driven by rural demand and premiumisation trends.</w:t>
      </w:r>
    </w:p>
    <w:p w:rsidR="00AA1930" w:rsidRPr="00AA1930" w:rsidRDefault="00AA1930" w:rsidP="00AA1930">
      <w:pPr>
        <w:spacing w:before="240" w:line="360" w:lineRule="auto"/>
        <w:contextualSpacing/>
        <w:jc w:val="both"/>
        <w:rPr>
          <w:color w:val="000000" w:themeColor="text1"/>
          <w:sz w:val="28"/>
          <w:szCs w:val="28"/>
        </w:rPr>
      </w:pPr>
    </w:p>
    <w:p w:rsidR="00AA1930" w:rsidRPr="00AA1930" w:rsidRDefault="00AA1930" w:rsidP="00AA1930">
      <w:pPr>
        <w:spacing w:before="240" w:line="360" w:lineRule="auto"/>
        <w:contextualSpacing/>
        <w:jc w:val="both"/>
        <w:rPr>
          <w:color w:val="000000" w:themeColor="text1"/>
          <w:sz w:val="28"/>
          <w:szCs w:val="28"/>
        </w:rPr>
      </w:pPr>
      <w:r w:rsidRPr="00AA1930">
        <w:rPr>
          <w:color w:val="000000" w:themeColor="text1"/>
          <w:sz w:val="28"/>
          <w:szCs w:val="28"/>
        </w:rPr>
        <w:t xml:space="preserve">GCPL, with ~59% of its revenues from India and 6% organic volume growth in FY24, is strategically aligned to benefit. Initiatives like Project </w:t>
      </w:r>
      <w:proofErr w:type="spellStart"/>
      <w:r w:rsidRPr="00AA1930">
        <w:rPr>
          <w:color w:val="000000" w:themeColor="text1"/>
          <w:sz w:val="28"/>
          <w:szCs w:val="28"/>
        </w:rPr>
        <w:t>Vistaar</w:t>
      </w:r>
      <w:proofErr w:type="spellEnd"/>
      <w:r w:rsidRPr="00AA1930">
        <w:rPr>
          <w:color w:val="000000" w:themeColor="text1"/>
          <w:sz w:val="28"/>
          <w:szCs w:val="28"/>
        </w:rPr>
        <w:t>, deeper rural reach, and stronger play in modern trade and chemist channels bolster its growth readiness. India remains central to GCPL’s long-term value creation thesis, supported by structural tailwinds and focused execution.</w:t>
      </w:r>
    </w:p>
    <w:p w:rsidR="00A22217" w:rsidRDefault="00A22217" w:rsidP="002F7077">
      <w:pPr>
        <w:spacing w:before="240" w:line="360" w:lineRule="auto"/>
        <w:contextualSpacing/>
        <w:jc w:val="both"/>
        <w:rPr>
          <w:i/>
          <w:iCs/>
          <w:noProof/>
          <w:sz w:val="18"/>
          <w:szCs w:val="18"/>
          <w:lang w:val="en-GB"/>
        </w:rPr>
      </w:pPr>
    </w:p>
    <w:p w:rsidR="001F5C9A" w:rsidRDefault="001F5C9A" w:rsidP="002F7077">
      <w:pPr>
        <w:spacing w:before="240" w:line="360" w:lineRule="auto"/>
        <w:contextualSpacing/>
        <w:jc w:val="both"/>
        <w:rPr>
          <w:i/>
          <w:iCs/>
          <w:noProof/>
          <w:sz w:val="18"/>
          <w:szCs w:val="18"/>
          <w:lang w:val="en-GB"/>
        </w:rPr>
      </w:pPr>
    </w:p>
    <w:p w:rsidR="001F5C9A" w:rsidRDefault="001F5C9A" w:rsidP="002F7077">
      <w:pPr>
        <w:spacing w:before="240" w:line="360" w:lineRule="auto"/>
        <w:contextualSpacing/>
        <w:jc w:val="both"/>
        <w:rPr>
          <w:i/>
          <w:iCs/>
          <w:sz w:val="18"/>
          <w:szCs w:val="18"/>
          <w:lang w:val="en-GB"/>
        </w:rPr>
      </w:pPr>
      <w:r>
        <w:rPr>
          <w:i/>
          <w:iCs/>
          <w:noProof/>
          <w:sz w:val="18"/>
          <w:szCs w:val="18"/>
          <w:lang w:val="en-GB"/>
        </w:rPr>
        <w:lastRenderedPageBreak/>
        <w:drawing>
          <wp:inline distT="0" distB="0" distL="0" distR="0">
            <wp:extent cx="6188710" cy="2416810"/>
            <wp:effectExtent l="0" t="0" r="0" b="0"/>
            <wp:docPr id="2114660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6016" name="Picture 211466016"/>
                    <pic:cNvPicPr/>
                  </pic:nvPicPr>
                  <pic:blipFill rotWithShape="1">
                    <a:blip r:embed="rId10" cstate="print">
                      <a:extLst>
                        <a:ext uri="{28A0092B-C50C-407E-A947-70E740481C1C}">
                          <a14:useLocalDpi xmlns:a14="http://schemas.microsoft.com/office/drawing/2010/main" val="0"/>
                        </a:ext>
                      </a:extLst>
                    </a:blip>
                    <a:srcRect t="1552"/>
                    <a:stretch>
                      <a:fillRect/>
                    </a:stretch>
                  </pic:blipFill>
                  <pic:spPr bwMode="auto">
                    <a:xfrm>
                      <a:off x="0" y="0"/>
                      <a:ext cx="6188710" cy="2416810"/>
                    </a:xfrm>
                    <a:prstGeom prst="rect">
                      <a:avLst/>
                    </a:prstGeom>
                    <a:ln>
                      <a:noFill/>
                    </a:ln>
                    <a:extLst>
                      <a:ext uri="{53640926-AAD7-44D8-BBD7-CCE9431645EC}">
                        <a14:shadowObscured xmlns:a14="http://schemas.microsoft.com/office/drawing/2010/main"/>
                      </a:ext>
                    </a:extLst>
                  </pic:spPr>
                </pic:pic>
              </a:graphicData>
            </a:graphic>
          </wp:inline>
        </w:drawing>
      </w:r>
    </w:p>
    <w:p w:rsidR="0072062A" w:rsidRPr="00A22217" w:rsidRDefault="00A22217" w:rsidP="00A22217">
      <w:pPr>
        <w:spacing w:before="240" w:line="360" w:lineRule="auto"/>
        <w:contextualSpacing/>
        <w:jc w:val="both"/>
        <w:rPr>
          <w:i/>
          <w:iCs/>
          <w:sz w:val="18"/>
          <w:szCs w:val="18"/>
          <w:lang w:val="en-GB"/>
        </w:rPr>
      </w:pPr>
      <w:r w:rsidRPr="00A22217">
        <w:rPr>
          <w:i/>
          <w:iCs/>
          <w:sz w:val="18"/>
          <w:szCs w:val="18"/>
          <w:lang w:val="en-GB"/>
        </w:rPr>
        <w:t>Source: National Stock Exchange</w:t>
      </w:r>
    </w:p>
    <w:p w:rsidR="001F5C9A" w:rsidRDefault="001F5C9A" w:rsidP="001F5C9A">
      <w:pPr>
        <w:spacing w:before="240" w:line="360" w:lineRule="auto"/>
        <w:contextualSpacing/>
        <w:jc w:val="both"/>
        <w:rPr>
          <w:sz w:val="28"/>
          <w:szCs w:val="28"/>
        </w:rPr>
      </w:pPr>
    </w:p>
    <w:p w:rsidR="004F7F3B" w:rsidRPr="004F7F3B" w:rsidRDefault="004F7F3B" w:rsidP="004F7F3B">
      <w:pPr>
        <w:spacing w:before="100" w:beforeAutospacing="1" w:after="100" w:afterAutospacing="1" w:line="360" w:lineRule="auto"/>
        <w:jc w:val="both"/>
        <w:rPr>
          <w:color w:val="000000" w:themeColor="text1"/>
          <w:sz w:val="28"/>
          <w:szCs w:val="28"/>
        </w:rPr>
      </w:pPr>
      <w:r w:rsidRPr="004F7F3B">
        <w:rPr>
          <w:color w:val="000000" w:themeColor="text1"/>
          <w:sz w:val="28"/>
          <w:szCs w:val="28"/>
        </w:rPr>
        <w:t>GCPL delivered a resilient operational performance, with consolidated sales up 7% YoY and EBITDA expanding 21% YoY. Segment-wise, Home Care drove growth with a 12% increase, while Personal Care posted a muted 3% rise. Unbranded products and exports stood out, surging 21%—reflecting strength across diversified geographies and categories.</w:t>
      </w:r>
    </w:p>
    <w:p w:rsidR="004F7F3B" w:rsidRDefault="004F7F3B" w:rsidP="004F7F3B">
      <w:pPr>
        <w:spacing w:before="100" w:beforeAutospacing="1" w:after="100" w:afterAutospacing="1" w:line="360" w:lineRule="auto"/>
        <w:jc w:val="both"/>
        <w:rPr>
          <w:color w:val="000000" w:themeColor="text1"/>
          <w:sz w:val="28"/>
          <w:szCs w:val="28"/>
        </w:rPr>
      </w:pPr>
      <w:r w:rsidRPr="004F7F3B">
        <w:rPr>
          <w:color w:val="000000" w:themeColor="text1"/>
          <w:sz w:val="28"/>
          <w:szCs w:val="28"/>
        </w:rPr>
        <w:t>However, the technical outlook signals caution. As of June 20, 2025, GODREJCP closed at ₹1,183.40, down 0.86%, breaching key moving averages and edging close to a crucial support zone at ₹1,182.10. A breakdown could accelerate bearish momentum, while resistance at ₹1,186.65 caps near-term upside.</w:t>
      </w:r>
    </w:p>
    <w:p w:rsidR="004F7F3B" w:rsidRPr="004F7F3B" w:rsidRDefault="004F7F3B" w:rsidP="004F7F3B">
      <w:pPr>
        <w:spacing w:before="100" w:beforeAutospacing="1" w:after="100" w:afterAutospacing="1" w:line="360" w:lineRule="auto"/>
        <w:jc w:val="both"/>
        <w:rPr>
          <w:color w:val="000000" w:themeColor="text1"/>
          <w:sz w:val="28"/>
          <w:szCs w:val="28"/>
        </w:rPr>
      </w:pPr>
      <w:r w:rsidRPr="004F7F3B">
        <w:rPr>
          <w:color w:val="000000" w:themeColor="text1"/>
          <w:sz w:val="28"/>
          <w:szCs w:val="28"/>
        </w:rPr>
        <w:t>Momentum indicators paint a bearish undertone—RSI stands at a weak 39.15, and the Stochastic oscillator (%K at 6.87, %D at 23.57) suggests oversold conditions. This could prompt a technical rebound if support holds, though conviction remains low.</w:t>
      </w:r>
    </w:p>
    <w:p w:rsidR="004F7F3B" w:rsidRPr="004F7F3B" w:rsidRDefault="004F7F3B" w:rsidP="004F7F3B">
      <w:pPr>
        <w:spacing w:before="100" w:beforeAutospacing="1" w:after="100" w:afterAutospacing="1" w:line="360" w:lineRule="auto"/>
        <w:jc w:val="both"/>
        <w:rPr>
          <w:color w:val="000000" w:themeColor="text1"/>
          <w:sz w:val="28"/>
          <w:szCs w:val="28"/>
        </w:rPr>
      </w:pPr>
      <w:r w:rsidRPr="004F7F3B">
        <w:rPr>
          <w:color w:val="000000" w:themeColor="text1"/>
          <w:sz w:val="28"/>
          <w:szCs w:val="28"/>
        </w:rPr>
        <w:t>While fundamental performance remains strong, the near-term price action reflects market hesitation. A decisive move above ₹1,186–₹1,188 is needed to shift sentiment. Until then, we advise a neutral stance with a watchful eye on support levels.</w:t>
      </w:r>
    </w:p>
    <w:p w:rsidR="00D5023F" w:rsidRPr="001F5C9A" w:rsidRDefault="00D5023F" w:rsidP="00D5023F">
      <w:pPr>
        <w:spacing w:before="240" w:line="360" w:lineRule="auto"/>
        <w:contextualSpacing/>
        <w:jc w:val="both"/>
        <w:rPr>
          <w:sz w:val="28"/>
          <w:szCs w:val="28"/>
        </w:rPr>
      </w:pPr>
      <w:r w:rsidRPr="003419C8">
        <w:rPr>
          <w:b/>
          <w:bCs/>
          <w:color w:val="941651"/>
          <w:sz w:val="36"/>
          <w:szCs w:val="36"/>
        </w:rPr>
        <w:lastRenderedPageBreak/>
        <w:t>Disclaimer:</w:t>
      </w:r>
      <w:r w:rsidRPr="003419C8">
        <w:rPr>
          <w:i/>
          <w:iCs/>
          <w:color w:val="000000" w:themeColor="text1"/>
          <w:sz w:val="28"/>
          <w:szCs w:val="28"/>
        </w:rPr>
        <w:br/>
      </w:r>
      <w:r w:rsidRPr="005445DF">
        <w:rPr>
          <w:i/>
          <w:iCs/>
          <w:color w:val="000000" w:themeColor="text1"/>
          <w:sz w:val="21"/>
          <w:szCs w:val="21"/>
        </w:rPr>
        <w:t>The views, analysis, and content presented here are for informational purposes only and do not constitute financial, investment, tax, or legal advice. They do not take into account your individual objectives, financial situation, or specific needs. Before acting on any information provided, you should carefully consider its suitability in light of your personal circumstances and consult with a qualified financial adviser, stockbroker, or legal/tax professional as appropriate.</w:t>
      </w:r>
    </w:p>
    <w:p w:rsidR="00D5023F" w:rsidRPr="005445DF" w:rsidRDefault="00D5023F" w:rsidP="00D5023F">
      <w:pPr>
        <w:spacing w:before="240" w:line="360" w:lineRule="auto"/>
        <w:contextualSpacing/>
        <w:jc w:val="both"/>
        <w:rPr>
          <w:i/>
          <w:iCs/>
          <w:color w:val="000000" w:themeColor="text1"/>
          <w:sz w:val="21"/>
          <w:szCs w:val="21"/>
        </w:rPr>
      </w:pPr>
    </w:p>
    <w:p w:rsidR="00D5023F" w:rsidRPr="005445DF" w:rsidRDefault="00D5023F" w:rsidP="00D5023F">
      <w:pPr>
        <w:spacing w:before="240" w:line="360" w:lineRule="auto"/>
        <w:contextualSpacing/>
        <w:jc w:val="both"/>
        <w:rPr>
          <w:i/>
          <w:iCs/>
          <w:color w:val="000000" w:themeColor="text1"/>
          <w:sz w:val="21"/>
          <w:szCs w:val="21"/>
        </w:rPr>
      </w:pPr>
      <w:r w:rsidRPr="005445DF">
        <w:rPr>
          <w:i/>
          <w:iCs/>
          <w:color w:val="000000" w:themeColor="text1"/>
          <w:sz w:val="21"/>
          <w:szCs w:val="21"/>
        </w:rPr>
        <w:t>Not all investments or strategies discussed may be suitable for every investor. The information shared is based on sources believed to be reliable and accurate at the time of writing; however, no guarantee is given as to its completeness or correctness. You are encouraged to conduct your own due diligence before making any investment decisions.</w:t>
      </w:r>
    </w:p>
    <w:p w:rsidR="00D5023F" w:rsidRPr="005445DF" w:rsidRDefault="00D5023F" w:rsidP="00D5023F">
      <w:pPr>
        <w:spacing w:before="240" w:line="360" w:lineRule="auto"/>
        <w:contextualSpacing/>
        <w:jc w:val="both"/>
        <w:rPr>
          <w:i/>
          <w:iCs/>
          <w:color w:val="000000" w:themeColor="text1"/>
          <w:sz w:val="21"/>
          <w:szCs w:val="21"/>
        </w:rPr>
      </w:pPr>
    </w:p>
    <w:p w:rsidR="00D5023F" w:rsidRPr="005445DF" w:rsidRDefault="00D5023F" w:rsidP="00D5023F">
      <w:pPr>
        <w:spacing w:before="240" w:line="360" w:lineRule="auto"/>
        <w:contextualSpacing/>
        <w:jc w:val="both"/>
        <w:rPr>
          <w:i/>
          <w:iCs/>
          <w:color w:val="000000" w:themeColor="text1"/>
          <w:sz w:val="21"/>
          <w:szCs w:val="21"/>
        </w:rPr>
      </w:pPr>
      <w:r w:rsidRPr="005445DF">
        <w:rPr>
          <w:i/>
          <w:iCs/>
          <w:color w:val="000000" w:themeColor="text1"/>
          <w:sz w:val="21"/>
          <w:szCs w:val="21"/>
        </w:rPr>
        <w:t>To the fullest extent permitted by law, the author disclaims any and all liability for any loss or damage arising from reliance on the information provided, including indirect or consequential losses, or data-related damages. Where such exclusions are not permitted by law, liability is limited to the provision of equivalent services as allowed under applicable legislation.</w:t>
      </w:r>
    </w:p>
    <w:p w:rsidR="00D5023F" w:rsidRPr="005445DF" w:rsidRDefault="00D5023F" w:rsidP="00FB1421">
      <w:pPr>
        <w:spacing w:before="240" w:line="360" w:lineRule="auto"/>
        <w:contextualSpacing/>
        <w:jc w:val="both"/>
        <w:rPr>
          <w:i/>
          <w:iCs/>
          <w:color w:val="000000" w:themeColor="text1"/>
          <w:sz w:val="21"/>
          <w:szCs w:val="21"/>
        </w:rPr>
      </w:pPr>
    </w:p>
    <w:p w:rsidR="00D5023F" w:rsidRDefault="00D5023F" w:rsidP="00FB1421">
      <w:pPr>
        <w:spacing w:before="240" w:line="360" w:lineRule="auto"/>
        <w:contextualSpacing/>
        <w:jc w:val="both"/>
        <w:rPr>
          <w:i/>
          <w:iCs/>
          <w:color w:val="000000" w:themeColor="text1"/>
          <w:sz w:val="21"/>
          <w:szCs w:val="21"/>
        </w:rPr>
      </w:pPr>
      <w:r w:rsidRPr="005445DF">
        <w:rPr>
          <w:i/>
          <w:iCs/>
          <w:color w:val="000000" w:themeColor="text1"/>
          <w:sz w:val="21"/>
          <w:szCs w:val="21"/>
        </w:rPr>
        <w:t>All information is subject to change without notice.</w:t>
      </w:r>
    </w:p>
    <w:p w:rsidR="00D03B99" w:rsidRDefault="00D03B99" w:rsidP="00FB1421">
      <w:pPr>
        <w:spacing w:before="240" w:line="360" w:lineRule="auto"/>
        <w:contextualSpacing/>
        <w:jc w:val="both"/>
        <w:rPr>
          <w:i/>
          <w:iCs/>
          <w:color w:val="000000" w:themeColor="text1"/>
          <w:sz w:val="21"/>
          <w:szCs w:val="21"/>
        </w:rPr>
      </w:pPr>
    </w:p>
    <w:p w:rsidR="00FB1B3D" w:rsidRPr="005445DF" w:rsidRDefault="00FB1B3D" w:rsidP="00FB1421">
      <w:pPr>
        <w:spacing w:before="240" w:line="360" w:lineRule="auto"/>
        <w:contextualSpacing/>
        <w:jc w:val="both"/>
        <w:rPr>
          <w:i/>
          <w:iCs/>
          <w:color w:val="000000" w:themeColor="text1"/>
          <w:sz w:val="21"/>
          <w:szCs w:val="21"/>
        </w:rPr>
      </w:pPr>
    </w:p>
    <w:sectPr w:rsidR="00FB1B3D" w:rsidRPr="005445DF" w:rsidSect="00817D53">
      <w:headerReference w:type="default" r:id="rId11"/>
      <w:pgSz w:w="11906" w:h="16838"/>
      <w:pgMar w:top="1314" w:right="1080" w:bottom="1440" w:left="108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064CB" w:rsidRDefault="00A064CB" w:rsidP="006C031E">
      <w:r>
        <w:separator/>
      </w:r>
    </w:p>
  </w:endnote>
  <w:endnote w:type="continuationSeparator" w:id="0">
    <w:p w:rsidR="00A064CB" w:rsidRDefault="00A064CB" w:rsidP="006C0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webkit-standard">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064CB" w:rsidRDefault="00A064CB" w:rsidP="006C031E">
      <w:r>
        <w:separator/>
      </w:r>
    </w:p>
  </w:footnote>
  <w:footnote w:type="continuationSeparator" w:id="0">
    <w:p w:rsidR="00A064CB" w:rsidRDefault="00A064CB" w:rsidP="006C0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C479D" w:rsidRPr="00D75B5F" w:rsidRDefault="00AC479D">
    <w:pPr>
      <w:spacing w:line="264" w:lineRule="auto"/>
      <w:rPr>
        <w:color w:val="FFFFFF" w:themeColor="background1"/>
        <w14:textFill>
          <w14:noFill/>
        </w14:textFill>
      </w:rPr>
    </w:pPr>
    <w:r>
      <w:rPr>
        <w:noProof/>
        <w:color w:val="000000"/>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7"/>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A58BFE" id="Rectangle 7" o:spid="_x0000_s1026" style="position:absolute;margin-left:0;margin-top:0;width:580.8pt;height:752.4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" filled="f" strokecolor="#747070 [1614]" strokeweight="1.25pt">
              <w10:wrap anchorx="page" anchory="page"/>
            </v:rect>
          </w:pict>
        </mc:Fallback>
      </mc:AlternateContent>
    </w:r>
    <w:sdt>
      <w:sdtPr>
        <w:rPr>
          <w:color w:val="FFFFFF" w:themeColor="background1"/>
          <w:sz w:val="20"/>
          <w:szCs w:val="20"/>
          <w14:textFill>
            <w14:noFill/>
          </w14:textFill>
        </w:rPr>
        <w:alias w:val="Title"/>
        <w:id w:val="15524250"/>
        <w:placeholder>
          <w:docPart w:val="47C1ED11CFBDDB4499C28C30F8C27DCD"/>
        </w:placeholder>
        <w:showingPlcHdr/>
        <w:dataBinding w:prefixMappings="xmlns:ns0='http://schemas.openxmlformats.org/package/2006/metadata/core-properties' xmlns:ns1='http://purl.org/dc/elements/1.1/'" w:xpath="/ns0:coreProperties[1]/ns1:title[1]" w:storeItemID="{6C3C8BC8-F283-45AE-878A-BAB7291924A1}"/>
        <w:text/>
      </w:sdtPr>
      <w:sdtContent>
        <w:r w:rsidRPr="00D75B5F">
          <w:rPr>
            <w:color w:val="FFFFFF" w:themeColor="background1"/>
            <w:sz w:val="20"/>
            <w:szCs w:val="20"/>
            <w14:textFill>
              <w14:noFill/>
            </w14:textFill>
          </w:rPr>
          <w:t>[Document title]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E4AB0"/>
    <w:multiLevelType w:val="multilevel"/>
    <w:tmpl w:val="021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95117"/>
    <w:multiLevelType w:val="multilevel"/>
    <w:tmpl w:val="643C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76A21"/>
    <w:multiLevelType w:val="multilevel"/>
    <w:tmpl w:val="A814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D7D1E"/>
    <w:multiLevelType w:val="multilevel"/>
    <w:tmpl w:val="752C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31976"/>
    <w:multiLevelType w:val="hybridMultilevel"/>
    <w:tmpl w:val="42CAB3FC"/>
    <w:lvl w:ilvl="0" w:tplc="F95010AE">
      <w:numFmt w:val="bullet"/>
      <w:lvlText w:val=""/>
      <w:lvlJc w:val="left"/>
      <w:pPr>
        <w:ind w:left="720" w:hanging="360"/>
      </w:pPr>
      <w:rPr>
        <w:rFonts w:ascii="Symbol" w:eastAsia="Times New Roman" w:hAnsi="Symbol" w:cs="Times New Roman"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797100"/>
    <w:multiLevelType w:val="hybridMultilevel"/>
    <w:tmpl w:val="D4D0C8E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5F21A6B"/>
    <w:multiLevelType w:val="hybridMultilevel"/>
    <w:tmpl w:val="6F8CC4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4572D6"/>
    <w:multiLevelType w:val="multilevel"/>
    <w:tmpl w:val="8766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D4DC1"/>
    <w:multiLevelType w:val="multilevel"/>
    <w:tmpl w:val="5064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D17E7"/>
    <w:multiLevelType w:val="multilevel"/>
    <w:tmpl w:val="3BD4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5F79D8"/>
    <w:multiLevelType w:val="multilevel"/>
    <w:tmpl w:val="42621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F1BB6"/>
    <w:multiLevelType w:val="multilevel"/>
    <w:tmpl w:val="B3FE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D07503"/>
    <w:multiLevelType w:val="multilevel"/>
    <w:tmpl w:val="9D9E3EA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86C2336"/>
    <w:multiLevelType w:val="hybridMultilevel"/>
    <w:tmpl w:val="01045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D951F4"/>
    <w:multiLevelType w:val="multilevel"/>
    <w:tmpl w:val="6EB2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282951">
    <w:abstractNumId w:val="8"/>
  </w:num>
  <w:num w:numId="2" w16cid:durableId="2009284390">
    <w:abstractNumId w:val="1"/>
  </w:num>
  <w:num w:numId="3" w16cid:durableId="1518235598">
    <w:abstractNumId w:val="11"/>
  </w:num>
  <w:num w:numId="4" w16cid:durableId="1640111693">
    <w:abstractNumId w:val="3"/>
  </w:num>
  <w:num w:numId="5" w16cid:durableId="142548455">
    <w:abstractNumId w:val="0"/>
  </w:num>
  <w:num w:numId="6" w16cid:durableId="1234395252">
    <w:abstractNumId w:val="9"/>
  </w:num>
  <w:num w:numId="7" w16cid:durableId="578565769">
    <w:abstractNumId w:val="2"/>
  </w:num>
  <w:num w:numId="8" w16cid:durableId="1611621334">
    <w:abstractNumId w:val="10"/>
  </w:num>
  <w:num w:numId="9" w16cid:durableId="676274200">
    <w:abstractNumId w:val="14"/>
  </w:num>
  <w:num w:numId="10" w16cid:durableId="1199659424">
    <w:abstractNumId w:val="7"/>
  </w:num>
  <w:num w:numId="11" w16cid:durableId="2140368646">
    <w:abstractNumId w:val="13"/>
  </w:num>
  <w:num w:numId="12" w16cid:durableId="1288850429">
    <w:abstractNumId w:val="4"/>
  </w:num>
  <w:num w:numId="13" w16cid:durableId="1972904616">
    <w:abstractNumId w:val="5"/>
  </w:num>
  <w:num w:numId="14" w16cid:durableId="518929104">
    <w:abstractNumId w:val="12"/>
  </w:num>
  <w:num w:numId="15" w16cid:durableId="11557996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displayBackgroundShape/>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31E"/>
    <w:rsid w:val="0001349B"/>
    <w:rsid w:val="000201A3"/>
    <w:rsid w:val="00044602"/>
    <w:rsid w:val="00044DA1"/>
    <w:rsid w:val="0005534D"/>
    <w:rsid w:val="000717B1"/>
    <w:rsid w:val="00073AB9"/>
    <w:rsid w:val="00127FC0"/>
    <w:rsid w:val="00150583"/>
    <w:rsid w:val="00153BEC"/>
    <w:rsid w:val="00166212"/>
    <w:rsid w:val="001712BC"/>
    <w:rsid w:val="00173060"/>
    <w:rsid w:val="00176E31"/>
    <w:rsid w:val="001864A8"/>
    <w:rsid w:val="001A562C"/>
    <w:rsid w:val="001D2F38"/>
    <w:rsid w:val="001D3056"/>
    <w:rsid w:val="001D4145"/>
    <w:rsid w:val="001E5EC3"/>
    <w:rsid w:val="001E678F"/>
    <w:rsid w:val="001F5C9A"/>
    <w:rsid w:val="001F6444"/>
    <w:rsid w:val="002019E9"/>
    <w:rsid w:val="00202FA5"/>
    <w:rsid w:val="00206BCF"/>
    <w:rsid w:val="00222AA3"/>
    <w:rsid w:val="002B7650"/>
    <w:rsid w:val="002C5AD0"/>
    <w:rsid w:val="002C79E7"/>
    <w:rsid w:val="002E0D30"/>
    <w:rsid w:val="002E5A65"/>
    <w:rsid w:val="002F7077"/>
    <w:rsid w:val="00310EB5"/>
    <w:rsid w:val="0031799F"/>
    <w:rsid w:val="00332663"/>
    <w:rsid w:val="003419C8"/>
    <w:rsid w:val="0038158D"/>
    <w:rsid w:val="00385194"/>
    <w:rsid w:val="003B0C64"/>
    <w:rsid w:val="003E5855"/>
    <w:rsid w:val="004011ED"/>
    <w:rsid w:val="00414CF9"/>
    <w:rsid w:val="00420A26"/>
    <w:rsid w:val="0043297D"/>
    <w:rsid w:val="004400FE"/>
    <w:rsid w:val="00442ED3"/>
    <w:rsid w:val="00450B34"/>
    <w:rsid w:val="004557EA"/>
    <w:rsid w:val="00483121"/>
    <w:rsid w:val="004B02FC"/>
    <w:rsid w:val="004B4ECF"/>
    <w:rsid w:val="004C025A"/>
    <w:rsid w:val="004C71C5"/>
    <w:rsid w:val="004F383C"/>
    <w:rsid w:val="004F7F3B"/>
    <w:rsid w:val="0051214D"/>
    <w:rsid w:val="00514A22"/>
    <w:rsid w:val="00516F6E"/>
    <w:rsid w:val="00520C30"/>
    <w:rsid w:val="00525943"/>
    <w:rsid w:val="005445DF"/>
    <w:rsid w:val="005507F2"/>
    <w:rsid w:val="00561894"/>
    <w:rsid w:val="00567FE5"/>
    <w:rsid w:val="005760F9"/>
    <w:rsid w:val="005958D3"/>
    <w:rsid w:val="005A0F8B"/>
    <w:rsid w:val="005B03A6"/>
    <w:rsid w:val="005C56F2"/>
    <w:rsid w:val="005D4C4F"/>
    <w:rsid w:val="00650CFD"/>
    <w:rsid w:val="00653C48"/>
    <w:rsid w:val="006657F3"/>
    <w:rsid w:val="006773E2"/>
    <w:rsid w:val="00692B45"/>
    <w:rsid w:val="006A4445"/>
    <w:rsid w:val="006C031E"/>
    <w:rsid w:val="006F52A0"/>
    <w:rsid w:val="00700E6D"/>
    <w:rsid w:val="0071596E"/>
    <w:rsid w:val="00717F78"/>
    <w:rsid w:val="0072062A"/>
    <w:rsid w:val="00735DD3"/>
    <w:rsid w:val="0074421A"/>
    <w:rsid w:val="00756DB6"/>
    <w:rsid w:val="007703F9"/>
    <w:rsid w:val="00782B1C"/>
    <w:rsid w:val="00783FE1"/>
    <w:rsid w:val="007953DA"/>
    <w:rsid w:val="007B7047"/>
    <w:rsid w:val="007C4BED"/>
    <w:rsid w:val="0080580C"/>
    <w:rsid w:val="008106E3"/>
    <w:rsid w:val="0081756C"/>
    <w:rsid w:val="00817D53"/>
    <w:rsid w:val="00834885"/>
    <w:rsid w:val="00844DF3"/>
    <w:rsid w:val="0085409D"/>
    <w:rsid w:val="00857D8E"/>
    <w:rsid w:val="008A2173"/>
    <w:rsid w:val="008A6EDE"/>
    <w:rsid w:val="008C6583"/>
    <w:rsid w:val="008E1026"/>
    <w:rsid w:val="008F52E8"/>
    <w:rsid w:val="008F592E"/>
    <w:rsid w:val="00925885"/>
    <w:rsid w:val="00927DC3"/>
    <w:rsid w:val="009406FC"/>
    <w:rsid w:val="00945A08"/>
    <w:rsid w:val="00952C53"/>
    <w:rsid w:val="00971A25"/>
    <w:rsid w:val="009A7773"/>
    <w:rsid w:val="009B557D"/>
    <w:rsid w:val="009F6553"/>
    <w:rsid w:val="00A064CB"/>
    <w:rsid w:val="00A22217"/>
    <w:rsid w:val="00A42F84"/>
    <w:rsid w:val="00A62A3B"/>
    <w:rsid w:val="00A71695"/>
    <w:rsid w:val="00AA1930"/>
    <w:rsid w:val="00AA73AE"/>
    <w:rsid w:val="00AB08D1"/>
    <w:rsid w:val="00AC479D"/>
    <w:rsid w:val="00AD6907"/>
    <w:rsid w:val="00B12703"/>
    <w:rsid w:val="00B2442A"/>
    <w:rsid w:val="00B257D1"/>
    <w:rsid w:val="00B3118B"/>
    <w:rsid w:val="00B45764"/>
    <w:rsid w:val="00B90D6A"/>
    <w:rsid w:val="00BB3867"/>
    <w:rsid w:val="00BC5841"/>
    <w:rsid w:val="00BC7807"/>
    <w:rsid w:val="00BC7D13"/>
    <w:rsid w:val="00BD5A2D"/>
    <w:rsid w:val="00BE0F8A"/>
    <w:rsid w:val="00BF33A4"/>
    <w:rsid w:val="00C1237C"/>
    <w:rsid w:val="00C20D89"/>
    <w:rsid w:val="00C20F5F"/>
    <w:rsid w:val="00C52AFE"/>
    <w:rsid w:val="00C6472A"/>
    <w:rsid w:val="00C67F3E"/>
    <w:rsid w:val="00C71C75"/>
    <w:rsid w:val="00C744A1"/>
    <w:rsid w:val="00C8616F"/>
    <w:rsid w:val="00CC09A5"/>
    <w:rsid w:val="00CC3462"/>
    <w:rsid w:val="00CE1C92"/>
    <w:rsid w:val="00CF1B69"/>
    <w:rsid w:val="00D03B99"/>
    <w:rsid w:val="00D2100E"/>
    <w:rsid w:val="00D26D07"/>
    <w:rsid w:val="00D5023F"/>
    <w:rsid w:val="00D5192A"/>
    <w:rsid w:val="00D51F78"/>
    <w:rsid w:val="00D73F31"/>
    <w:rsid w:val="00D75B5F"/>
    <w:rsid w:val="00D834C7"/>
    <w:rsid w:val="00DD3432"/>
    <w:rsid w:val="00DF39DD"/>
    <w:rsid w:val="00E11605"/>
    <w:rsid w:val="00E11DF2"/>
    <w:rsid w:val="00E44A01"/>
    <w:rsid w:val="00E54BAB"/>
    <w:rsid w:val="00E70400"/>
    <w:rsid w:val="00E77531"/>
    <w:rsid w:val="00EB3B2F"/>
    <w:rsid w:val="00ED431F"/>
    <w:rsid w:val="00ED6882"/>
    <w:rsid w:val="00EF6E1C"/>
    <w:rsid w:val="00F00974"/>
    <w:rsid w:val="00F17069"/>
    <w:rsid w:val="00F178A7"/>
    <w:rsid w:val="00F409DE"/>
    <w:rsid w:val="00F76044"/>
    <w:rsid w:val="00F77762"/>
    <w:rsid w:val="00FA030E"/>
    <w:rsid w:val="00FA49C2"/>
    <w:rsid w:val="00FB1421"/>
    <w:rsid w:val="00FB1B3D"/>
    <w:rsid w:val="00FB215E"/>
    <w:rsid w:val="00FC5E5B"/>
    <w:rsid w:val="00FE3CD1"/>
    <w:rsid w:val="00FF0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EBADF"/>
  <w15:chartTrackingRefBased/>
  <w15:docId w15:val="{B39F2B92-8C3F-5D4C-A945-983D10E1A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3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03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C03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03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03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03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3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3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3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3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03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C03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03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03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0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31E"/>
    <w:rPr>
      <w:rFonts w:eastAsiaTheme="majorEastAsia" w:cstheme="majorBidi"/>
      <w:color w:val="272727" w:themeColor="text1" w:themeTint="D8"/>
    </w:rPr>
  </w:style>
  <w:style w:type="paragraph" w:styleId="Title">
    <w:name w:val="Title"/>
    <w:basedOn w:val="Normal"/>
    <w:next w:val="Normal"/>
    <w:link w:val="TitleChar"/>
    <w:uiPriority w:val="10"/>
    <w:qFormat/>
    <w:rsid w:val="006C03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3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3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031E"/>
    <w:rPr>
      <w:i/>
      <w:iCs/>
      <w:color w:val="404040" w:themeColor="text1" w:themeTint="BF"/>
    </w:rPr>
  </w:style>
  <w:style w:type="paragraph" w:styleId="ListParagraph">
    <w:name w:val="List Paragraph"/>
    <w:basedOn w:val="Normal"/>
    <w:uiPriority w:val="34"/>
    <w:qFormat/>
    <w:rsid w:val="006C031E"/>
    <w:pPr>
      <w:ind w:left="720"/>
      <w:contextualSpacing/>
    </w:pPr>
  </w:style>
  <w:style w:type="character" w:styleId="IntenseEmphasis">
    <w:name w:val="Intense Emphasis"/>
    <w:basedOn w:val="DefaultParagraphFont"/>
    <w:uiPriority w:val="21"/>
    <w:qFormat/>
    <w:rsid w:val="006C031E"/>
    <w:rPr>
      <w:i/>
      <w:iCs/>
      <w:color w:val="2F5496" w:themeColor="accent1" w:themeShade="BF"/>
    </w:rPr>
  </w:style>
  <w:style w:type="paragraph" w:styleId="IntenseQuote">
    <w:name w:val="Intense Quote"/>
    <w:basedOn w:val="Normal"/>
    <w:next w:val="Normal"/>
    <w:link w:val="IntenseQuoteChar"/>
    <w:uiPriority w:val="30"/>
    <w:qFormat/>
    <w:rsid w:val="006C03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031E"/>
    <w:rPr>
      <w:i/>
      <w:iCs/>
      <w:color w:val="2F5496" w:themeColor="accent1" w:themeShade="BF"/>
    </w:rPr>
  </w:style>
  <w:style w:type="character" w:styleId="IntenseReference">
    <w:name w:val="Intense Reference"/>
    <w:basedOn w:val="DefaultParagraphFont"/>
    <w:uiPriority w:val="32"/>
    <w:qFormat/>
    <w:rsid w:val="006C031E"/>
    <w:rPr>
      <w:b/>
      <w:bCs/>
      <w:smallCaps/>
      <w:color w:val="2F5496" w:themeColor="accent1" w:themeShade="BF"/>
      <w:spacing w:val="5"/>
    </w:rPr>
  </w:style>
  <w:style w:type="paragraph" w:styleId="Header">
    <w:name w:val="header"/>
    <w:basedOn w:val="Normal"/>
    <w:link w:val="HeaderChar"/>
    <w:uiPriority w:val="99"/>
    <w:unhideWhenUsed/>
    <w:rsid w:val="006C031E"/>
    <w:pPr>
      <w:tabs>
        <w:tab w:val="center" w:pos="4513"/>
        <w:tab w:val="right" w:pos="9026"/>
      </w:tabs>
    </w:pPr>
  </w:style>
  <w:style w:type="character" w:customStyle="1" w:styleId="HeaderChar">
    <w:name w:val="Header Char"/>
    <w:basedOn w:val="DefaultParagraphFont"/>
    <w:link w:val="Header"/>
    <w:uiPriority w:val="99"/>
    <w:rsid w:val="006C031E"/>
  </w:style>
  <w:style w:type="paragraph" w:styleId="Footer">
    <w:name w:val="footer"/>
    <w:basedOn w:val="Normal"/>
    <w:link w:val="FooterChar"/>
    <w:uiPriority w:val="99"/>
    <w:unhideWhenUsed/>
    <w:rsid w:val="006C031E"/>
    <w:pPr>
      <w:tabs>
        <w:tab w:val="center" w:pos="4513"/>
        <w:tab w:val="right" w:pos="9026"/>
      </w:tabs>
    </w:pPr>
  </w:style>
  <w:style w:type="character" w:customStyle="1" w:styleId="FooterChar">
    <w:name w:val="Footer Char"/>
    <w:basedOn w:val="DefaultParagraphFont"/>
    <w:link w:val="Footer"/>
    <w:uiPriority w:val="99"/>
    <w:rsid w:val="006C031E"/>
  </w:style>
  <w:style w:type="paragraph" w:styleId="NormalWeb">
    <w:name w:val="Normal (Web)"/>
    <w:basedOn w:val="Normal"/>
    <w:uiPriority w:val="99"/>
    <w:unhideWhenUsed/>
    <w:rsid w:val="00DD3432"/>
    <w:rPr>
      <w:rFonts w:ascii="Times New Roman" w:hAnsi="Times New Roman" w:cs="Times New Roman"/>
    </w:rPr>
  </w:style>
  <w:style w:type="table" w:styleId="TableGrid">
    <w:name w:val="Table Grid"/>
    <w:basedOn w:val="TableNormal"/>
    <w:uiPriority w:val="39"/>
    <w:rsid w:val="00153B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E5A65"/>
  </w:style>
  <w:style w:type="character" w:customStyle="1" w:styleId="apple-converted-space">
    <w:name w:val="apple-converted-space"/>
    <w:basedOn w:val="DefaultParagraphFont"/>
    <w:rsid w:val="00BD5A2D"/>
  </w:style>
  <w:style w:type="character" w:styleId="Strong">
    <w:name w:val="Strong"/>
    <w:basedOn w:val="DefaultParagraphFont"/>
    <w:uiPriority w:val="22"/>
    <w:qFormat/>
    <w:rsid w:val="00BD5A2D"/>
    <w:rPr>
      <w:b/>
      <w:bCs/>
    </w:rPr>
  </w:style>
  <w:style w:type="character" w:styleId="Hyperlink">
    <w:name w:val="Hyperlink"/>
    <w:basedOn w:val="DefaultParagraphFont"/>
    <w:uiPriority w:val="99"/>
    <w:semiHidden/>
    <w:unhideWhenUsed/>
    <w:rsid w:val="00B3118B"/>
    <w:rPr>
      <w:color w:val="0000FF"/>
      <w:u w:val="single"/>
    </w:rPr>
  </w:style>
  <w:style w:type="character" w:styleId="Emphasis">
    <w:name w:val="Emphasis"/>
    <w:basedOn w:val="DefaultParagraphFont"/>
    <w:uiPriority w:val="20"/>
    <w:qFormat/>
    <w:rsid w:val="00D03B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6355">
      <w:bodyDiv w:val="1"/>
      <w:marLeft w:val="0"/>
      <w:marRight w:val="0"/>
      <w:marTop w:val="0"/>
      <w:marBottom w:val="0"/>
      <w:divBdr>
        <w:top w:val="none" w:sz="0" w:space="0" w:color="auto"/>
        <w:left w:val="none" w:sz="0" w:space="0" w:color="auto"/>
        <w:bottom w:val="none" w:sz="0" w:space="0" w:color="auto"/>
        <w:right w:val="none" w:sz="0" w:space="0" w:color="auto"/>
      </w:divBdr>
    </w:div>
    <w:div w:id="22827102">
      <w:bodyDiv w:val="1"/>
      <w:marLeft w:val="0"/>
      <w:marRight w:val="0"/>
      <w:marTop w:val="0"/>
      <w:marBottom w:val="0"/>
      <w:divBdr>
        <w:top w:val="none" w:sz="0" w:space="0" w:color="auto"/>
        <w:left w:val="none" w:sz="0" w:space="0" w:color="auto"/>
        <w:bottom w:val="none" w:sz="0" w:space="0" w:color="auto"/>
        <w:right w:val="none" w:sz="0" w:space="0" w:color="auto"/>
      </w:divBdr>
    </w:div>
    <w:div w:id="44791358">
      <w:bodyDiv w:val="1"/>
      <w:marLeft w:val="0"/>
      <w:marRight w:val="0"/>
      <w:marTop w:val="0"/>
      <w:marBottom w:val="0"/>
      <w:divBdr>
        <w:top w:val="none" w:sz="0" w:space="0" w:color="auto"/>
        <w:left w:val="none" w:sz="0" w:space="0" w:color="auto"/>
        <w:bottom w:val="none" w:sz="0" w:space="0" w:color="auto"/>
        <w:right w:val="none" w:sz="0" w:space="0" w:color="auto"/>
      </w:divBdr>
    </w:div>
    <w:div w:id="52698146">
      <w:bodyDiv w:val="1"/>
      <w:marLeft w:val="0"/>
      <w:marRight w:val="0"/>
      <w:marTop w:val="0"/>
      <w:marBottom w:val="0"/>
      <w:divBdr>
        <w:top w:val="none" w:sz="0" w:space="0" w:color="auto"/>
        <w:left w:val="none" w:sz="0" w:space="0" w:color="auto"/>
        <w:bottom w:val="none" w:sz="0" w:space="0" w:color="auto"/>
        <w:right w:val="none" w:sz="0" w:space="0" w:color="auto"/>
      </w:divBdr>
    </w:div>
    <w:div w:id="103424233">
      <w:bodyDiv w:val="1"/>
      <w:marLeft w:val="0"/>
      <w:marRight w:val="0"/>
      <w:marTop w:val="0"/>
      <w:marBottom w:val="0"/>
      <w:divBdr>
        <w:top w:val="none" w:sz="0" w:space="0" w:color="auto"/>
        <w:left w:val="none" w:sz="0" w:space="0" w:color="auto"/>
        <w:bottom w:val="none" w:sz="0" w:space="0" w:color="auto"/>
        <w:right w:val="none" w:sz="0" w:space="0" w:color="auto"/>
      </w:divBdr>
    </w:div>
    <w:div w:id="144393065">
      <w:bodyDiv w:val="1"/>
      <w:marLeft w:val="0"/>
      <w:marRight w:val="0"/>
      <w:marTop w:val="0"/>
      <w:marBottom w:val="0"/>
      <w:divBdr>
        <w:top w:val="none" w:sz="0" w:space="0" w:color="auto"/>
        <w:left w:val="none" w:sz="0" w:space="0" w:color="auto"/>
        <w:bottom w:val="none" w:sz="0" w:space="0" w:color="auto"/>
        <w:right w:val="none" w:sz="0" w:space="0" w:color="auto"/>
      </w:divBdr>
    </w:div>
    <w:div w:id="145318471">
      <w:bodyDiv w:val="1"/>
      <w:marLeft w:val="0"/>
      <w:marRight w:val="0"/>
      <w:marTop w:val="0"/>
      <w:marBottom w:val="0"/>
      <w:divBdr>
        <w:top w:val="none" w:sz="0" w:space="0" w:color="auto"/>
        <w:left w:val="none" w:sz="0" w:space="0" w:color="auto"/>
        <w:bottom w:val="none" w:sz="0" w:space="0" w:color="auto"/>
        <w:right w:val="none" w:sz="0" w:space="0" w:color="auto"/>
      </w:divBdr>
    </w:div>
    <w:div w:id="145321560">
      <w:bodyDiv w:val="1"/>
      <w:marLeft w:val="0"/>
      <w:marRight w:val="0"/>
      <w:marTop w:val="0"/>
      <w:marBottom w:val="0"/>
      <w:divBdr>
        <w:top w:val="none" w:sz="0" w:space="0" w:color="auto"/>
        <w:left w:val="none" w:sz="0" w:space="0" w:color="auto"/>
        <w:bottom w:val="none" w:sz="0" w:space="0" w:color="auto"/>
        <w:right w:val="none" w:sz="0" w:space="0" w:color="auto"/>
      </w:divBdr>
    </w:div>
    <w:div w:id="164244726">
      <w:bodyDiv w:val="1"/>
      <w:marLeft w:val="0"/>
      <w:marRight w:val="0"/>
      <w:marTop w:val="0"/>
      <w:marBottom w:val="0"/>
      <w:divBdr>
        <w:top w:val="none" w:sz="0" w:space="0" w:color="auto"/>
        <w:left w:val="none" w:sz="0" w:space="0" w:color="auto"/>
        <w:bottom w:val="none" w:sz="0" w:space="0" w:color="auto"/>
        <w:right w:val="none" w:sz="0" w:space="0" w:color="auto"/>
      </w:divBdr>
    </w:div>
    <w:div w:id="172765613">
      <w:bodyDiv w:val="1"/>
      <w:marLeft w:val="0"/>
      <w:marRight w:val="0"/>
      <w:marTop w:val="0"/>
      <w:marBottom w:val="0"/>
      <w:divBdr>
        <w:top w:val="none" w:sz="0" w:space="0" w:color="auto"/>
        <w:left w:val="none" w:sz="0" w:space="0" w:color="auto"/>
        <w:bottom w:val="none" w:sz="0" w:space="0" w:color="auto"/>
        <w:right w:val="none" w:sz="0" w:space="0" w:color="auto"/>
      </w:divBdr>
    </w:div>
    <w:div w:id="202641630">
      <w:bodyDiv w:val="1"/>
      <w:marLeft w:val="0"/>
      <w:marRight w:val="0"/>
      <w:marTop w:val="0"/>
      <w:marBottom w:val="0"/>
      <w:divBdr>
        <w:top w:val="none" w:sz="0" w:space="0" w:color="auto"/>
        <w:left w:val="none" w:sz="0" w:space="0" w:color="auto"/>
        <w:bottom w:val="none" w:sz="0" w:space="0" w:color="auto"/>
        <w:right w:val="none" w:sz="0" w:space="0" w:color="auto"/>
      </w:divBdr>
    </w:div>
    <w:div w:id="214854802">
      <w:bodyDiv w:val="1"/>
      <w:marLeft w:val="0"/>
      <w:marRight w:val="0"/>
      <w:marTop w:val="0"/>
      <w:marBottom w:val="0"/>
      <w:divBdr>
        <w:top w:val="none" w:sz="0" w:space="0" w:color="auto"/>
        <w:left w:val="none" w:sz="0" w:space="0" w:color="auto"/>
        <w:bottom w:val="none" w:sz="0" w:space="0" w:color="auto"/>
        <w:right w:val="none" w:sz="0" w:space="0" w:color="auto"/>
      </w:divBdr>
    </w:div>
    <w:div w:id="219943583">
      <w:bodyDiv w:val="1"/>
      <w:marLeft w:val="0"/>
      <w:marRight w:val="0"/>
      <w:marTop w:val="0"/>
      <w:marBottom w:val="0"/>
      <w:divBdr>
        <w:top w:val="none" w:sz="0" w:space="0" w:color="auto"/>
        <w:left w:val="none" w:sz="0" w:space="0" w:color="auto"/>
        <w:bottom w:val="none" w:sz="0" w:space="0" w:color="auto"/>
        <w:right w:val="none" w:sz="0" w:space="0" w:color="auto"/>
      </w:divBdr>
    </w:div>
    <w:div w:id="286350083">
      <w:bodyDiv w:val="1"/>
      <w:marLeft w:val="0"/>
      <w:marRight w:val="0"/>
      <w:marTop w:val="0"/>
      <w:marBottom w:val="0"/>
      <w:divBdr>
        <w:top w:val="none" w:sz="0" w:space="0" w:color="auto"/>
        <w:left w:val="none" w:sz="0" w:space="0" w:color="auto"/>
        <w:bottom w:val="none" w:sz="0" w:space="0" w:color="auto"/>
        <w:right w:val="none" w:sz="0" w:space="0" w:color="auto"/>
      </w:divBdr>
    </w:div>
    <w:div w:id="291180817">
      <w:bodyDiv w:val="1"/>
      <w:marLeft w:val="0"/>
      <w:marRight w:val="0"/>
      <w:marTop w:val="0"/>
      <w:marBottom w:val="0"/>
      <w:divBdr>
        <w:top w:val="none" w:sz="0" w:space="0" w:color="auto"/>
        <w:left w:val="none" w:sz="0" w:space="0" w:color="auto"/>
        <w:bottom w:val="none" w:sz="0" w:space="0" w:color="auto"/>
        <w:right w:val="none" w:sz="0" w:space="0" w:color="auto"/>
      </w:divBdr>
    </w:div>
    <w:div w:id="335110090">
      <w:bodyDiv w:val="1"/>
      <w:marLeft w:val="0"/>
      <w:marRight w:val="0"/>
      <w:marTop w:val="0"/>
      <w:marBottom w:val="0"/>
      <w:divBdr>
        <w:top w:val="none" w:sz="0" w:space="0" w:color="auto"/>
        <w:left w:val="none" w:sz="0" w:space="0" w:color="auto"/>
        <w:bottom w:val="none" w:sz="0" w:space="0" w:color="auto"/>
        <w:right w:val="none" w:sz="0" w:space="0" w:color="auto"/>
      </w:divBdr>
    </w:div>
    <w:div w:id="474568893">
      <w:bodyDiv w:val="1"/>
      <w:marLeft w:val="0"/>
      <w:marRight w:val="0"/>
      <w:marTop w:val="0"/>
      <w:marBottom w:val="0"/>
      <w:divBdr>
        <w:top w:val="none" w:sz="0" w:space="0" w:color="auto"/>
        <w:left w:val="none" w:sz="0" w:space="0" w:color="auto"/>
        <w:bottom w:val="none" w:sz="0" w:space="0" w:color="auto"/>
        <w:right w:val="none" w:sz="0" w:space="0" w:color="auto"/>
      </w:divBdr>
    </w:div>
    <w:div w:id="483090870">
      <w:bodyDiv w:val="1"/>
      <w:marLeft w:val="0"/>
      <w:marRight w:val="0"/>
      <w:marTop w:val="0"/>
      <w:marBottom w:val="0"/>
      <w:divBdr>
        <w:top w:val="none" w:sz="0" w:space="0" w:color="auto"/>
        <w:left w:val="none" w:sz="0" w:space="0" w:color="auto"/>
        <w:bottom w:val="none" w:sz="0" w:space="0" w:color="auto"/>
        <w:right w:val="none" w:sz="0" w:space="0" w:color="auto"/>
      </w:divBdr>
    </w:div>
    <w:div w:id="577440356">
      <w:bodyDiv w:val="1"/>
      <w:marLeft w:val="0"/>
      <w:marRight w:val="0"/>
      <w:marTop w:val="0"/>
      <w:marBottom w:val="0"/>
      <w:divBdr>
        <w:top w:val="none" w:sz="0" w:space="0" w:color="auto"/>
        <w:left w:val="none" w:sz="0" w:space="0" w:color="auto"/>
        <w:bottom w:val="none" w:sz="0" w:space="0" w:color="auto"/>
        <w:right w:val="none" w:sz="0" w:space="0" w:color="auto"/>
      </w:divBdr>
    </w:div>
    <w:div w:id="616906899">
      <w:bodyDiv w:val="1"/>
      <w:marLeft w:val="0"/>
      <w:marRight w:val="0"/>
      <w:marTop w:val="0"/>
      <w:marBottom w:val="0"/>
      <w:divBdr>
        <w:top w:val="none" w:sz="0" w:space="0" w:color="auto"/>
        <w:left w:val="none" w:sz="0" w:space="0" w:color="auto"/>
        <w:bottom w:val="none" w:sz="0" w:space="0" w:color="auto"/>
        <w:right w:val="none" w:sz="0" w:space="0" w:color="auto"/>
      </w:divBdr>
    </w:div>
    <w:div w:id="695350653">
      <w:bodyDiv w:val="1"/>
      <w:marLeft w:val="0"/>
      <w:marRight w:val="0"/>
      <w:marTop w:val="0"/>
      <w:marBottom w:val="0"/>
      <w:divBdr>
        <w:top w:val="none" w:sz="0" w:space="0" w:color="auto"/>
        <w:left w:val="none" w:sz="0" w:space="0" w:color="auto"/>
        <w:bottom w:val="none" w:sz="0" w:space="0" w:color="auto"/>
        <w:right w:val="none" w:sz="0" w:space="0" w:color="auto"/>
      </w:divBdr>
    </w:div>
    <w:div w:id="729113059">
      <w:bodyDiv w:val="1"/>
      <w:marLeft w:val="0"/>
      <w:marRight w:val="0"/>
      <w:marTop w:val="0"/>
      <w:marBottom w:val="0"/>
      <w:divBdr>
        <w:top w:val="none" w:sz="0" w:space="0" w:color="auto"/>
        <w:left w:val="none" w:sz="0" w:space="0" w:color="auto"/>
        <w:bottom w:val="none" w:sz="0" w:space="0" w:color="auto"/>
        <w:right w:val="none" w:sz="0" w:space="0" w:color="auto"/>
      </w:divBdr>
    </w:div>
    <w:div w:id="745419781">
      <w:bodyDiv w:val="1"/>
      <w:marLeft w:val="0"/>
      <w:marRight w:val="0"/>
      <w:marTop w:val="0"/>
      <w:marBottom w:val="0"/>
      <w:divBdr>
        <w:top w:val="none" w:sz="0" w:space="0" w:color="auto"/>
        <w:left w:val="none" w:sz="0" w:space="0" w:color="auto"/>
        <w:bottom w:val="none" w:sz="0" w:space="0" w:color="auto"/>
        <w:right w:val="none" w:sz="0" w:space="0" w:color="auto"/>
      </w:divBdr>
    </w:div>
    <w:div w:id="764299956">
      <w:bodyDiv w:val="1"/>
      <w:marLeft w:val="0"/>
      <w:marRight w:val="0"/>
      <w:marTop w:val="0"/>
      <w:marBottom w:val="0"/>
      <w:divBdr>
        <w:top w:val="none" w:sz="0" w:space="0" w:color="auto"/>
        <w:left w:val="none" w:sz="0" w:space="0" w:color="auto"/>
        <w:bottom w:val="none" w:sz="0" w:space="0" w:color="auto"/>
        <w:right w:val="none" w:sz="0" w:space="0" w:color="auto"/>
      </w:divBdr>
    </w:div>
    <w:div w:id="776871171">
      <w:bodyDiv w:val="1"/>
      <w:marLeft w:val="0"/>
      <w:marRight w:val="0"/>
      <w:marTop w:val="0"/>
      <w:marBottom w:val="0"/>
      <w:divBdr>
        <w:top w:val="none" w:sz="0" w:space="0" w:color="auto"/>
        <w:left w:val="none" w:sz="0" w:space="0" w:color="auto"/>
        <w:bottom w:val="none" w:sz="0" w:space="0" w:color="auto"/>
        <w:right w:val="none" w:sz="0" w:space="0" w:color="auto"/>
      </w:divBdr>
    </w:div>
    <w:div w:id="782335958">
      <w:bodyDiv w:val="1"/>
      <w:marLeft w:val="0"/>
      <w:marRight w:val="0"/>
      <w:marTop w:val="0"/>
      <w:marBottom w:val="0"/>
      <w:divBdr>
        <w:top w:val="none" w:sz="0" w:space="0" w:color="auto"/>
        <w:left w:val="none" w:sz="0" w:space="0" w:color="auto"/>
        <w:bottom w:val="none" w:sz="0" w:space="0" w:color="auto"/>
        <w:right w:val="none" w:sz="0" w:space="0" w:color="auto"/>
      </w:divBdr>
    </w:div>
    <w:div w:id="785806764">
      <w:bodyDiv w:val="1"/>
      <w:marLeft w:val="0"/>
      <w:marRight w:val="0"/>
      <w:marTop w:val="0"/>
      <w:marBottom w:val="0"/>
      <w:divBdr>
        <w:top w:val="none" w:sz="0" w:space="0" w:color="auto"/>
        <w:left w:val="none" w:sz="0" w:space="0" w:color="auto"/>
        <w:bottom w:val="none" w:sz="0" w:space="0" w:color="auto"/>
        <w:right w:val="none" w:sz="0" w:space="0" w:color="auto"/>
      </w:divBdr>
    </w:div>
    <w:div w:id="822427657">
      <w:bodyDiv w:val="1"/>
      <w:marLeft w:val="0"/>
      <w:marRight w:val="0"/>
      <w:marTop w:val="0"/>
      <w:marBottom w:val="0"/>
      <w:divBdr>
        <w:top w:val="none" w:sz="0" w:space="0" w:color="auto"/>
        <w:left w:val="none" w:sz="0" w:space="0" w:color="auto"/>
        <w:bottom w:val="none" w:sz="0" w:space="0" w:color="auto"/>
        <w:right w:val="none" w:sz="0" w:space="0" w:color="auto"/>
      </w:divBdr>
    </w:div>
    <w:div w:id="877011880">
      <w:bodyDiv w:val="1"/>
      <w:marLeft w:val="0"/>
      <w:marRight w:val="0"/>
      <w:marTop w:val="0"/>
      <w:marBottom w:val="0"/>
      <w:divBdr>
        <w:top w:val="none" w:sz="0" w:space="0" w:color="auto"/>
        <w:left w:val="none" w:sz="0" w:space="0" w:color="auto"/>
        <w:bottom w:val="none" w:sz="0" w:space="0" w:color="auto"/>
        <w:right w:val="none" w:sz="0" w:space="0" w:color="auto"/>
      </w:divBdr>
    </w:div>
    <w:div w:id="880240832">
      <w:bodyDiv w:val="1"/>
      <w:marLeft w:val="0"/>
      <w:marRight w:val="0"/>
      <w:marTop w:val="0"/>
      <w:marBottom w:val="0"/>
      <w:divBdr>
        <w:top w:val="none" w:sz="0" w:space="0" w:color="auto"/>
        <w:left w:val="none" w:sz="0" w:space="0" w:color="auto"/>
        <w:bottom w:val="none" w:sz="0" w:space="0" w:color="auto"/>
        <w:right w:val="none" w:sz="0" w:space="0" w:color="auto"/>
      </w:divBdr>
    </w:div>
    <w:div w:id="881358837">
      <w:bodyDiv w:val="1"/>
      <w:marLeft w:val="0"/>
      <w:marRight w:val="0"/>
      <w:marTop w:val="0"/>
      <w:marBottom w:val="0"/>
      <w:divBdr>
        <w:top w:val="none" w:sz="0" w:space="0" w:color="auto"/>
        <w:left w:val="none" w:sz="0" w:space="0" w:color="auto"/>
        <w:bottom w:val="none" w:sz="0" w:space="0" w:color="auto"/>
        <w:right w:val="none" w:sz="0" w:space="0" w:color="auto"/>
      </w:divBdr>
    </w:div>
    <w:div w:id="939683874">
      <w:bodyDiv w:val="1"/>
      <w:marLeft w:val="0"/>
      <w:marRight w:val="0"/>
      <w:marTop w:val="0"/>
      <w:marBottom w:val="0"/>
      <w:divBdr>
        <w:top w:val="none" w:sz="0" w:space="0" w:color="auto"/>
        <w:left w:val="none" w:sz="0" w:space="0" w:color="auto"/>
        <w:bottom w:val="none" w:sz="0" w:space="0" w:color="auto"/>
        <w:right w:val="none" w:sz="0" w:space="0" w:color="auto"/>
      </w:divBdr>
    </w:div>
    <w:div w:id="945621089">
      <w:bodyDiv w:val="1"/>
      <w:marLeft w:val="0"/>
      <w:marRight w:val="0"/>
      <w:marTop w:val="0"/>
      <w:marBottom w:val="0"/>
      <w:divBdr>
        <w:top w:val="none" w:sz="0" w:space="0" w:color="auto"/>
        <w:left w:val="none" w:sz="0" w:space="0" w:color="auto"/>
        <w:bottom w:val="none" w:sz="0" w:space="0" w:color="auto"/>
        <w:right w:val="none" w:sz="0" w:space="0" w:color="auto"/>
      </w:divBdr>
    </w:div>
    <w:div w:id="977684937">
      <w:bodyDiv w:val="1"/>
      <w:marLeft w:val="0"/>
      <w:marRight w:val="0"/>
      <w:marTop w:val="0"/>
      <w:marBottom w:val="0"/>
      <w:divBdr>
        <w:top w:val="none" w:sz="0" w:space="0" w:color="auto"/>
        <w:left w:val="none" w:sz="0" w:space="0" w:color="auto"/>
        <w:bottom w:val="none" w:sz="0" w:space="0" w:color="auto"/>
        <w:right w:val="none" w:sz="0" w:space="0" w:color="auto"/>
      </w:divBdr>
    </w:div>
    <w:div w:id="1044872640">
      <w:bodyDiv w:val="1"/>
      <w:marLeft w:val="0"/>
      <w:marRight w:val="0"/>
      <w:marTop w:val="0"/>
      <w:marBottom w:val="0"/>
      <w:divBdr>
        <w:top w:val="none" w:sz="0" w:space="0" w:color="auto"/>
        <w:left w:val="none" w:sz="0" w:space="0" w:color="auto"/>
        <w:bottom w:val="none" w:sz="0" w:space="0" w:color="auto"/>
        <w:right w:val="none" w:sz="0" w:space="0" w:color="auto"/>
      </w:divBdr>
    </w:div>
    <w:div w:id="1087729476">
      <w:bodyDiv w:val="1"/>
      <w:marLeft w:val="0"/>
      <w:marRight w:val="0"/>
      <w:marTop w:val="0"/>
      <w:marBottom w:val="0"/>
      <w:divBdr>
        <w:top w:val="none" w:sz="0" w:space="0" w:color="auto"/>
        <w:left w:val="none" w:sz="0" w:space="0" w:color="auto"/>
        <w:bottom w:val="none" w:sz="0" w:space="0" w:color="auto"/>
        <w:right w:val="none" w:sz="0" w:space="0" w:color="auto"/>
      </w:divBdr>
    </w:div>
    <w:div w:id="1132478984">
      <w:bodyDiv w:val="1"/>
      <w:marLeft w:val="0"/>
      <w:marRight w:val="0"/>
      <w:marTop w:val="0"/>
      <w:marBottom w:val="0"/>
      <w:divBdr>
        <w:top w:val="none" w:sz="0" w:space="0" w:color="auto"/>
        <w:left w:val="none" w:sz="0" w:space="0" w:color="auto"/>
        <w:bottom w:val="none" w:sz="0" w:space="0" w:color="auto"/>
        <w:right w:val="none" w:sz="0" w:space="0" w:color="auto"/>
      </w:divBdr>
    </w:div>
    <w:div w:id="1177503103">
      <w:bodyDiv w:val="1"/>
      <w:marLeft w:val="0"/>
      <w:marRight w:val="0"/>
      <w:marTop w:val="0"/>
      <w:marBottom w:val="0"/>
      <w:divBdr>
        <w:top w:val="none" w:sz="0" w:space="0" w:color="auto"/>
        <w:left w:val="none" w:sz="0" w:space="0" w:color="auto"/>
        <w:bottom w:val="none" w:sz="0" w:space="0" w:color="auto"/>
        <w:right w:val="none" w:sz="0" w:space="0" w:color="auto"/>
      </w:divBdr>
    </w:div>
    <w:div w:id="1254516102">
      <w:bodyDiv w:val="1"/>
      <w:marLeft w:val="0"/>
      <w:marRight w:val="0"/>
      <w:marTop w:val="0"/>
      <w:marBottom w:val="0"/>
      <w:divBdr>
        <w:top w:val="none" w:sz="0" w:space="0" w:color="auto"/>
        <w:left w:val="none" w:sz="0" w:space="0" w:color="auto"/>
        <w:bottom w:val="none" w:sz="0" w:space="0" w:color="auto"/>
        <w:right w:val="none" w:sz="0" w:space="0" w:color="auto"/>
      </w:divBdr>
    </w:div>
    <w:div w:id="1261135954">
      <w:bodyDiv w:val="1"/>
      <w:marLeft w:val="0"/>
      <w:marRight w:val="0"/>
      <w:marTop w:val="0"/>
      <w:marBottom w:val="0"/>
      <w:divBdr>
        <w:top w:val="none" w:sz="0" w:space="0" w:color="auto"/>
        <w:left w:val="none" w:sz="0" w:space="0" w:color="auto"/>
        <w:bottom w:val="none" w:sz="0" w:space="0" w:color="auto"/>
        <w:right w:val="none" w:sz="0" w:space="0" w:color="auto"/>
      </w:divBdr>
    </w:div>
    <w:div w:id="1264343820">
      <w:bodyDiv w:val="1"/>
      <w:marLeft w:val="0"/>
      <w:marRight w:val="0"/>
      <w:marTop w:val="0"/>
      <w:marBottom w:val="0"/>
      <w:divBdr>
        <w:top w:val="none" w:sz="0" w:space="0" w:color="auto"/>
        <w:left w:val="none" w:sz="0" w:space="0" w:color="auto"/>
        <w:bottom w:val="none" w:sz="0" w:space="0" w:color="auto"/>
        <w:right w:val="none" w:sz="0" w:space="0" w:color="auto"/>
      </w:divBdr>
    </w:div>
    <w:div w:id="1294025021">
      <w:bodyDiv w:val="1"/>
      <w:marLeft w:val="0"/>
      <w:marRight w:val="0"/>
      <w:marTop w:val="0"/>
      <w:marBottom w:val="0"/>
      <w:divBdr>
        <w:top w:val="none" w:sz="0" w:space="0" w:color="auto"/>
        <w:left w:val="none" w:sz="0" w:space="0" w:color="auto"/>
        <w:bottom w:val="none" w:sz="0" w:space="0" w:color="auto"/>
        <w:right w:val="none" w:sz="0" w:space="0" w:color="auto"/>
      </w:divBdr>
    </w:div>
    <w:div w:id="1305701785">
      <w:bodyDiv w:val="1"/>
      <w:marLeft w:val="0"/>
      <w:marRight w:val="0"/>
      <w:marTop w:val="0"/>
      <w:marBottom w:val="0"/>
      <w:divBdr>
        <w:top w:val="none" w:sz="0" w:space="0" w:color="auto"/>
        <w:left w:val="none" w:sz="0" w:space="0" w:color="auto"/>
        <w:bottom w:val="none" w:sz="0" w:space="0" w:color="auto"/>
        <w:right w:val="none" w:sz="0" w:space="0" w:color="auto"/>
      </w:divBdr>
    </w:div>
    <w:div w:id="1328291233">
      <w:bodyDiv w:val="1"/>
      <w:marLeft w:val="0"/>
      <w:marRight w:val="0"/>
      <w:marTop w:val="0"/>
      <w:marBottom w:val="0"/>
      <w:divBdr>
        <w:top w:val="none" w:sz="0" w:space="0" w:color="auto"/>
        <w:left w:val="none" w:sz="0" w:space="0" w:color="auto"/>
        <w:bottom w:val="none" w:sz="0" w:space="0" w:color="auto"/>
        <w:right w:val="none" w:sz="0" w:space="0" w:color="auto"/>
      </w:divBdr>
    </w:div>
    <w:div w:id="1360542782">
      <w:bodyDiv w:val="1"/>
      <w:marLeft w:val="0"/>
      <w:marRight w:val="0"/>
      <w:marTop w:val="0"/>
      <w:marBottom w:val="0"/>
      <w:divBdr>
        <w:top w:val="none" w:sz="0" w:space="0" w:color="auto"/>
        <w:left w:val="none" w:sz="0" w:space="0" w:color="auto"/>
        <w:bottom w:val="none" w:sz="0" w:space="0" w:color="auto"/>
        <w:right w:val="none" w:sz="0" w:space="0" w:color="auto"/>
      </w:divBdr>
    </w:div>
    <w:div w:id="1374815382">
      <w:bodyDiv w:val="1"/>
      <w:marLeft w:val="0"/>
      <w:marRight w:val="0"/>
      <w:marTop w:val="0"/>
      <w:marBottom w:val="0"/>
      <w:divBdr>
        <w:top w:val="none" w:sz="0" w:space="0" w:color="auto"/>
        <w:left w:val="none" w:sz="0" w:space="0" w:color="auto"/>
        <w:bottom w:val="none" w:sz="0" w:space="0" w:color="auto"/>
        <w:right w:val="none" w:sz="0" w:space="0" w:color="auto"/>
      </w:divBdr>
    </w:div>
    <w:div w:id="1398747591">
      <w:bodyDiv w:val="1"/>
      <w:marLeft w:val="0"/>
      <w:marRight w:val="0"/>
      <w:marTop w:val="0"/>
      <w:marBottom w:val="0"/>
      <w:divBdr>
        <w:top w:val="none" w:sz="0" w:space="0" w:color="auto"/>
        <w:left w:val="none" w:sz="0" w:space="0" w:color="auto"/>
        <w:bottom w:val="none" w:sz="0" w:space="0" w:color="auto"/>
        <w:right w:val="none" w:sz="0" w:space="0" w:color="auto"/>
      </w:divBdr>
    </w:div>
    <w:div w:id="1454324999">
      <w:bodyDiv w:val="1"/>
      <w:marLeft w:val="0"/>
      <w:marRight w:val="0"/>
      <w:marTop w:val="0"/>
      <w:marBottom w:val="0"/>
      <w:divBdr>
        <w:top w:val="none" w:sz="0" w:space="0" w:color="auto"/>
        <w:left w:val="none" w:sz="0" w:space="0" w:color="auto"/>
        <w:bottom w:val="none" w:sz="0" w:space="0" w:color="auto"/>
        <w:right w:val="none" w:sz="0" w:space="0" w:color="auto"/>
      </w:divBdr>
    </w:div>
    <w:div w:id="1472670028">
      <w:bodyDiv w:val="1"/>
      <w:marLeft w:val="0"/>
      <w:marRight w:val="0"/>
      <w:marTop w:val="0"/>
      <w:marBottom w:val="0"/>
      <w:divBdr>
        <w:top w:val="none" w:sz="0" w:space="0" w:color="auto"/>
        <w:left w:val="none" w:sz="0" w:space="0" w:color="auto"/>
        <w:bottom w:val="none" w:sz="0" w:space="0" w:color="auto"/>
        <w:right w:val="none" w:sz="0" w:space="0" w:color="auto"/>
      </w:divBdr>
    </w:div>
    <w:div w:id="1475178914">
      <w:bodyDiv w:val="1"/>
      <w:marLeft w:val="0"/>
      <w:marRight w:val="0"/>
      <w:marTop w:val="0"/>
      <w:marBottom w:val="0"/>
      <w:divBdr>
        <w:top w:val="none" w:sz="0" w:space="0" w:color="auto"/>
        <w:left w:val="none" w:sz="0" w:space="0" w:color="auto"/>
        <w:bottom w:val="none" w:sz="0" w:space="0" w:color="auto"/>
        <w:right w:val="none" w:sz="0" w:space="0" w:color="auto"/>
      </w:divBdr>
    </w:div>
    <w:div w:id="1508212393">
      <w:bodyDiv w:val="1"/>
      <w:marLeft w:val="0"/>
      <w:marRight w:val="0"/>
      <w:marTop w:val="0"/>
      <w:marBottom w:val="0"/>
      <w:divBdr>
        <w:top w:val="none" w:sz="0" w:space="0" w:color="auto"/>
        <w:left w:val="none" w:sz="0" w:space="0" w:color="auto"/>
        <w:bottom w:val="none" w:sz="0" w:space="0" w:color="auto"/>
        <w:right w:val="none" w:sz="0" w:space="0" w:color="auto"/>
      </w:divBdr>
    </w:div>
    <w:div w:id="1512915556">
      <w:bodyDiv w:val="1"/>
      <w:marLeft w:val="0"/>
      <w:marRight w:val="0"/>
      <w:marTop w:val="0"/>
      <w:marBottom w:val="0"/>
      <w:divBdr>
        <w:top w:val="none" w:sz="0" w:space="0" w:color="auto"/>
        <w:left w:val="none" w:sz="0" w:space="0" w:color="auto"/>
        <w:bottom w:val="none" w:sz="0" w:space="0" w:color="auto"/>
        <w:right w:val="none" w:sz="0" w:space="0" w:color="auto"/>
      </w:divBdr>
    </w:div>
    <w:div w:id="1536960365">
      <w:bodyDiv w:val="1"/>
      <w:marLeft w:val="0"/>
      <w:marRight w:val="0"/>
      <w:marTop w:val="0"/>
      <w:marBottom w:val="0"/>
      <w:divBdr>
        <w:top w:val="none" w:sz="0" w:space="0" w:color="auto"/>
        <w:left w:val="none" w:sz="0" w:space="0" w:color="auto"/>
        <w:bottom w:val="none" w:sz="0" w:space="0" w:color="auto"/>
        <w:right w:val="none" w:sz="0" w:space="0" w:color="auto"/>
      </w:divBdr>
    </w:div>
    <w:div w:id="1579049865">
      <w:bodyDiv w:val="1"/>
      <w:marLeft w:val="0"/>
      <w:marRight w:val="0"/>
      <w:marTop w:val="0"/>
      <w:marBottom w:val="0"/>
      <w:divBdr>
        <w:top w:val="none" w:sz="0" w:space="0" w:color="auto"/>
        <w:left w:val="none" w:sz="0" w:space="0" w:color="auto"/>
        <w:bottom w:val="none" w:sz="0" w:space="0" w:color="auto"/>
        <w:right w:val="none" w:sz="0" w:space="0" w:color="auto"/>
      </w:divBdr>
    </w:div>
    <w:div w:id="1605184210">
      <w:bodyDiv w:val="1"/>
      <w:marLeft w:val="0"/>
      <w:marRight w:val="0"/>
      <w:marTop w:val="0"/>
      <w:marBottom w:val="0"/>
      <w:divBdr>
        <w:top w:val="none" w:sz="0" w:space="0" w:color="auto"/>
        <w:left w:val="none" w:sz="0" w:space="0" w:color="auto"/>
        <w:bottom w:val="none" w:sz="0" w:space="0" w:color="auto"/>
        <w:right w:val="none" w:sz="0" w:space="0" w:color="auto"/>
      </w:divBdr>
    </w:div>
    <w:div w:id="1611624177">
      <w:bodyDiv w:val="1"/>
      <w:marLeft w:val="0"/>
      <w:marRight w:val="0"/>
      <w:marTop w:val="0"/>
      <w:marBottom w:val="0"/>
      <w:divBdr>
        <w:top w:val="none" w:sz="0" w:space="0" w:color="auto"/>
        <w:left w:val="none" w:sz="0" w:space="0" w:color="auto"/>
        <w:bottom w:val="none" w:sz="0" w:space="0" w:color="auto"/>
        <w:right w:val="none" w:sz="0" w:space="0" w:color="auto"/>
      </w:divBdr>
    </w:div>
    <w:div w:id="1629437284">
      <w:bodyDiv w:val="1"/>
      <w:marLeft w:val="0"/>
      <w:marRight w:val="0"/>
      <w:marTop w:val="0"/>
      <w:marBottom w:val="0"/>
      <w:divBdr>
        <w:top w:val="none" w:sz="0" w:space="0" w:color="auto"/>
        <w:left w:val="none" w:sz="0" w:space="0" w:color="auto"/>
        <w:bottom w:val="none" w:sz="0" w:space="0" w:color="auto"/>
        <w:right w:val="none" w:sz="0" w:space="0" w:color="auto"/>
      </w:divBdr>
    </w:div>
    <w:div w:id="1642927756">
      <w:bodyDiv w:val="1"/>
      <w:marLeft w:val="0"/>
      <w:marRight w:val="0"/>
      <w:marTop w:val="0"/>
      <w:marBottom w:val="0"/>
      <w:divBdr>
        <w:top w:val="none" w:sz="0" w:space="0" w:color="auto"/>
        <w:left w:val="none" w:sz="0" w:space="0" w:color="auto"/>
        <w:bottom w:val="none" w:sz="0" w:space="0" w:color="auto"/>
        <w:right w:val="none" w:sz="0" w:space="0" w:color="auto"/>
      </w:divBdr>
    </w:div>
    <w:div w:id="1646472987">
      <w:bodyDiv w:val="1"/>
      <w:marLeft w:val="0"/>
      <w:marRight w:val="0"/>
      <w:marTop w:val="0"/>
      <w:marBottom w:val="0"/>
      <w:divBdr>
        <w:top w:val="none" w:sz="0" w:space="0" w:color="auto"/>
        <w:left w:val="none" w:sz="0" w:space="0" w:color="auto"/>
        <w:bottom w:val="none" w:sz="0" w:space="0" w:color="auto"/>
        <w:right w:val="none" w:sz="0" w:space="0" w:color="auto"/>
      </w:divBdr>
    </w:div>
    <w:div w:id="1748072953">
      <w:bodyDiv w:val="1"/>
      <w:marLeft w:val="0"/>
      <w:marRight w:val="0"/>
      <w:marTop w:val="0"/>
      <w:marBottom w:val="0"/>
      <w:divBdr>
        <w:top w:val="none" w:sz="0" w:space="0" w:color="auto"/>
        <w:left w:val="none" w:sz="0" w:space="0" w:color="auto"/>
        <w:bottom w:val="none" w:sz="0" w:space="0" w:color="auto"/>
        <w:right w:val="none" w:sz="0" w:space="0" w:color="auto"/>
      </w:divBdr>
    </w:div>
    <w:div w:id="1751536368">
      <w:bodyDiv w:val="1"/>
      <w:marLeft w:val="0"/>
      <w:marRight w:val="0"/>
      <w:marTop w:val="0"/>
      <w:marBottom w:val="0"/>
      <w:divBdr>
        <w:top w:val="none" w:sz="0" w:space="0" w:color="auto"/>
        <w:left w:val="none" w:sz="0" w:space="0" w:color="auto"/>
        <w:bottom w:val="none" w:sz="0" w:space="0" w:color="auto"/>
        <w:right w:val="none" w:sz="0" w:space="0" w:color="auto"/>
      </w:divBdr>
    </w:div>
    <w:div w:id="1766681790">
      <w:bodyDiv w:val="1"/>
      <w:marLeft w:val="0"/>
      <w:marRight w:val="0"/>
      <w:marTop w:val="0"/>
      <w:marBottom w:val="0"/>
      <w:divBdr>
        <w:top w:val="none" w:sz="0" w:space="0" w:color="auto"/>
        <w:left w:val="none" w:sz="0" w:space="0" w:color="auto"/>
        <w:bottom w:val="none" w:sz="0" w:space="0" w:color="auto"/>
        <w:right w:val="none" w:sz="0" w:space="0" w:color="auto"/>
      </w:divBdr>
    </w:div>
    <w:div w:id="1766731770">
      <w:bodyDiv w:val="1"/>
      <w:marLeft w:val="0"/>
      <w:marRight w:val="0"/>
      <w:marTop w:val="0"/>
      <w:marBottom w:val="0"/>
      <w:divBdr>
        <w:top w:val="none" w:sz="0" w:space="0" w:color="auto"/>
        <w:left w:val="none" w:sz="0" w:space="0" w:color="auto"/>
        <w:bottom w:val="none" w:sz="0" w:space="0" w:color="auto"/>
        <w:right w:val="none" w:sz="0" w:space="0" w:color="auto"/>
      </w:divBdr>
    </w:div>
    <w:div w:id="1821725928">
      <w:bodyDiv w:val="1"/>
      <w:marLeft w:val="0"/>
      <w:marRight w:val="0"/>
      <w:marTop w:val="0"/>
      <w:marBottom w:val="0"/>
      <w:divBdr>
        <w:top w:val="none" w:sz="0" w:space="0" w:color="auto"/>
        <w:left w:val="none" w:sz="0" w:space="0" w:color="auto"/>
        <w:bottom w:val="none" w:sz="0" w:space="0" w:color="auto"/>
        <w:right w:val="none" w:sz="0" w:space="0" w:color="auto"/>
      </w:divBdr>
    </w:div>
    <w:div w:id="1866021948">
      <w:bodyDiv w:val="1"/>
      <w:marLeft w:val="0"/>
      <w:marRight w:val="0"/>
      <w:marTop w:val="0"/>
      <w:marBottom w:val="0"/>
      <w:divBdr>
        <w:top w:val="none" w:sz="0" w:space="0" w:color="auto"/>
        <w:left w:val="none" w:sz="0" w:space="0" w:color="auto"/>
        <w:bottom w:val="none" w:sz="0" w:space="0" w:color="auto"/>
        <w:right w:val="none" w:sz="0" w:space="0" w:color="auto"/>
      </w:divBdr>
    </w:div>
    <w:div w:id="1924680283">
      <w:bodyDiv w:val="1"/>
      <w:marLeft w:val="0"/>
      <w:marRight w:val="0"/>
      <w:marTop w:val="0"/>
      <w:marBottom w:val="0"/>
      <w:divBdr>
        <w:top w:val="none" w:sz="0" w:space="0" w:color="auto"/>
        <w:left w:val="none" w:sz="0" w:space="0" w:color="auto"/>
        <w:bottom w:val="none" w:sz="0" w:space="0" w:color="auto"/>
        <w:right w:val="none" w:sz="0" w:space="0" w:color="auto"/>
      </w:divBdr>
    </w:div>
    <w:div w:id="1925990869">
      <w:bodyDiv w:val="1"/>
      <w:marLeft w:val="0"/>
      <w:marRight w:val="0"/>
      <w:marTop w:val="0"/>
      <w:marBottom w:val="0"/>
      <w:divBdr>
        <w:top w:val="none" w:sz="0" w:space="0" w:color="auto"/>
        <w:left w:val="none" w:sz="0" w:space="0" w:color="auto"/>
        <w:bottom w:val="none" w:sz="0" w:space="0" w:color="auto"/>
        <w:right w:val="none" w:sz="0" w:space="0" w:color="auto"/>
      </w:divBdr>
    </w:div>
    <w:div w:id="1927377034">
      <w:bodyDiv w:val="1"/>
      <w:marLeft w:val="0"/>
      <w:marRight w:val="0"/>
      <w:marTop w:val="0"/>
      <w:marBottom w:val="0"/>
      <w:divBdr>
        <w:top w:val="none" w:sz="0" w:space="0" w:color="auto"/>
        <w:left w:val="none" w:sz="0" w:space="0" w:color="auto"/>
        <w:bottom w:val="none" w:sz="0" w:space="0" w:color="auto"/>
        <w:right w:val="none" w:sz="0" w:space="0" w:color="auto"/>
      </w:divBdr>
    </w:div>
    <w:div w:id="2015959809">
      <w:bodyDiv w:val="1"/>
      <w:marLeft w:val="0"/>
      <w:marRight w:val="0"/>
      <w:marTop w:val="0"/>
      <w:marBottom w:val="0"/>
      <w:divBdr>
        <w:top w:val="none" w:sz="0" w:space="0" w:color="auto"/>
        <w:left w:val="none" w:sz="0" w:space="0" w:color="auto"/>
        <w:bottom w:val="none" w:sz="0" w:space="0" w:color="auto"/>
        <w:right w:val="none" w:sz="0" w:space="0" w:color="auto"/>
      </w:divBdr>
    </w:div>
    <w:div w:id="2103181694">
      <w:bodyDiv w:val="1"/>
      <w:marLeft w:val="0"/>
      <w:marRight w:val="0"/>
      <w:marTop w:val="0"/>
      <w:marBottom w:val="0"/>
      <w:divBdr>
        <w:top w:val="none" w:sz="0" w:space="0" w:color="auto"/>
        <w:left w:val="none" w:sz="0" w:space="0" w:color="auto"/>
        <w:bottom w:val="none" w:sz="0" w:space="0" w:color="auto"/>
        <w:right w:val="none" w:sz="0" w:space="0" w:color="auto"/>
      </w:divBdr>
    </w:div>
    <w:div w:id="212044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C1ED11CFBDDB4499C28C30F8C27DCD"/>
        <w:category>
          <w:name w:val="General"/>
          <w:gallery w:val="placeholder"/>
        </w:category>
        <w:types>
          <w:type w:val="bbPlcHdr"/>
        </w:types>
        <w:behaviors>
          <w:behavior w:val="content"/>
        </w:behaviors>
        <w:guid w:val="{26CAB2D7-1732-6842-BD38-B4A2129F9D7C}"/>
      </w:docPartPr>
      <w:docPartBody>
        <w:p w:rsidR="00433878" w:rsidRDefault="00525810" w:rsidP="00525810">
          <w:pPr>
            <w:pStyle w:val="47C1ED11CFBDDB4499C28C30F8C27DCD"/>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webkit-standard">
    <w:altName w:val="Cambria"/>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10"/>
    <w:rsid w:val="0005534D"/>
    <w:rsid w:val="000717B1"/>
    <w:rsid w:val="000C24D3"/>
    <w:rsid w:val="000E241D"/>
    <w:rsid w:val="00121D7C"/>
    <w:rsid w:val="00150583"/>
    <w:rsid w:val="0016555E"/>
    <w:rsid w:val="00173060"/>
    <w:rsid w:val="00214411"/>
    <w:rsid w:val="00251B12"/>
    <w:rsid w:val="002C0948"/>
    <w:rsid w:val="003B0C64"/>
    <w:rsid w:val="00433878"/>
    <w:rsid w:val="004400FE"/>
    <w:rsid w:val="004F383C"/>
    <w:rsid w:val="00525810"/>
    <w:rsid w:val="005507F2"/>
    <w:rsid w:val="0058699A"/>
    <w:rsid w:val="005D4C4F"/>
    <w:rsid w:val="00613157"/>
    <w:rsid w:val="00650CFD"/>
    <w:rsid w:val="006806B6"/>
    <w:rsid w:val="006F52A0"/>
    <w:rsid w:val="00732811"/>
    <w:rsid w:val="007953DA"/>
    <w:rsid w:val="007B3BFE"/>
    <w:rsid w:val="007C4BED"/>
    <w:rsid w:val="0080561C"/>
    <w:rsid w:val="008106E3"/>
    <w:rsid w:val="0081756C"/>
    <w:rsid w:val="00844DF3"/>
    <w:rsid w:val="008768B4"/>
    <w:rsid w:val="008A51A3"/>
    <w:rsid w:val="008C6583"/>
    <w:rsid w:val="008E1026"/>
    <w:rsid w:val="008F4B14"/>
    <w:rsid w:val="00925885"/>
    <w:rsid w:val="00A577F6"/>
    <w:rsid w:val="00A62D87"/>
    <w:rsid w:val="00A71695"/>
    <w:rsid w:val="00A76CE0"/>
    <w:rsid w:val="00AA73AE"/>
    <w:rsid w:val="00AB1CC2"/>
    <w:rsid w:val="00AD6907"/>
    <w:rsid w:val="00B04373"/>
    <w:rsid w:val="00B45764"/>
    <w:rsid w:val="00BC5841"/>
    <w:rsid w:val="00BC7807"/>
    <w:rsid w:val="00C20D89"/>
    <w:rsid w:val="00C52AFE"/>
    <w:rsid w:val="00C8616F"/>
    <w:rsid w:val="00C940D1"/>
    <w:rsid w:val="00CB1B20"/>
    <w:rsid w:val="00CD3B4D"/>
    <w:rsid w:val="00D91CE6"/>
    <w:rsid w:val="00E12A61"/>
    <w:rsid w:val="00ED431F"/>
    <w:rsid w:val="00F76044"/>
    <w:rsid w:val="00FC24F3"/>
    <w:rsid w:val="00FE2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C1ED11CFBDDB4499C28C30F8C27DCD">
    <w:name w:val="47C1ED11CFBDDB4499C28C30F8C27DCD"/>
    <w:rsid w:val="005258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E2BEA-5082-2C47-B495-750FAF92F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9</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cp:lastPrinted>2025-06-20T11:10:00Z</cp:lastPrinted>
  <dcterms:created xsi:type="dcterms:W3CDTF">2025-06-06T05:07:00Z</dcterms:created>
  <dcterms:modified xsi:type="dcterms:W3CDTF">2025-06-23T03:56:00Z</dcterms:modified>
</cp:coreProperties>
</file>