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855" w:rsidRDefault="003E5855" w:rsidP="006C031E">
      <w:pPr>
        <w:ind w:left="-426" w:firstLine="426"/>
        <w:rPr>
          <w:sz w:val="80"/>
          <w:szCs w:val="80"/>
          <w:lang w:val="en-US"/>
        </w:rPr>
      </w:pPr>
    </w:p>
    <w:p w:rsidR="003E5855" w:rsidRDefault="003E5855" w:rsidP="006C031E">
      <w:pPr>
        <w:ind w:left="-426" w:firstLine="426"/>
        <w:rPr>
          <w:sz w:val="80"/>
          <w:szCs w:val="80"/>
          <w:lang w:val="en-US"/>
        </w:rPr>
      </w:pPr>
    </w:p>
    <w:p w:rsidR="003E5855" w:rsidRDefault="003E5855" w:rsidP="006C031E">
      <w:pPr>
        <w:ind w:left="-426" w:firstLine="426"/>
        <w:rPr>
          <w:sz w:val="80"/>
          <w:szCs w:val="80"/>
          <w:lang w:val="en-US"/>
        </w:rPr>
      </w:pPr>
    </w:p>
    <w:p w:rsidR="005C56F2" w:rsidRDefault="005C56F2" w:rsidP="006C031E">
      <w:pPr>
        <w:ind w:left="-426" w:firstLine="426"/>
        <w:rPr>
          <w:sz w:val="80"/>
          <w:szCs w:val="80"/>
          <w:lang w:val="en-US"/>
        </w:rPr>
      </w:pPr>
    </w:p>
    <w:p w:rsidR="005C56F2" w:rsidRDefault="005C56F2" w:rsidP="006C031E">
      <w:pPr>
        <w:ind w:left="-426" w:firstLine="426"/>
        <w:rPr>
          <w:sz w:val="80"/>
          <w:szCs w:val="80"/>
          <w:lang w:val="en-US"/>
        </w:rPr>
      </w:pPr>
    </w:p>
    <w:p w:rsidR="00817D53" w:rsidRDefault="00817D53" w:rsidP="005958D3">
      <w:pPr>
        <w:rPr>
          <w:sz w:val="80"/>
          <w:szCs w:val="80"/>
          <w:lang w:val="en-US"/>
        </w:rPr>
      </w:pPr>
    </w:p>
    <w:p w:rsidR="00782B1C" w:rsidRPr="003E5855" w:rsidRDefault="003E5855" w:rsidP="005958D3">
      <w:pPr>
        <w:spacing w:line="276" w:lineRule="auto"/>
        <w:rPr>
          <w:b/>
          <w:bCs/>
          <w:color w:val="002060"/>
          <w:sz w:val="96"/>
          <w:szCs w:val="96"/>
          <w:lang w:val="en-US"/>
        </w:rPr>
      </w:pPr>
      <w:r w:rsidRPr="003E5855">
        <w:rPr>
          <w:b/>
          <w:bCs/>
          <w:color w:val="002060"/>
          <w:sz w:val="96"/>
          <w:szCs w:val="96"/>
          <w:lang w:val="en-US"/>
        </w:rPr>
        <w:t>EQUITY</w:t>
      </w:r>
    </w:p>
    <w:p w:rsidR="003E5855" w:rsidRPr="003E5855" w:rsidRDefault="003E5855" w:rsidP="003E5855">
      <w:pPr>
        <w:spacing w:line="276" w:lineRule="auto"/>
        <w:ind w:left="-426" w:firstLine="426"/>
        <w:rPr>
          <w:b/>
          <w:bCs/>
          <w:color w:val="002060"/>
          <w:sz w:val="96"/>
          <w:szCs w:val="96"/>
          <w:lang w:val="en-US"/>
        </w:rPr>
      </w:pPr>
      <w:r w:rsidRPr="003E5855">
        <w:rPr>
          <w:b/>
          <w:bCs/>
          <w:color w:val="002060"/>
          <w:sz w:val="96"/>
          <w:szCs w:val="96"/>
          <w:lang w:val="en-US"/>
        </w:rPr>
        <w:t>RESEARCH</w:t>
      </w:r>
    </w:p>
    <w:p w:rsidR="003E5855" w:rsidRDefault="003E5855" w:rsidP="003E5855">
      <w:pPr>
        <w:spacing w:line="276" w:lineRule="auto"/>
        <w:ind w:left="-426" w:firstLine="426"/>
        <w:rPr>
          <w:b/>
          <w:bCs/>
          <w:color w:val="002060"/>
          <w:sz w:val="96"/>
          <w:szCs w:val="96"/>
          <w:lang w:val="en-US"/>
        </w:rPr>
      </w:pPr>
      <w:r w:rsidRPr="003E5855">
        <w:rPr>
          <w:b/>
          <w:bCs/>
          <w:color w:val="002060"/>
          <w:sz w:val="96"/>
          <w:szCs w:val="96"/>
          <w:lang w:val="en-US"/>
        </w:rPr>
        <w:t>REPORT</w:t>
      </w:r>
    </w:p>
    <w:p w:rsidR="003E5855" w:rsidRDefault="003E5855" w:rsidP="006C031E">
      <w:pPr>
        <w:ind w:left="-426" w:firstLine="426"/>
        <w:rPr>
          <w:b/>
          <w:bCs/>
          <w:color w:val="002060"/>
          <w:sz w:val="96"/>
          <w:szCs w:val="96"/>
          <w:lang w:val="en-US"/>
        </w:rPr>
      </w:pPr>
    </w:p>
    <w:p w:rsidR="005958D3" w:rsidRDefault="005958D3" w:rsidP="006C031E">
      <w:pPr>
        <w:ind w:left="-426" w:firstLine="426"/>
        <w:rPr>
          <w:b/>
          <w:bCs/>
          <w:color w:val="002060"/>
          <w:sz w:val="96"/>
          <w:szCs w:val="96"/>
          <w:lang w:val="en-US"/>
        </w:rPr>
      </w:pPr>
    </w:p>
    <w:p w:rsidR="003E5855" w:rsidRDefault="003E5855" w:rsidP="006C031E">
      <w:pPr>
        <w:ind w:left="-426" w:firstLine="426"/>
        <w:rPr>
          <w:b/>
          <w:bCs/>
          <w:color w:val="002060"/>
          <w:sz w:val="96"/>
          <w:szCs w:val="96"/>
          <w:lang w:val="en-US"/>
        </w:rPr>
      </w:pPr>
    </w:p>
    <w:p w:rsidR="00817D53" w:rsidRDefault="00817D53" w:rsidP="00817D53">
      <w:pPr>
        <w:ind w:left="-426" w:firstLine="426"/>
        <w:rPr>
          <w:b/>
          <w:bCs/>
          <w:sz w:val="28"/>
          <w:szCs w:val="28"/>
          <w:lang w:val="en-US"/>
        </w:rPr>
      </w:pPr>
    </w:p>
    <w:p w:rsidR="00817D53" w:rsidRDefault="00817D53" w:rsidP="00817D53">
      <w:pPr>
        <w:rPr>
          <w:b/>
          <w:bCs/>
          <w:sz w:val="32"/>
          <w:szCs w:val="32"/>
          <w:lang w:val="en-US"/>
        </w:rPr>
      </w:pPr>
    </w:p>
    <w:p w:rsidR="00817D53" w:rsidRDefault="00817D53" w:rsidP="00817D53">
      <w:pPr>
        <w:rPr>
          <w:b/>
          <w:bCs/>
          <w:sz w:val="32"/>
          <w:szCs w:val="32"/>
          <w:lang w:val="en-US"/>
        </w:rPr>
      </w:pPr>
      <w:r>
        <w:rPr>
          <w:b/>
          <w:bCs/>
          <w:noProof/>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1262669</wp:posOffset>
                </wp:positionH>
                <wp:positionV relativeFrom="paragraph">
                  <wp:posOffset>-243205</wp:posOffset>
                </wp:positionV>
                <wp:extent cx="3692467" cy="401992"/>
                <wp:effectExtent l="0" t="0" r="3810" b="4445"/>
                <wp:wrapNone/>
                <wp:docPr id="256060549" name="Text Box 6"/>
                <wp:cNvGraphicFramePr/>
                <a:graphic xmlns:a="http://schemas.openxmlformats.org/drawingml/2006/main">
                  <a:graphicData uri="http://schemas.microsoft.com/office/word/2010/wordprocessingShape">
                    <wps:wsp>
                      <wps:cNvSpPr txBox="1"/>
                      <wps:spPr>
                        <a:xfrm>
                          <a:off x="0" y="0"/>
                          <a:ext cx="3692467" cy="401992"/>
                        </a:xfrm>
                        <a:prstGeom prst="rect">
                          <a:avLst/>
                        </a:prstGeom>
                        <a:solidFill>
                          <a:schemeClr val="lt1"/>
                        </a:solidFill>
                        <a:ln w="6350">
                          <a:noFill/>
                        </a:ln>
                      </wps:spPr>
                      <wps:txbx>
                        <w:txbxContent>
                          <w:p w:rsidR="00817D53" w:rsidRPr="00E14055" w:rsidRDefault="00E14055" w:rsidP="00817D53">
                            <w:pPr>
                              <w:jc w:val="center"/>
                              <w:rPr>
                                <w:b/>
                                <w:bCs/>
                                <w:color w:val="EE0000"/>
                                <w:sz w:val="40"/>
                                <w:szCs w:val="40"/>
                                <w:lang w:val="en-US"/>
                              </w:rPr>
                            </w:pPr>
                            <w:r w:rsidRPr="00E14055">
                              <w:rPr>
                                <w:b/>
                                <w:bCs/>
                                <w:color w:val="EE0000"/>
                                <w:sz w:val="40"/>
                                <w:szCs w:val="40"/>
                                <w:lang w:val="en-US"/>
                              </w:rPr>
                              <w:t>SHREE</w:t>
                            </w:r>
                            <w:r w:rsidR="003419C8" w:rsidRPr="00E14055">
                              <w:rPr>
                                <w:b/>
                                <w:bCs/>
                                <w:color w:val="EE0000"/>
                                <w:sz w:val="40"/>
                                <w:szCs w:val="40"/>
                                <w:lang w:val="en-US"/>
                              </w:rPr>
                              <w:t xml:space="preserve"> C</w:t>
                            </w:r>
                            <w:r w:rsidRPr="00E14055">
                              <w:rPr>
                                <w:b/>
                                <w:bCs/>
                                <w:color w:val="EE0000"/>
                                <w:sz w:val="40"/>
                                <w:szCs w:val="40"/>
                                <w:lang w:val="en-US"/>
                              </w:rPr>
                              <w:t>EMENT</w:t>
                            </w:r>
                            <w:r w:rsidR="001A562C" w:rsidRPr="00E14055">
                              <w:rPr>
                                <w:b/>
                                <w:bCs/>
                                <w:color w:val="EE0000"/>
                                <w:sz w:val="40"/>
                                <w:szCs w:val="40"/>
                                <w:lang w:val="en-US"/>
                              </w:rPr>
                              <w:t xml:space="preserve"> </w:t>
                            </w:r>
                            <w:r w:rsidRPr="00E14055">
                              <w:rPr>
                                <w:b/>
                                <w:bCs/>
                                <w:color w:val="EE0000"/>
                                <w:sz w:val="40"/>
                                <w:szCs w:val="40"/>
                                <w:lang w:val="en-US"/>
                              </w:rPr>
                              <w:t>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9.4pt;margin-top:-19.15pt;width:290.75pt;height:3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4/1LQIAAFQEAAAOAAAAZHJzL2Uyb0RvYy54bWysVEtv2zAMvg/YfxB0b+ykaboYcYosRYYB&#13;&#10;QVsgHXpWZCk2IIuapMTOfv0o2Xms22noRSZF6uPro2cPba3IQVhXgc7pcJBSIjSHotK7nP54Xd18&#13;&#10;ocR5pgumQIucHoWjD/PPn2aNycQISlCFsARBtMsak9PSe5MlieOlqJkbgBEajRJszTyqdpcUljWI&#13;&#10;XqtklKaTpAFbGAtcOIe3j52RziO+lIL7Zymd8ETlFHPz8bTx3IYzmc9YtrPMlBXv02D/kUXNKo1B&#13;&#10;z1CPzDOyt9VfUHXFLTiQfsChTkDKiotYA1YzTN9VsymZEbEWbI4z5za5j4PlT4eNebHEt1+hxQGG&#13;&#10;hjTGZQ4vQz2ttHX4YqYE7djC47ltovWE4+XtZDoaT+4p4Wgbp8PpdBRgkstrY53/JqAmQcipxbHE&#13;&#10;brHD2vnO9eQSgjlQVbGqlIpKoIJYKksODIeofMwRwf/wUpo0OZ3c3qURWEN43iErjblcagqSb7dt&#13;&#10;X+gWiiPWb6GjhjN8VWGSa+b8C7PIBSwZ+e2f8ZAKMAj0EiUl2F//ug/+OCK0UtIgt3Lqfu6ZFZSo&#13;&#10;7xqHNx2Ox4GMURnf3Y9QsdeW7bVF7+slYOVD3CTDoxj8vTqJ0kL9hmuwCFHRxDTH2Dn1J3HpO8bj&#13;&#10;GnGxWEQnpJ9hfq03hgfo0Okwgtf2jVnTz8njhJ/gxEKWvRtX5xtealjsPcgqzjI0uOtq33ekbmRD&#13;&#10;v2ZhN6716HX5Gcx/AwAA//8DAFBLAwQUAAYACAAAACEAoyiH7OUAAAAPAQAADwAAAGRycy9kb3du&#13;&#10;cmV2LnhtbEyPT0/DMAzF70h8h8hIXNCWsmqsdE0nxL9J3LYOELesMW1F41RN1pZvjznBxfKT7eff&#13;&#10;yzaTbcWAvW8cKbieRyCQSmcaqhQciqdZAsIHTUa3jlDBN3rY5OdnmU6NG2mHwz5Ugk3Ip1pBHUKX&#13;&#10;SunLGq32c9ch8ezT9VYHln0lTa9HNretXETRjbS6If5Q6w7vayy/9ier4OOqen/x0/PrGC/j7nE7&#13;&#10;FKs3Uyh1eTE9rLncrUEEnMLfBfxmYH7IGezoTmS8aFnfJswfFMziJAbBG6sk4uaoYLGMQOaZ/J8j&#13;&#10;/wEAAP//AwBQSwECLQAUAAYACAAAACEAtoM4kv4AAADhAQAAEwAAAAAAAAAAAAAAAAAAAAAAW0Nv&#13;&#10;bnRlbnRfVHlwZXNdLnhtbFBLAQItABQABgAIAAAAIQA4/SH/1gAAAJQBAAALAAAAAAAAAAAAAAAA&#13;&#10;AC8BAABfcmVscy8ucmVsc1BLAQItABQABgAIAAAAIQB6B4/1LQIAAFQEAAAOAAAAAAAAAAAAAAAA&#13;&#10;AC4CAABkcnMvZTJvRG9jLnhtbFBLAQItABQABgAIAAAAIQCjKIfs5QAAAA8BAAAPAAAAAAAAAAAA&#13;&#10;AAAAAIcEAABkcnMvZG93bnJldi54bWxQSwUGAAAAAAQABADzAAAAmQUAAAAA&#13;&#10;" fillcolor="white [3201]" stroked="f" strokeweight=".5pt">
                <v:textbox>
                  <w:txbxContent>
                    <w:p w:rsidR="00817D53" w:rsidRPr="00E14055" w:rsidRDefault="00E14055" w:rsidP="00817D53">
                      <w:pPr>
                        <w:jc w:val="center"/>
                        <w:rPr>
                          <w:b/>
                          <w:bCs/>
                          <w:color w:val="EE0000"/>
                          <w:sz w:val="40"/>
                          <w:szCs w:val="40"/>
                          <w:lang w:val="en-US"/>
                        </w:rPr>
                      </w:pPr>
                      <w:r w:rsidRPr="00E14055">
                        <w:rPr>
                          <w:b/>
                          <w:bCs/>
                          <w:color w:val="EE0000"/>
                          <w:sz w:val="40"/>
                          <w:szCs w:val="40"/>
                          <w:lang w:val="en-US"/>
                        </w:rPr>
                        <w:t>SHREE</w:t>
                      </w:r>
                      <w:r w:rsidR="003419C8" w:rsidRPr="00E14055">
                        <w:rPr>
                          <w:b/>
                          <w:bCs/>
                          <w:color w:val="EE0000"/>
                          <w:sz w:val="40"/>
                          <w:szCs w:val="40"/>
                          <w:lang w:val="en-US"/>
                        </w:rPr>
                        <w:t xml:space="preserve"> C</w:t>
                      </w:r>
                      <w:r w:rsidRPr="00E14055">
                        <w:rPr>
                          <w:b/>
                          <w:bCs/>
                          <w:color w:val="EE0000"/>
                          <w:sz w:val="40"/>
                          <w:szCs w:val="40"/>
                          <w:lang w:val="en-US"/>
                        </w:rPr>
                        <w:t>EMENT</w:t>
                      </w:r>
                      <w:r w:rsidR="001A562C" w:rsidRPr="00E14055">
                        <w:rPr>
                          <w:b/>
                          <w:bCs/>
                          <w:color w:val="EE0000"/>
                          <w:sz w:val="40"/>
                          <w:szCs w:val="40"/>
                          <w:lang w:val="en-US"/>
                        </w:rPr>
                        <w:t xml:space="preserve"> </w:t>
                      </w:r>
                      <w:r w:rsidRPr="00E14055">
                        <w:rPr>
                          <w:b/>
                          <w:bCs/>
                          <w:color w:val="EE0000"/>
                          <w:sz w:val="40"/>
                          <w:szCs w:val="40"/>
                          <w:lang w:val="en-US"/>
                        </w:rPr>
                        <w:t>LIMITED</w:t>
                      </w:r>
                    </w:p>
                  </w:txbxContent>
                </v:textbox>
              </v:shape>
            </w:pict>
          </mc:Fallback>
        </mc:AlternateContent>
      </w:r>
      <w:r>
        <w:rPr>
          <w:b/>
          <w:bCs/>
          <w:noProof/>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-107576</wp:posOffset>
                </wp:positionH>
                <wp:positionV relativeFrom="paragraph">
                  <wp:posOffset>227928</wp:posOffset>
                </wp:positionV>
                <wp:extent cx="6386867" cy="0"/>
                <wp:effectExtent l="0" t="0" r="13970" b="12700"/>
                <wp:wrapNone/>
                <wp:docPr id="1892177038" name="Straight Connector 5"/>
                <wp:cNvGraphicFramePr/>
                <a:graphic xmlns:a="http://schemas.openxmlformats.org/drawingml/2006/main">
                  <a:graphicData uri="http://schemas.microsoft.com/office/word/2010/wordprocessingShape">
                    <wps:wsp>
                      <wps:cNvCnPr/>
                      <wps:spPr>
                        <a:xfrm>
                          <a:off x="0" y="0"/>
                          <a:ext cx="6386867"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8B8DEC3"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5pt,17.95pt" to="494.45pt,1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VZRnwEAAI8DAAAOAAAAZHJzL2Uyb0RvYy54bWysU01v2zAMvRfYfxB0X+ykQBYYcXposV6G&#13;&#10;rljbH6DKVCxMX6DU2Pn3o5TEGdoih2EXWSL5HvlIen0zWsN2gFF71/L5rOYMnPSddtuWvzx//7ri&#13;&#10;LCbhOmG8g5bvIfKbzZer9RAaWPjemw6QEYmLzRBa3qcUmqqKsgcr4swHcORUHq1I9MRt1aEYiN2a&#13;&#10;alHXy2rw2AX0EmIk693ByTeFXymQ6adSERIzLafaUjmxnK/5rDZr0WxRhF7LYxniH6qwQjtKOlHd&#13;&#10;iSTYG+oPVFZL9NGrNJPeVl4pLaFoIDXz+p2ap14EKFqoOTFMbYr/j1Y+7G7dI1IbhhCbGB4xqxgV&#13;&#10;2vyl+thYmrWfmgVjYpKMy+vVcrX8xpk8+aozMGBM9+Aty5eWG+2yDtGI3Y+YKBmFnkKy2bhsO1dQ&#13;&#10;bmlv4OD8BYrpjnIuCklZDrg1yHaCxtr9nucxEqVxFJkhShszgerLoGNshkFZmAk4vwycoktG79IE&#13;&#10;tNp5/AycxlOp6hB/Un3QmmW/+m5f5lHaQVMvyo4bmtfq73eBn/+jzR8AAAD//wMAUEsDBBQABgAI&#13;&#10;AAAAIQCVm1hE3gAAAA4BAAAPAAAAZHJzL2Rvd25yZXYueG1sTE/LTsMwELwj8Q/WInFBrVMq2jSN&#13;&#10;U0WgfgAtB45uvMRR7XWI3TT8PYs4wGWfs7Mz5W7yTow4xC6QgsU8A4HUBNNRq+DtuJ/lIGLSZLQL&#13;&#10;hAq+MMKuur0pdWHClV5xPKRWMAnFQiuwKfWFlLGx6HWchx6Jdx9h8DpxO7TSDPrK5N7JxyxbSa87&#13;&#10;4g9W9/hssTkfLl7B8X2Nxj64etSftaF2ee7260yp+7vpZcuh3oJIOKW/C/jxwPqhYmGncCEThVMw&#13;&#10;W6w2DFWwfOLMgE2ec3H6HciqlP9tVN8AAAD//wMAUEsBAi0AFAAGAAgAAAAhALaDOJL+AAAA4QEA&#13;&#10;ABMAAAAAAAAAAAAAAAAAAAAAAFtDb250ZW50X1R5cGVzXS54bWxQSwECLQAUAAYACAAAACEAOP0h&#13;&#10;/9YAAACUAQAACwAAAAAAAAAAAAAAAAAvAQAAX3JlbHMvLnJlbHNQSwECLQAUAAYACAAAACEAuFVW&#13;&#10;UZ8BAACPAwAADgAAAAAAAAAAAAAAAAAuAgAAZHJzL2Uyb0RvYy54bWxQSwECLQAUAAYACAAAACEA&#13;&#10;lZtYRN4AAAAOAQAADwAAAAAAAAAAAAAAAAD5AwAAZHJzL2Rvd25yZXYueG1sUEsFBgAAAAAEAAQA&#13;&#10;8wAAAAQFAAAAAA==&#13;&#10;" strokecolor="black [3200]" strokeweight="1pt">
                <v:stroke joinstyle="miter"/>
              </v:line>
            </w:pict>
          </mc:Fallback>
        </mc:AlternateContent>
      </w:r>
    </w:p>
    <w:p w:rsidR="002E0D30" w:rsidRPr="00817D53" w:rsidRDefault="00817D53" w:rsidP="00817D53">
      <w:pPr>
        <w:rPr>
          <w:b/>
          <w:bCs/>
          <w:sz w:val="32"/>
          <w:szCs w:val="32"/>
          <w:lang w:val="en-US"/>
        </w:rPr>
      </w:pPr>
      <w:r w:rsidRPr="00817D53">
        <w:rPr>
          <w:b/>
          <w:bCs/>
          <w:sz w:val="32"/>
          <w:szCs w:val="32"/>
          <w:lang w:val="en-US"/>
        </w:rPr>
        <w:t>BSE</w:t>
      </w:r>
      <w:r w:rsidR="002E0D30" w:rsidRPr="00BC7D13">
        <w:rPr>
          <w:b/>
          <w:bCs/>
          <w:sz w:val="32"/>
          <w:szCs w:val="32"/>
          <w:lang w:val="en-US"/>
        </w:rPr>
        <w:t>: 5</w:t>
      </w:r>
      <w:r w:rsidR="00E14055">
        <w:rPr>
          <w:b/>
          <w:bCs/>
          <w:sz w:val="32"/>
          <w:szCs w:val="32"/>
          <w:lang w:val="en-US"/>
        </w:rPr>
        <w:t>00387</w:t>
      </w:r>
      <w:r w:rsidR="002E0D30" w:rsidRPr="00BC7D13">
        <w:rPr>
          <w:b/>
          <w:bCs/>
          <w:sz w:val="32"/>
          <w:szCs w:val="32"/>
          <w:lang w:val="en-US"/>
        </w:rPr>
        <w:t xml:space="preserve"> | NSE: </w:t>
      </w:r>
      <w:r w:rsidR="00E14055">
        <w:rPr>
          <w:b/>
          <w:bCs/>
          <w:sz w:val="32"/>
          <w:szCs w:val="32"/>
          <w:lang w:val="en-US"/>
        </w:rPr>
        <w:t>SHREECEM</w:t>
      </w:r>
      <w:r w:rsidR="002E0D30" w:rsidRPr="00BC7D13">
        <w:rPr>
          <w:b/>
          <w:bCs/>
          <w:sz w:val="32"/>
          <w:szCs w:val="32"/>
          <w:lang w:val="en-US"/>
        </w:rPr>
        <w:t xml:space="preserve"> |ISIN: </w:t>
      </w:r>
      <w:r w:rsidR="00E14055" w:rsidRPr="00E14055">
        <w:rPr>
          <w:b/>
          <w:bCs/>
          <w:sz w:val="32"/>
          <w:szCs w:val="32"/>
        </w:rPr>
        <w:t>INE070A01015</w:t>
      </w:r>
      <w:r w:rsidR="002E0D30" w:rsidRPr="00BC7D13">
        <w:rPr>
          <w:b/>
          <w:bCs/>
          <w:sz w:val="32"/>
          <w:szCs w:val="32"/>
          <w:lang w:val="en-US"/>
        </w:rPr>
        <w:t xml:space="preserve"> | SECTOR: </w:t>
      </w:r>
      <w:r w:rsidR="00E14055">
        <w:rPr>
          <w:b/>
          <w:bCs/>
          <w:sz w:val="32"/>
          <w:szCs w:val="32"/>
          <w:lang w:val="en-US"/>
        </w:rPr>
        <w:t>Building Materials (Cement)</w:t>
      </w:r>
    </w:p>
    <w:p w:rsidR="00D973C6" w:rsidRPr="00146016" w:rsidRDefault="00D973C6" w:rsidP="00D973C6">
      <w:pPr>
        <w:spacing w:line="276" w:lineRule="auto"/>
        <w:jc w:val="both"/>
        <w:rPr>
          <w:rFonts w:cstheme="minorHAnsi"/>
          <w:b/>
          <w:bCs/>
          <w:sz w:val="32"/>
          <w:szCs w:val="32"/>
          <w:lang w:val="en-US"/>
        </w:rPr>
      </w:pPr>
    </w:p>
    <w:p w:rsidR="00FB1421" w:rsidRPr="00146016" w:rsidRDefault="00215D03" w:rsidP="00215D03">
      <w:pPr>
        <w:spacing w:line="360" w:lineRule="auto"/>
        <w:jc w:val="both"/>
        <w:rPr>
          <w:rFonts w:cstheme="minorHAnsi"/>
          <w:sz w:val="32"/>
          <w:szCs w:val="32"/>
          <w:lang w:val="en-US"/>
        </w:rPr>
      </w:pPr>
      <w:r w:rsidRPr="00146016">
        <w:rPr>
          <w:rFonts w:cstheme="minorHAnsi"/>
          <w:noProof/>
          <w:sz w:val="28"/>
          <w:szCs w:val="28"/>
        </w:rPr>
        <w:t>Shree Cement was incorporated in 1979 by Benu Gopal Bangur and began its operations with a 0.6 MTPA integrated cement plant in Beawar, Rajasthan. The company went public in 1984 with a listing on the Bombay Stock Exchange. Over the next three decades, it steadily scaled operations, reaching 10 MTPA by 2010. From these modest beginnings, Shree Cement has emerged as India’s third-largest cement producer, behind only UltraTech and Ambuja Cements. In recognition of its consistent growth and strong market presence, the company became part of the prestigious Nifty 50 index in March 2020.</w:t>
      </w:r>
    </w:p>
    <w:p w:rsidR="00FB1421" w:rsidRPr="00FB1421" w:rsidRDefault="003A3319" w:rsidP="00FB1421">
      <w:pPr>
        <w:rPr>
          <w:sz w:val="32"/>
          <w:szCs w:val="32"/>
          <w:lang w:val="en-US"/>
        </w:rPr>
      </w:pPr>
      <w:r w:rsidRPr="00AF0EC1">
        <w:rPr>
          <w:noProof/>
        </w:rPr>
        <w:drawing>
          <wp:anchor distT="0" distB="0" distL="114300" distR="114300" simplePos="0" relativeHeight="251669504" behindDoc="0" locked="0" layoutInCell="1" allowOverlap="1" wp14:anchorId="5F9AEA4F">
            <wp:simplePos x="0" y="0"/>
            <wp:positionH relativeFrom="margin">
              <wp:posOffset>788021</wp:posOffset>
            </wp:positionH>
            <wp:positionV relativeFrom="margin">
              <wp:posOffset>4056380</wp:posOffset>
            </wp:positionV>
            <wp:extent cx="4798060" cy="1765300"/>
            <wp:effectExtent l="469900" t="38100" r="40640" b="965200"/>
            <wp:wrapSquare wrapText="bothSides"/>
            <wp:docPr id="5" name="Picture 4">
              <a:extLst xmlns:a="http://schemas.openxmlformats.org/drawingml/2006/main">
                <a:ext uri="{FF2B5EF4-FFF2-40B4-BE49-F238E27FC236}">
                  <a16:creationId xmlns:a16="http://schemas.microsoft.com/office/drawing/2014/main" id="{8704E03A-D7D7-9821-8E6B-C17730E516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04E03A-D7D7-9821-8E6B-C17730E516B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8060" cy="1765300"/>
                    </a:xfrm>
                    <a:prstGeom prst="rect">
                      <a:avLst/>
                    </a:prstGeom>
                    <a:ln w="127000" cap="rnd">
                      <a:noFill/>
                    </a:ln>
                    <a:effectLst>
                      <a:outerShdw blurRad="76200" dist="95250" dir="10500000" sx="97000" sy="23000" kx="900000" algn="br" rotWithShape="0">
                        <a:srgbClr val="000000">
                          <a:alpha val="20000"/>
                        </a:srgbClr>
                      </a:outerShdw>
                      <a:reflection blurRad="6350" stA="50000" endA="300" endPos="55000" dir="5400000" sy="-100000" algn="bl" rotWithShape="0"/>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8F592E" w:rsidRDefault="008F592E" w:rsidP="00FB1421">
      <w:pPr>
        <w:spacing w:before="240" w:line="360" w:lineRule="auto"/>
        <w:contextualSpacing/>
        <w:jc w:val="both"/>
        <w:rPr>
          <w:color w:val="000000" w:themeColor="text1"/>
          <w:sz w:val="32"/>
          <w:szCs w:val="32"/>
          <w:lang w:val="en-GB"/>
        </w:rPr>
      </w:pPr>
    </w:p>
    <w:p w:rsidR="00857D8E" w:rsidRDefault="00857D8E" w:rsidP="00FB1421">
      <w:pPr>
        <w:spacing w:before="240" w:line="360" w:lineRule="auto"/>
        <w:contextualSpacing/>
        <w:jc w:val="both"/>
        <w:rPr>
          <w:color w:val="000000" w:themeColor="text1"/>
          <w:sz w:val="28"/>
          <w:szCs w:val="28"/>
          <w:lang w:val="en-GB"/>
        </w:rPr>
      </w:pPr>
    </w:p>
    <w:p w:rsidR="005958D3" w:rsidRDefault="005958D3" w:rsidP="00E11605">
      <w:pPr>
        <w:spacing w:before="240" w:line="360" w:lineRule="auto"/>
        <w:contextualSpacing/>
        <w:jc w:val="both"/>
        <w:rPr>
          <w:color w:val="000000" w:themeColor="text1"/>
          <w:sz w:val="28"/>
          <w:szCs w:val="28"/>
        </w:rPr>
      </w:pPr>
    </w:p>
    <w:p w:rsidR="00D973C6" w:rsidRDefault="00D973C6" w:rsidP="00E11605">
      <w:pPr>
        <w:spacing w:before="240" w:line="360" w:lineRule="auto"/>
        <w:contextualSpacing/>
        <w:jc w:val="both"/>
        <w:rPr>
          <w:color w:val="000000" w:themeColor="text1"/>
          <w:sz w:val="28"/>
          <w:szCs w:val="28"/>
        </w:rPr>
      </w:pPr>
    </w:p>
    <w:p w:rsidR="00AF0EC1" w:rsidRDefault="00AF0EC1" w:rsidP="00E11605">
      <w:pPr>
        <w:spacing w:before="240" w:line="360" w:lineRule="auto"/>
        <w:contextualSpacing/>
        <w:jc w:val="both"/>
        <w:rPr>
          <w:color w:val="000000" w:themeColor="text1"/>
          <w:sz w:val="28"/>
          <w:szCs w:val="28"/>
        </w:rPr>
      </w:pPr>
    </w:p>
    <w:p w:rsidR="00F043DE" w:rsidRDefault="00F043DE" w:rsidP="00F043DE">
      <w:pPr>
        <w:spacing w:before="240" w:line="360" w:lineRule="auto"/>
        <w:contextualSpacing/>
        <w:jc w:val="both"/>
        <w:rPr>
          <w:rFonts w:cstheme="minorHAnsi"/>
          <w:color w:val="000000"/>
          <w:sz w:val="28"/>
          <w:szCs w:val="28"/>
        </w:rPr>
      </w:pPr>
    </w:p>
    <w:p w:rsidR="00F043DE" w:rsidRPr="00146016" w:rsidRDefault="00F043DE" w:rsidP="00F043DE">
      <w:pPr>
        <w:spacing w:before="240" w:line="360" w:lineRule="auto"/>
        <w:contextualSpacing/>
        <w:jc w:val="both"/>
        <w:rPr>
          <w:rFonts w:cstheme="minorHAnsi"/>
          <w:color w:val="000000"/>
          <w:sz w:val="28"/>
          <w:szCs w:val="28"/>
        </w:rPr>
      </w:pPr>
    </w:p>
    <w:p w:rsidR="003A3319" w:rsidRDefault="003A3319" w:rsidP="00A625ED">
      <w:pPr>
        <w:spacing w:before="240" w:line="360" w:lineRule="auto"/>
        <w:contextualSpacing/>
        <w:jc w:val="both"/>
        <w:rPr>
          <w:rFonts w:cstheme="minorHAnsi"/>
          <w:color w:val="000000"/>
          <w:sz w:val="28"/>
          <w:szCs w:val="28"/>
        </w:rPr>
      </w:pPr>
    </w:p>
    <w:p w:rsidR="003A3319" w:rsidRDefault="003A3319" w:rsidP="00A625ED">
      <w:pPr>
        <w:spacing w:before="240" w:line="360" w:lineRule="auto"/>
        <w:contextualSpacing/>
        <w:jc w:val="both"/>
        <w:rPr>
          <w:rFonts w:cstheme="minorHAnsi"/>
          <w:color w:val="000000"/>
          <w:sz w:val="28"/>
          <w:szCs w:val="28"/>
        </w:rPr>
      </w:pPr>
    </w:p>
    <w:p w:rsidR="003A3319" w:rsidRDefault="00146016" w:rsidP="00A625ED">
      <w:pPr>
        <w:spacing w:before="240" w:line="360" w:lineRule="auto"/>
        <w:contextualSpacing/>
        <w:jc w:val="both"/>
        <w:rPr>
          <w:rFonts w:cstheme="minorHAnsi"/>
          <w:color w:val="000000"/>
          <w:sz w:val="28"/>
          <w:szCs w:val="28"/>
        </w:rPr>
      </w:pPr>
      <w:r w:rsidRPr="00146016">
        <w:rPr>
          <w:rFonts w:cstheme="minorHAnsi"/>
          <w:color w:val="000000"/>
          <w:sz w:val="28"/>
          <w:szCs w:val="28"/>
        </w:rPr>
        <w:t>Today, it operates 7 integrated plants including one in the UAE and 13 grinding units, with a cement capacity of 62.8 MTPA. With a clear roadmap to reach 80 MTPA by 20</w:t>
      </w:r>
      <w:r w:rsidR="00DD715B">
        <w:rPr>
          <w:rFonts w:cstheme="minorHAnsi"/>
          <w:color w:val="000000"/>
          <w:sz w:val="28"/>
          <w:szCs w:val="28"/>
        </w:rPr>
        <w:t>28</w:t>
      </w:r>
      <w:r w:rsidRPr="00146016">
        <w:rPr>
          <w:rFonts w:cstheme="minorHAnsi"/>
          <w:color w:val="000000"/>
          <w:sz w:val="28"/>
          <w:szCs w:val="28"/>
        </w:rPr>
        <w:t>, Shree Cement continues its journey of innovation-led, sustainable growth.</w:t>
      </w:r>
      <w:r w:rsidR="003A3319" w:rsidRPr="003A3319">
        <w:rPr>
          <w:rFonts w:cstheme="minorHAnsi"/>
          <w:color w:val="000000"/>
          <w:sz w:val="28"/>
          <w:szCs w:val="28"/>
        </w:rPr>
        <w:t xml:space="preserve"> </w:t>
      </w:r>
      <w:r w:rsidR="003A3319" w:rsidRPr="00146016">
        <w:rPr>
          <w:rFonts w:cstheme="minorHAnsi"/>
          <w:color w:val="000000"/>
          <w:sz w:val="28"/>
          <w:szCs w:val="28"/>
        </w:rPr>
        <w:t>In 2024, Shree Cement underwent a brand transformation, unifying its identity under the </w:t>
      </w:r>
      <w:proofErr w:type="spellStart"/>
      <w:r w:rsidR="003A3319" w:rsidRPr="00146016">
        <w:rPr>
          <w:rFonts w:cstheme="minorHAnsi"/>
          <w:color w:val="000000"/>
          <w:sz w:val="28"/>
          <w:szCs w:val="28"/>
        </w:rPr>
        <w:t>Bangur</w:t>
      </w:r>
      <w:proofErr w:type="spellEnd"/>
      <w:r w:rsidR="003A3319" w:rsidRPr="00146016">
        <w:rPr>
          <w:rFonts w:cstheme="minorHAnsi"/>
          <w:color w:val="000000"/>
          <w:sz w:val="28"/>
          <w:szCs w:val="28"/>
        </w:rPr>
        <w:t> name</w:t>
      </w:r>
      <w:r w:rsidR="003A3319">
        <w:rPr>
          <w:rFonts w:cstheme="minorHAnsi"/>
          <w:color w:val="000000"/>
          <w:sz w:val="28"/>
          <w:szCs w:val="28"/>
        </w:rPr>
        <w:t>.</w:t>
      </w:r>
    </w:p>
    <w:p w:rsidR="000B0735" w:rsidRPr="000B0735" w:rsidRDefault="000B0735" w:rsidP="000B0735">
      <w:pPr>
        <w:spacing w:before="240" w:line="360" w:lineRule="auto"/>
        <w:contextualSpacing/>
        <w:jc w:val="both"/>
        <w:rPr>
          <w:rFonts w:cstheme="minorHAnsi"/>
          <w:color w:val="000000"/>
          <w:sz w:val="28"/>
          <w:szCs w:val="28"/>
        </w:rPr>
      </w:pPr>
      <w:r w:rsidRPr="000B0735">
        <w:rPr>
          <w:rFonts w:cstheme="minorHAnsi"/>
          <w:color w:val="000000"/>
          <w:sz w:val="28"/>
          <w:szCs w:val="28"/>
        </w:rPr>
        <w:lastRenderedPageBreak/>
        <w:t>Shree Cement reinforced its strategic emphasis on premiumisation and brand-driven growth during Q</w:t>
      </w:r>
      <w:r w:rsidR="00C50AED">
        <w:rPr>
          <w:rFonts w:cstheme="minorHAnsi"/>
          <w:color w:val="000000"/>
          <w:sz w:val="28"/>
          <w:szCs w:val="28"/>
        </w:rPr>
        <w:t>1</w:t>
      </w:r>
      <w:r w:rsidRPr="000B0735">
        <w:rPr>
          <w:rFonts w:cstheme="minorHAnsi"/>
          <w:color w:val="000000"/>
          <w:sz w:val="28"/>
          <w:szCs w:val="28"/>
        </w:rPr>
        <w:t xml:space="preserve">FY26 with the launch of </w:t>
      </w:r>
      <w:proofErr w:type="spellStart"/>
      <w:r w:rsidRPr="000B0735">
        <w:rPr>
          <w:rFonts w:cstheme="minorHAnsi"/>
          <w:color w:val="000000"/>
          <w:sz w:val="28"/>
          <w:szCs w:val="28"/>
        </w:rPr>
        <w:t>Bangur</w:t>
      </w:r>
      <w:proofErr w:type="spellEnd"/>
      <w:r w:rsidRPr="000B0735">
        <w:rPr>
          <w:rFonts w:cstheme="minorHAnsi"/>
          <w:color w:val="000000"/>
          <w:sz w:val="28"/>
          <w:szCs w:val="28"/>
        </w:rPr>
        <w:t xml:space="preserve"> Marble, a high-performance Portland Slag Cement (PSC), in Bihar, Jharkhand, and West Bengal. This addition further bolstered its premium portfolio, which includes </w:t>
      </w:r>
      <w:proofErr w:type="spellStart"/>
      <w:r w:rsidRPr="000B0735">
        <w:rPr>
          <w:rFonts w:cstheme="minorHAnsi"/>
          <w:color w:val="000000"/>
          <w:sz w:val="28"/>
          <w:szCs w:val="28"/>
        </w:rPr>
        <w:t>Bangur</w:t>
      </w:r>
      <w:proofErr w:type="spellEnd"/>
      <w:r w:rsidRPr="000B0735">
        <w:rPr>
          <w:rFonts w:cstheme="minorHAnsi"/>
          <w:color w:val="000000"/>
          <w:sz w:val="28"/>
          <w:szCs w:val="28"/>
        </w:rPr>
        <w:t xml:space="preserve"> Magna, </w:t>
      </w:r>
      <w:proofErr w:type="spellStart"/>
      <w:r w:rsidRPr="000B0735">
        <w:rPr>
          <w:rFonts w:cstheme="minorHAnsi"/>
          <w:color w:val="000000"/>
          <w:sz w:val="28"/>
          <w:szCs w:val="28"/>
        </w:rPr>
        <w:t>Roofon</w:t>
      </w:r>
      <w:proofErr w:type="spellEnd"/>
      <w:r w:rsidRPr="000B0735">
        <w:rPr>
          <w:rFonts w:cstheme="minorHAnsi"/>
          <w:color w:val="000000"/>
          <w:sz w:val="28"/>
          <w:szCs w:val="28"/>
        </w:rPr>
        <w:t xml:space="preserve"> Plus, </w:t>
      </w:r>
      <w:proofErr w:type="spellStart"/>
      <w:r w:rsidRPr="000B0735">
        <w:rPr>
          <w:rFonts w:cstheme="minorHAnsi"/>
          <w:color w:val="000000"/>
          <w:sz w:val="28"/>
          <w:szCs w:val="28"/>
        </w:rPr>
        <w:t>Rockstrong</w:t>
      </w:r>
      <w:proofErr w:type="spellEnd"/>
      <w:r w:rsidRPr="000B0735">
        <w:rPr>
          <w:rFonts w:cstheme="minorHAnsi"/>
          <w:color w:val="000000"/>
          <w:sz w:val="28"/>
          <w:szCs w:val="28"/>
        </w:rPr>
        <w:t xml:space="preserve">, and </w:t>
      </w:r>
      <w:proofErr w:type="spellStart"/>
      <w:r w:rsidRPr="000B0735">
        <w:rPr>
          <w:rFonts w:cstheme="minorHAnsi"/>
          <w:color w:val="000000"/>
          <w:sz w:val="28"/>
          <w:szCs w:val="28"/>
        </w:rPr>
        <w:t>Powermax</w:t>
      </w:r>
      <w:proofErr w:type="spellEnd"/>
      <w:r w:rsidRPr="000B0735">
        <w:rPr>
          <w:rFonts w:cstheme="minorHAnsi"/>
          <w:color w:val="000000"/>
          <w:sz w:val="28"/>
          <w:szCs w:val="28"/>
        </w:rPr>
        <w:t>. As a result, the share of premium products in trade sales rose to 17.7% in Q1FY26, up from 15.6% in Q4FY25, reflecting growing consumer preference for value-added offerings.</w:t>
      </w:r>
    </w:p>
    <w:p w:rsidR="000B0735" w:rsidRDefault="000B0735" w:rsidP="000B0735">
      <w:pPr>
        <w:spacing w:before="240" w:line="360" w:lineRule="auto"/>
        <w:contextualSpacing/>
        <w:jc w:val="both"/>
        <w:rPr>
          <w:rFonts w:cstheme="minorHAnsi"/>
          <w:color w:val="000000"/>
          <w:sz w:val="28"/>
          <w:szCs w:val="28"/>
        </w:rPr>
      </w:pPr>
    </w:p>
    <w:p w:rsidR="000B0735" w:rsidRPr="000B0735" w:rsidRDefault="000B0735" w:rsidP="000B0735">
      <w:pPr>
        <w:spacing w:before="240" w:line="360" w:lineRule="auto"/>
        <w:contextualSpacing/>
        <w:jc w:val="both"/>
        <w:rPr>
          <w:rFonts w:cstheme="minorHAnsi"/>
          <w:color w:val="000000"/>
          <w:sz w:val="28"/>
          <w:szCs w:val="28"/>
        </w:rPr>
      </w:pPr>
      <w:r w:rsidRPr="000B0735">
        <w:rPr>
          <w:rFonts w:cstheme="minorHAnsi"/>
          <w:color w:val="000000"/>
          <w:sz w:val="28"/>
          <w:szCs w:val="28"/>
        </w:rPr>
        <w:t>Its UAE operations continued to perform strongly, with revenue growing 19% year-on-year to AED 181.19 million. Operating profit (EBITDA) surged 397% to AED 44.86 million from AED 9.02 million in the same quarter last year, driven by robust demand and enhanced efficiency. Capitalising on this momentum, Shree Cement’s UAE subsidiary, Union Cement Company (UCC), announced a 3.0 MTPA capacity expansion with an investment of AED 110 million.</w:t>
      </w:r>
    </w:p>
    <w:p w:rsidR="000B0735" w:rsidRDefault="000B0735" w:rsidP="000B0735">
      <w:pPr>
        <w:spacing w:before="240" w:line="360" w:lineRule="auto"/>
        <w:contextualSpacing/>
        <w:jc w:val="both"/>
        <w:rPr>
          <w:rFonts w:cstheme="minorHAnsi"/>
          <w:color w:val="000000"/>
          <w:sz w:val="28"/>
          <w:szCs w:val="28"/>
        </w:rPr>
      </w:pPr>
    </w:p>
    <w:p w:rsidR="00A03890" w:rsidRDefault="00A03890" w:rsidP="00FB1421">
      <w:pPr>
        <w:spacing w:before="240" w:line="360" w:lineRule="auto"/>
        <w:contextualSpacing/>
        <w:jc w:val="both"/>
        <w:rPr>
          <w:rFonts w:cstheme="minorHAnsi"/>
          <w:color w:val="000000"/>
          <w:sz w:val="28"/>
          <w:szCs w:val="28"/>
        </w:rPr>
      </w:pPr>
      <w:r w:rsidRPr="00A03890">
        <w:rPr>
          <w:rFonts w:cstheme="minorHAnsi"/>
          <w:color w:val="000000"/>
          <w:sz w:val="28"/>
          <w:szCs w:val="28"/>
        </w:rPr>
        <w:t xml:space="preserve">Shree Cement reinforced its sustainability leadership with top-tier ESG ratings and inclusion in the S&amp;P Global Sustainability Yearbook. In Q1FY26, green electricity made up 65.65% of total power consumption—one of the highest in India’s cement sector—with green power capacity reaching 586 MW out of 1,085 MW. The company used 0.15 lakh tonnes of </w:t>
      </w:r>
      <w:proofErr w:type="spellStart"/>
      <w:r w:rsidRPr="00A03890">
        <w:rPr>
          <w:rFonts w:cstheme="minorHAnsi"/>
          <w:color w:val="000000"/>
          <w:sz w:val="28"/>
          <w:szCs w:val="28"/>
        </w:rPr>
        <w:t>agro</w:t>
      </w:r>
      <w:proofErr w:type="spellEnd"/>
      <w:r w:rsidRPr="00A03890">
        <w:rPr>
          <w:rFonts w:cstheme="minorHAnsi"/>
          <w:color w:val="000000"/>
          <w:sz w:val="28"/>
          <w:szCs w:val="28"/>
        </w:rPr>
        <w:t xml:space="preserve"> waste, generating 51 billion </w:t>
      </w:r>
      <w:proofErr w:type="spellStart"/>
      <w:r w:rsidRPr="00A03890">
        <w:rPr>
          <w:rFonts w:cstheme="minorHAnsi"/>
          <w:color w:val="000000"/>
          <w:sz w:val="28"/>
          <w:szCs w:val="28"/>
        </w:rPr>
        <w:t>kCal</w:t>
      </w:r>
      <w:proofErr w:type="spellEnd"/>
      <w:r w:rsidRPr="00A03890">
        <w:rPr>
          <w:rFonts w:cstheme="minorHAnsi"/>
          <w:color w:val="000000"/>
          <w:sz w:val="28"/>
          <w:szCs w:val="28"/>
        </w:rPr>
        <w:t xml:space="preserve"> of energy and cutting 0.20 lakh tonnes of CO₂ emissions. In the NCR, it sourced 2,877 tonnes of stubble, and also consumed 0.53 lakh tonnes of hazardous waste, replacing 32 billion </w:t>
      </w:r>
      <w:proofErr w:type="spellStart"/>
      <w:r w:rsidRPr="00A03890">
        <w:rPr>
          <w:rFonts w:cstheme="minorHAnsi"/>
          <w:color w:val="000000"/>
          <w:sz w:val="28"/>
          <w:szCs w:val="28"/>
        </w:rPr>
        <w:t>kCal</w:t>
      </w:r>
      <w:proofErr w:type="spellEnd"/>
      <w:r w:rsidRPr="00A03890">
        <w:rPr>
          <w:rFonts w:cstheme="minorHAnsi"/>
          <w:color w:val="000000"/>
          <w:sz w:val="28"/>
          <w:szCs w:val="28"/>
        </w:rPr>
        <w:t xml:space="preserve"> of fossil fuel-based energy, supporting its decarbonisation efforts.</w:t>
      </w:r>
    </w:p>
    <w:p w:rsidR="00A03890" w:rsidRDefault="00A03890" w:rsidP="00FB1421">
      <w:pPr>
        <w:spacing w:before="240" w:line="360" w:lineRule="auto"/>
        <w:contextualSpacing/>
        <w:jc w:val="both"/>
        <w:rPr>
          <w:rFonts w:cstheme="minorHAnsi"/>
          <w:color w:val="000000"/>
          <w:sz w:val="28"/>
          <w:szCs w:val="28"/>
        </w:rPr>
      </w:pPr>
    </w:p>
    <w:p w:rsidR="00A03890" w:rsidRDefault="000B0735" w:rsidP="00FB1421">
      <w:pPr>
        <w:spacing w:before="240" w:line="360" w:lineRule="auto"/>
        <w:contextualSpacing/>
        <w:jc w:val="both"/>
        <w:rPr>
          <w:rFonts w:cstheme="minorHAnsi"/>
          <w:color w:val="000000"/>
          <w:sz w:val="28"/>
          <w:szCs w:val="28"/>
        </w:rPr>
      </w:pPr>
      <w:r w:rsidRPr="000B0735">
        <w:rPr>
          <w:rFonts w:cstheme="minorHAnsi"/>
          <w:color w:val="000000"/>
          <w:sz w:val="28"/>
          <w:szCs w:val="28"/>
        </w:rPr>
        <w:t>Shree Cement showcased strong operational growth, expanded its premium portfolio, advanced its UAE business, and reaffirmed its leadership in green energy and sustainable practices.</w:t>
      </w:r>
    </w:p>
    <w:p w:rsidR="00DD3432" w:rsidRPr="00A03890" w:rsidRDefault="00153BEC" w:rsidP="00FB1421">
      <w:pPr>
        <w:spacing w:before="240" w:line="360" w:lineRule="auto"/>
        <w:contextualSpacing/>
        <w:jc w:val="both"/>
        <w:rPr>
          <w:rFonts w:cstheme="minorHAnsi"/>
          <w:color w:val="000000"/>
          <w:sz w:val="28"/>
          <w:szCs w:val="28"/>
        </w:rPr>
      </w:pPr>
      <w:r w:rsidRPr="00E14055">
        <w:rPr>
          <w:b/>
          <w:bCs/>
          <w:color w:val="EE0000"/>
          <w:sz w:val="36"/>
          <w:szCs w:val="36"/>
          <w:lang w:val="en-GB"/>
        </w:rPr>
        <w:lastRenderedPageBreak/>
        <w:t>FINANCIAL INFORMATION</w:t>
      </w:r>
    </w:p>
    <w:tbl>
      <w:tblPr>
        <w:tblStyle w:val="TableGrid"/>
        <w:tblW w:w="0" w:type="auto"/>
        <w:tblLook w:val="04A0" w:firstRow="1" w:lastRow="0" w:firstColumn="1" w:lastColumn="0" w:noHBand="0" w:noVBand="1"/>
      </w:tblPr>
      <w:tblGrid>
        <w:gridCol w:w="2038"/>
        <w:gridCol w:w="2038"/>
        <w:gridCol w:w="2039"/>
      </w:tblGrid>
      <w:tr w:rsidR="00153BEC" w:rsidTr="00E14055">
        <w:trPr>
          <w:trHeight w:val="515"/>
        </w:trPr>
        <w:tc>
          <w:tcPr>
            <w:tcW w:w="2038" w:type="dxa"/>
            <w:shd w:val="clear" w:color="auto" w:fill="AEAAAA" w:themeFill="background2" w:themeFillShade="BF"/>
          </w:tcPr>
          <w:p w:rsidR="00153BEC" w:rsidRPr="00E14055" w:rsidRDefault="00153BEC" w:rsidP="00153BEC">
            <w:pPr>
              <w:spacing w:before="240" w:line="360" w:lineRule="auto"/>
              <w:contextualSpacing/>
              <w:jc w:val="center"/>
              <w:rPr>
                <w:b/>
                <w:bCs/>
                <w:color w:val="EE0000"/>
                <w:sz w:val="28"/>
                <w:szCs w:val="28"/>
                <w:lang w:val="en-GB"/>
              </w:rPr>
            </w:pPr>
            <w:r w:rsidRPr="00E14055">
              <w:rPr>
                <w:b/>
                <w:bCs/>
                <w:color w:val="EE0000"/>
                <w:sz w:val="28"/>
                <w:szCs w:val="28"/>
                <w:lang w:val="en-GB"/>
              </w:rPr>
              <w:t>INR MILLIONS</w:t>
            </w:r>
          </w:p>
        </w:tc>
        <w:tc>
          <w:tcPr>
            <w:tcW w:w="2038" w:type="dxa"/>
            <w:shd w:val="clear" w:color="auto" w:fill="AEAAAA" w:themeFill="background2" w:themeFillShade="BF"/>
          </w:tcPr>
          <w:p w:rsidR="00153BEC" w:rsidRPr="00E14055" w:rsidRDefault="00153BEC" w:rsidP="00153BEC">
            <w:pPr>
              <w:spacing w:before="240" w:line="360" w:lineRule="auto"/>
              <w:contextualSpacing/>
              <w:jc w:val="center"/>
              <w:rPr>
                <w:b/>
                <w:bCs/>
                <w:color w:val="EE0000"/>
                <w:sz w:val="28"/>
                <w:szCs w:val="28"/>
                <w:lang w:val="en-GB"/>
              </w:rPr>
            </w:pPr>
            <w:r w:rsidRPr="00E14055">
              <w:rPr>
                <w:b/>
                <w:bCs/>
                <w:color w:val="EE0000"/>
                <w:sz w:val="28"/>
                <w:szCs w:val="28"/>
                <w:lang w:val="en-GB"/>
              </w:rPr>
              <w:t>FY2</w:t>
            </w:r>
            <w:r w:rsidR="00E14055" w:rsidRPr="00E14055">
              <w:rPr>
                <w:b/>
                <w:bCs/>
                <w:color w:val="EE0000"/>
                <w:sz w:val="28"/>
                <w:szCs w:val="28"/>
                <w:lang w:val="en-GB"/>
              </w:rPr>
              <w:t>5</w:t>
            </w:r>
          </w:p>
        </w:tc>
        <w:tc>
          <w:tcPr>
            <w:tcW w:w="2039" w:type="dxa"/>
            <w:shd w:val="clear" w:color="auto" w:fill="AEAAAA" w:themeFill="background2" w:themeFillShade="BF"/>
          </w:tcPr>
          <w:p w:rsidR="00153BEC" w:rsidRPr="00E14055" w:rsidRDefault="00153BEC" w:rsidP="00153BEC">
            <w:pPr>
              <w:spacing w:before="240" w:line="360" w:lineRule="auto"/>
              <w:contextualSpacing/>
              <w:jc w:val="center"/>
              <w:rPr>
                <w:b/>
                <w:bCs/>
                <w:color w:val="EE0000"/>
                <w:sz w:val="28"/>
                <w:szCs w:val="28"/>
                <w:lang w:val="en-GB"/>
              </w:rPr>
            </w:pPr>
            <w:r w:rsidRPr="00E14055">
              <w:rPr>
                <w:b/>
                <w:bCs/>
                <w:color w:val="EE0000"/>
                <w:sz w:val="28"/>
                <w:szCs w:val="28"/>
                <w:lang w:val="en-GB"/>
              </w:rPr>
              <w:t>FY2</w:t>
            </w:r>
            <w:r w:rsidR="00E14055" w:rsidRPr="00E14055">
              <w:rPr>
                <w:b/>
                <w:bCs/>
                <w:color w:val="EE0000"/>
                <w:sz w:val="28"/>
                <w:szCs w:val="28"/>
                <w:lang w:val="en-GB"/>
              </w:rPr>
              <w:t>4</w:t>
            </w:r>
          </w:p>
        </w:tc>
      </w:tr>
      <w:tr w:rsidR="00153BEC" w:rsidTr="00153BEC">
        <w:trPr>
          <w:trHeight w:val="526"/>
        </w:trPr>
        <w:tc>
          <w:tcPr>
            <w:tcW w:w="2038" w:type="dxa"/>
          </w:tcPr>
          <w:p w:rsidR="00153BEC" w:rsidRPr="00153BEC" w:rsidRDefault="00153BEC" w:rsidP="00153BEC">
            <w:pPr>
              <w:spacing w:before="240" w:line="360" w:lineRule="auto"/>
              <w:contextualSpacing/>
              <w:jc w:val="center"/>
              <w:rPr>
                <w:color w:val="000000" w:themeColor="text1"/>
                <w:lang w:val="en-GB"/>
              </w:rPr>
            </w:pPr>
            <w:r w:rsidRPr="00153BEC">
              <w:rPr>
                <w:color w:val="000000" w:themeColor="text1"/>
                <w:lang w:val="en-GB"/>
              </w:rPr>
              <w:t>Total Assets</w:t>
            </w:r>
          </w:p>
        </w:tc>
        <w:tc>
          <w:tcPr>
            <w:tcW w:w="2038" w:type="dxa"/>
          </w:tcPr>
          <w:p w:rsidR="00153BEC" w:rsidRPr="00153BEC" w:rsidRDefault="003766B6" w:rsidP="00153BEC">
            <w:pPr>
              <w:spacing w:before="240" w:line="360" w:lineRule="auto"/>
              <w:contextualSpacing/>
              <w:jc w:val="center"/>
              <w:rPr>
                <w:color w:val="000000" w:themeColor="text1"/>
                <w:lang w:val="en-GB"/>
              </w:rPr>
            </w:pPr>
            <w:r>
              <w:rPr>
                <w:color w:val="000000" w:themeColor="text1"/>
                <w:lang w:val="en-GB"/>
              </w:rPr>
              <w:t>28,492</w:t>
            </w:r>
          </w:p>
        </w:tc>
        <w:tc>
          <w:tcPr>
            <w:tcW w:w="2039" w:type="dxa"/>
          </w:tcPr>
          <w:p w:rsidR="00153BEC" w:rsidRPr="00153BEC" w:rsidRDefault="003766B6" w:rsidP="00153BEC">
            <w:pPr>
              <w:spacing w:before="240" w:line="360" w:lineRule="auto"/>
              <w:contextualSpacing/>
              <w:jc w:val="center"/>
              <w:rPr>
                <w:color w:val="000000" w:themeColor="text1"/>
                <w:lang w:val="en-GB"/>
              </w:rPr>
            </w:pPr>
            <w:r>
              <w:rPr>
                <w:color w:val="000000" w:themeColor="text1"/>
                <w:lang w:val="en-GB"/>
              </w:rPr>
              <w:t>27,953</w:t>
            </w:r>
          </w:p>
        </w:tc>
      </w:tr>
      <w:tr w:rsidR="00153BEC" w:rsidTr="00153BEC">
        <w:trPr>
          <w:trHeight w:val="515"/>
        </w:trPr>
        <w:tc>
          <w:tcPr>
            <w:tcW w:w="2038" w:type="dxa"/>
          </w:tcPr>
          <w:p w:rsidR="00153BEC" w:rsidRPr="00153BEC" w:rsidRDefault="00153BEC" w:rsidP="00153BEC">
            <w:pPr>
              <w:spacing w:before="240" w:line="360" w:lineRule="auto"/>
              <w:contextualSpacing/>
              <w:jc w:val="center"/>
              <w:rPr>
                <w:color w:val="000000" w:themeColor="text1"/>
                <w:lang w:val="en-GB"/>
              </w:rPr>
            </w:pPr>
            <w:r w:rsidRPr="00153BEC">
              <w:rPr>
                <w:color w:val="000000" w:themeColor="text1"/>
                <w:lang w:val="en-GB"/>
              </w:rPr>
              <w:t>EBIT</w:t>
            </w:r>
          </w:p>
        </w:tc>
        <w:tc>
          <w:tcPr>
            <w:tcW w:w="2038" w:type="dxa"/>
          </w:tcPr>
          <w:p w:rsidR="00153BEC" w:rsidRPr="00153BEC" w:rsidRDefault="00E14055" w:rsidP="00153BEC">
            <w:pPr>
              <w:spacing w:before="240" w:line="360" w:lineRule="auto"/>
              <w:contextualSpacing/>
              <w:jc w:val="center"/>
              <w:rPr>
                <w:color w:val="000000" w:themeColor="text1"/>
                <w:lang w:val="en-GB"/>
              </w:rPr>
            </w:pPr>
            <w:r>
              <w:rPr>
                <w:color w:val="000000" w:themeColor="text1"/>
                <w:lang w:val="en-GB"/>
              </w:rPr>
              <w:t>927</w:t>
            </w:r>
          </w:p>
        </w:tc>
        <w:tc>
          <w:tcPr>
            <w:tcW w:w="2039" w:type="dxa"/>
          </w:tcPr>
          <w:p w:rsidR="00153BEC" w:rsidRPr="00153BEC" w:rsidRDefault="00D834C7" w:rsidP="00153BEC">
            <w:pPr>
              <w:spacing w:before="240" w:line="360" w:lineRule="auto"/>
              <w:contextualSpacing/>
              <w:jc w:val="center"/>
              <w:rPr>
                <w:color w:val="000000" w:themeColor="text1"/>
                <w:lang w:val="en-GB"/>
              </w:rPr>
            </w:pPr>
            <w:r>
              <w:rPr>
                <w:color w:val="000000" w:themeColor="text1"/>
                <w:lang w:val="en-GB"/>
              </w:rPr>
              <w:t>2</w:t>
            </w:r>
            <w:r w:rsidR="00E14055">
              <w:rPr>
                <w:color w:val="000000" w:themeColor="text1"/>
                <w:lang w:val="en-GB"/>
              </w:rPr>
              <w:t>,619</w:t>
            </w:r>
          </w:p>
        </w:tc>
      </w:tr>
      <w:tr w:rsidR="00153BEC" w:rsidTr="00153BEC">
        <w:trPr>
          <w:trHeight w:val="515"/>
        </w:trPr>
        <w:tc>
          <w:tcPr>
            <w:tcW w:w="2038" w:type="dxa"/>
          </w:tcPr>
          <w:p w:rsidR="00153BEC" w:rsidRPr="00153BEC" w:rsidRDefault="00153BEC" w:rsidP="00153BEC">
            <w:pPr>
              <w:spacing w:before="240" w:line="360" w:lineRule="auto"/>
              <w:contextualSpacing/>
              <w:jc w:val="center"/>
              <w:rPr>
                <w:color w:val="000000" w:themeColor="text1"/>
                <w:lang w:val="en-GB"/>
              </w:rPr>
            </w:pPr>
            <w:r w:rsidRPr="00153BEC">
              <w:rPr>
                <w:color w:val="000000" w:themeColor="text1"/>
                <w:lang w:val="en-GB"/>
              </w:rPr>
              <w:t>PAT</w:t>
            </w:r>
          </w:p>
        </w:tc>
        <w:tc>
          <w:tcPr>
            <w:tcW w:w="2038" w:type="dxa"/>
          </w:tcPr>
          <w:p w:rsidR="00153BEC" w:rsidRPr="00153BEC" w:rsidRDefault="00E14055" w:rsidP="00C6472A">
            <w:pPr>
              <w:spacing w:before="240" w:line="360" w:lineRule="auto"/>
              <w:contextualSpacing/>
              <w:jc w:val="center"/>
              <w:rPr>
                <w:color w:val="000000" w:themeColor="text1"/>
                <w:lang w:val="en-GB"/>
              </w:rPr>
            </w:pPr>
            <w:r>
              <w:rPr>
                <w:color w:val="000000" w:themeColor="text1"/>
                <w:lang w:val="en-GB"/>
              </w:rPr>
              <w:t>1</w:t>
            </w:r>
            <w:r w:rsidR="00D834C7">
              <w:rPr>
                <w:color w:val="000000" w:themeColor="text1"/>
                <w:lang w:val="en-GB"/>
              </w:rPr>
              <w:t>,</w:t>
            </w:r>
            <w:r>
              <w:rPr>
                <w:color w:val="000000" w:themeColor="text1"/>
                <w:lang w:val="en-GB"/>
              </w:rPr>
              <w:t>124</w:t>
            </w:r>
          </w:p>
        </w:tc>
        <w:tc>
          <w:tcPr>
            <w:tcW w:w="2039" w:type="dxa"/>
          </w:tcPr>
          <w:p w:rsidR="00153BEC" w:rsidRPr="00153BEC" w:rsidRDefault="00E14055" w:rsidP="00C6472A">
            <w:pPr>
              <w:spacing w:before="240" w:line="360" w:lineRule="auto"/>
              <w:contextualSpacing/>
              <w:jc w:val="center"/>
              <w:rPr>
                <w:color w:val="000000" w:themeColor="text1"/>
                <w:lang w:val="en-GB"/>
              </w:rPr>
            </w:pPr>
            <w:r>
              <w:rPr>
                <w:color w:val="000000" w:themeColor="text1"/>
                <w:lang w:val="en-GB"/>
              </w:rPr>
              <w:t>2,396</w:t>
            </w:r>
          </w:p>
        </w:tc>
      </w:tr>
      <w:tr w:rsidR="00153BEC" w:rsidTr="00153BEC">
        <w:trPr>
          <w:trHeight w:val="526"/>
        </w:trPr>
        <w:tc>
          <w:tcPr>
            <w:tcW w:w="2038" w:type="dxa"/>
          </w:tcPr>
          <w:p w:rsidR="00153BEC" w:rsidRPr="00153BEC" w:rsidRDefault="00044DA1" w:rsidP="00153BEC">
            <w:pPr>
              <w:spacing w:before="240" w:line="360" w:lineRule="auto"/>
              <w:contextualSpacing/>
              <w:jc w:val="center"/>
              <w:rPr>
                <w:color w:val="000000" w:themeColor="text1"/>
                <w:lang w:val="en-GB"/>
              </w:rPr>
            </w:pPr>
            <w:r>
              <w:rPr>
                <w:color w:val="000000" w:themeColor="text1"/>
                <w:lang w:val="en-GB"/>
              </w:rPr>
              <w:t xml:space="preserve">Total </w:t>
            </w:r>
            <w:r w:rsidR="00153BEC" w:rsidRPr="00153BEC">
              <w:rPr>
                <w:color w:val="000000" w:themeColor="text1"/>
                <w:lang w:val="en-GB"/>
              </w:rPr>
              <w:t>Revenue</w:t>
            </w:r>
          </w:p>
        </w:tc>
        <w:tc>
          <w:tcPr>
            <w:tcW w:w="2038" w:type="dxa"/>
          </w:tcPr>
          <w:p w:rsidR="00153BEC" w:rsidRPr="00153BEC" w:rsidRDefault="00E14055" w:rsidP="00153BEC">
            <w:pPr>
              <w:spacing w:before="240" w:line="360" w:lineRule="auto"/>
              <w:contextualSpacing/>
              <w:jc w:val="center"/>
              <w:rPr>
                <w:color w:val="000000" w:themeColor="text1"/>
                <w:lang w:val="en-GB"/>
              </w:rPr>
            </w:pPr>
            <w:r>
              <w:rPr>
                <w:color w:val="000000" w:themeColor="text1"/>
                <w:lang w:val="en-GB"/>
              </w:rPr>
              <w:t>19</w:t>
            </w:r>
            <w:r w:rsidR="00D834C7">
              <w:rPr>
                <w:color w:val="000000" w:themeColor="text1"/>
                <w:lang w:val="en-GB"/>
              </w:rPr>
              <w:t>,</w:t>
            </w:r>
            <w:r>
              <w:rPr>
                <w:color w:val="000000" w:themeColor="text1"/>
                <w:lang w:val="en-GB"/>
              </w:rPr>
              <w:t>283</w:t>
            </w:r>
          </w:p>
        </w:tc>
        <w:tc>
          <w:tcPr>
            <w:tcW w:w="2039" w:type="dxa"/>
          </w:tcPr>
          <w:p w:rsidR="00D834C7" w:rsidRPr="00153BEC" w:rsidRDefault="00E14055" w:rsidP="00D834C7">
            <w:pPr>
              <w:spacing w:before="240" w:line="360" w:lineRule="auto"/>
              <w:contextualSpacing/>
              <w:jc w:val="center"/>
              <w:rPr>
                <w:color w:val="000000" w:themeColor="text1"/>
                <w:lang w:val="en-GB"/>
              </w:rPr>
            </w:pPr>
            <w:r>
              <w:rPr>
                <w:color w:val="000000" w:themeColor="text1"/>
                <w:lang w:val="en-GB"/>
              </w:rPr>
              <w:t>20</w:t>
            </w:r>
            <w:r w:rsidR="00D834C7">
              <w:rPr>
                <w:color w:val="000000" w:themeColor="text1"/>
                <w:lang w:val="en-GB"/>
              </w:rPr>
              <w:t>,</w:t>
            </w:r>
            <w:r>
              <w:rPr>
                <w:color w:val="000000" w:themeColor="text1"/>
                <w:lang w:val="en-GB"/>
              </w:rPr>
              <w:t>404</w:t>
            </w:r>
          </w:p>
        </w:tc>
      </w:tr>
    </w:tbl>
    <w:p w:rsidR="00153BEC" w:rsidRPr="001712BC" w:rsidRDefault="00C6472A" w:rsidP="00FB1421">
      <w:pPr>
        <w:spacing w:before="240" w:line="360" w:lineRule="auto"/>
        <w:contextualSpacing/>
        <w:jc w:val="both"/>
        <w:rPr>
          <w:i/>
          <w:iCs/>
          <w:sz w:val="18"/>
          <w:szCs w:val="18"/>
          <w:lang w:val="en-GB"/>
        </w:rPr>
      </w:pPr>
      <w:r w:rsidRPr="001712BC">
        <w:rPr>
          <w:i/>
          <w:iCs/>
          <w:sz w:val="18"/>
          <w:szCs w:val="18"/>
          <w:lang w:val="en-GB"/>
        </w:rPr>
        <w:t>Source: Company Annual Reports</w:t>
      </w:r>
    </w:p>
    <w:p w:rsidR="00523D49" w:rsidRDefault="000B0735" w:rsidP="00B12703">
      <w:pPr>
        <w:spacing w:before="240" w:line="360" w:lineRule="auto"/>
        <w:contextualSpacing/>
        <w:jc w:val="both"/>
        <w:rPr>
          <w:rFonts w:cstheme="minorHAnsi"/>
          <w:color w:val="000000"/>
          <w:sz w:val="27"/>
          <w:szCs w:val="27"/>
        </w:rPr>
      </w:pPr>
      <w:r w:rsidRPr="000B0735">
        <w:rPr>
          <w:rFonts w:cstheme="minorHAnsi"/>
          <w:color w:val="000000"/>
          <w:sz w:val="27"/>
          <w:szCs w:val="27"/>
        </w:rPr>
        <w:t>On a standalone basis, Shree Cement reported net revenue of ₹4,948 crore in Q1FY26, up 2% from ₹4,835 crore in Q1FY25. EBITDA rose 34% to ₹1,229 crore from ₹916 crore, while profit after tax surged 95% to ₹619 crore compared to ₹318 crore last year. Cash profit stood at ₹1,161 crore, marking a 24% increase over ₹938 crore in the corresponding quarter of the previous year.</w:t>
      </w:r>
    </w:p>
    <w:p w:rsidR="003766B6" w:rsidRDefault="003766B6" w:rsidP="00B12703">
      <w:pPr>
        <w:spacing w:before="240" w:line="360" w:lineRule="auto"/>
        <w:contextualSpacing/>
        <w:jc w:val="both"/>
        <w:rPr>
          <w:color w:val="000000" w:themeColor="text1"/>
          <w:sz w:val="28"/>
          <w:szCs w:val="28"/>
        </w:rPr>
      </w:pPr>
    </w:p>
    <w:p w:rsidR="00A03890" w:rsidRDefault="003766B6" w:rsidP="00B12703">
      <w:pPr>
        <w:spacing w:before="240" w:line="360" w:lineRule="auto"/>
        <w:contextualSpacing/>
        <w:jc w:val="both"/>
        <w:rPr>
          <w:color w:val="000000" w:themeColor="text1"/>
          <w:sz w:val="28"/>
          <w:szCs w:val="28"/>
        </w:rPr>
      </w:pPr>
      <w:r w:rsidRPr="003766B6">
        <w:rPr>
          <w:color w:val="000000" w:themeColor="text1"/>
          <w:sz w:val="28"/>
          <w:szCs w:val="28"/>
        </w:rPr>
        <w:t>EPS fell to ₹</w:t>
      </w:r>
      <w:r w:rsidR="00F52B9F">
        <w:rPr>
          <w:color w:val="000000" w:themeColor="text1"/>
          <w:sz w:val="28"/>
          <w:szCs w:val="28"/>
        </w:rPr>
        <w:t>311</w:t>
      </w:r>
      <w:r w:rsidRPr="003766B6">
        <w:rPr>
          <w:color w:val="000000" w:themeColor="text1"/>
          <w:sz w:val="28"/>
          <w:szCs w:val="28"/>
        </w:rPr>
        <w:t>.</w:t>
      </w:r>
      <w:r w:rsidR="00F52B9F">
        <w:rPr>
          <w:color w:val="000000" w:themeColor="text1"/>
          <w:sz w:val="28"/>
          <w:szCs w:val="28"/>
        </w:rPr>
        <w:t>18</w:t>
      </w:r>
      <w:r w:rsidRPr="003766B6">
        <w:rPr>
          <w:color w:val="000000" w:themeColor="text1"/>
          <w:sz w:val="28"/>
          <w:szCs w:val="28"/>
        </w:rPr>
        <w:t xml:space="preserve"> in FY25 from ₹</w:t>
      </w:r>
      <w:r w:rsidR="00F52B9F">
        <w:rPr>
          <w:color w:val="000000" w:themeColor="text1"/>
          <w:sz w:val="28"/>
          <w:szCs w:val="28"/>
        </w:rPr>
        <w:t>66</w:t>
      </w:r>
      <w:r w:rsidRPr="003766B6">
        <w:rPr>
          <w:color w:val="000000" w:themeColor="text1"/>
          <w:sz w:val="28"/>
          <w:szCs w:val="28"/>
        </w:rPr>
        <w:t>3.</w:t>
      </w:r>
      <w:r w:rsidR="00F52B9F">
        <w:rPr>
          <w:color w:val="000000" w:themeColor="text1"/>
          <w:sz w:val="28"/>
          <w:szCs w:val="28"/>
        </w:rPr>
        <w:t>9</w:t>
      </w:r>
      <w:r w:rsidRPr="003766B6">
        <w:rPr>
          <w:color w:val="000000" w:themeColor="text1"/>
          <w:sz w:val="28"/>
          <w:szCs w:val="28"/>
        </w:rPr>
        <w:t>8 in FY24, signalling weaker earnings performance. Despite elevated capital spending, the dividend in FY25 was ₹110 per share, only marginally higher than ₹105 per share in FY24, reflecting muted shareholder returns.</w:t>
      </w:r>
    </w:p>
    <w:p w:rsidR="003766B6" w:rsidRDefault="003766B6" w:rsidP="00B12703">
      <w:pPr>
        <w:spacing w:before="240" w:line="360" w:lineRule="auto"/>
        <w:contextualSpacing/>
        <w:jc w:val="both"/>
        <w:rPr>
          <w:color w:val="000000" w:themeColor="text1"/>
          <w:sz w:val="28"/>
          <w:szCs w:val="28"/>
        </w:rPr>
      </w:pPr>
    </w:p>
    <w:p w:rsidR="000B0735" w:rsidRPr="00B12703" w:rsidRDefault="003766B6" w:rsidP="00B12703">
      <w:pPr>
        <w:spacing w:before="240" w:line="360" w:lineRule="auto"/>
        <w:contextualSpacing/>
        <w:jc w:val="both"/>
        <w:rPr>
          <w:color w:val="000000" w:themeColor="text1"/>
          <w:sz w:val="28"/>
          <w:szCs w:val="28"/>
        </w:rPr>
      </w:pPr>
      <w:r w:rsidRPr="003766B6">
        <w:rPr>
          <w:color w:val="000000" w:themeColor="text1"/>
          <w:sz w:val="28"/>
          <w:szCs w:val="28"/>
        </w:rPr>
        <w:t>Overall, while short-term quarterly performance shows strong recovery momentum in FY26, the FY25 annual results point to a challenging year marked by earnings deterioration and subdued returns.</w:t>
      </w:r>
    </w:p>
    <w:tbl>
      <w:tblPr>
        <w:tblStyle w:val="TableGrid"/>
        <w:tblpPr w:leftFromText="180" w:rightFromText="180" w:vertAnchor="text" w:horzAnchor="margin" w:tblpY="104"/>
        <w:tblW w:w="0" w:type="auto"/>
        <w:tblLook w:val="04A0" w:firstRow="1" w:lastRow="0" w:firstColumn="1" w:lastColumn="0" w:noHBand="0" w:noVBand="1"/>
      </w:tblPr>
      <w:tblGrid>
        <w:gridCol w:w="4589"/>
        <w:gridCol w:w="4589"/>
      </w:tblGrid>
      <w:tr w:rsidR="00C1237C" w:rsidTr="003766B6">
        <w:trPr>
          <w:trHeight w:val="428"/>
        </w:trPr>
        <w:tc>
          <w:tcPr>
            <w:tcW w:w="4589"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sidRPr="00D5192A">
              <w:rPr>
                <w:b/>
                <w:bCs/>
                <w:color w:val="000000" w:themeColor="text1"/>
                <w:sz w:val="28"/>
                <w:szCs w:val="28"/>
              </w:rPr>
              <w:t>Price to Book Value</w:t>
            </w:r>
          </w:p>
        </w:tc>
        <w:tc>
          <w:tcPr>
            <w:tcW w:w="4589" w:type="dxa"/>
          </w:tcPr>
          <w:p w:rsidR="00C1237C" w:rsidRPr="004C71C5" w:rsidRDefault="00692ED7" w:rsidP="00C1237C">
            <w:pPr>
              <w:spacing w:before="240" w:line="360" w:lineRule="auto"/>
              <w:contextualSpacing/>
              <w:rPr>
                <w:color w:val="000000" w:themeColor="text1"/>
              </w:rPr>
            </w:pPr>
            <w:r>
              <w:rPr>
                <w:color w:val="000000" w:themeColor="text1"/>
              </w:rPr>
              <w:t>5</w:t>
            </w:r>
            <w:r w:rsidR="00C1237C">
              <w:rPr>
                <w:color w:val="000000" w:themeColor="text1"/>
              </w:rPr>
              <w:t>.</w:t>
            </w:r>
            <w:r w:rsidR="00F52B9F">
              <w:rPr>
                <w:color w:val="000000" w:themeColor="text1"/>
              </w:rPr>
              <w:t>08</w:t>
            </w:r>
          </w:p>
        </w:tc>
      </w:tr>
      <w:tr w:rsidR="00C1237C" w:rsidTr="003766B6">
        <w:trPr>
          <w:trHeight w:val="444"/>
        </w:trPr>
        <w:tc>
          <w:tcPr>
            <w:tcW w:w="4589"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sidRPr="00D5192A">
              <w:rPr>
                <w:b/>
                <w:bCs/>
                <w:color w:val="000000" w:themeColor="text1"/>
                <w:sz w:val="28"/>
                <w:szCs w:val="28"/>
              </w:rPr>
              <w:t>Dividend Yield</w:t>
            </w:r>
          </w:p>
        </w:tc>
        <w:tc>
          <w:tcPr>
            <w:tcW w:w="4589" w:type="dxa"/>
          </w:tcPr>
          <w:p w:rsidR="00C1237C" w:rsidRPr="004C71C5" w:rsidRDefault="00692ED7" w:rsidP="00C1237C">
            <w:pPr>
              <w:spacing w:before="240" w:line="360" w:lineRule="auto"/>
              <w:contextualSpacing/>
              <w:rPr>
                <w:color w:val="000000" w:themeColor="text1"/>
              </w:rPr>
            </w:pPr>
            <w:r>
              <w:rPr>
                <w:color w:val="000000" w:themeColor="text1"/>
              </w:rPr>
              <w:t>0.36</w:t>
            </w:r>
          </w:p>
        </w:tc>
      </w:tr>
      <w:tr w:rsidR="00C1237C" w:rsidTr="003766B6">
        <w:trPr>
          <w:trHeight w:val="428"/>
        </w:trPr>
        <w:tc>
          <w:tcPr>
            <w:tcW w:w="4589"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sidRPr="00D5192A">
              <w:rPr>
                <w:b/>
                <w:bCs/>
                <w:color w:val="000000" w:themeColor="text1"/>
                <w:sz w:val="28"/>
                <w:szCs w:val="28"/>
              </w:rPr>
              <w:t>Return on Assets (ROA)</w:t>
            </w:r>
          </w:p>
        </w:tc>
        <w:tc>
          <w:tcPr>
            <w:tcW w:w="4589" w:type="dxa"/>
          </w:tcPr>
          <w:p w:rsidR="00C1237C" w:rsidRPr="00D5192A" w:rsidRDefault="00244B5E" w:rsidP="00C1237C">
            <w:pPr>
              <w:spacing w:before="240" w:line="360" w:lineRule="auto"/>
              <w:contextualSpacing/>
              <w:rPr>
                <w:color w:val="000000" w:themeColor="text1"/>
              </w:rPr>
            </w:pPr>
            <w:r>
              <w:rPr>
                <w:color w:val="000000" w:themeColor="text1"/>
              </w:rPr>
              <w:t>3</w:t>
            </w:r>
            <w:r w:rsidR="00692ED7">
              <w:rPr>
                <w:color w:val="000000" w:themeColor="text1"/>
              </w:rPr>
              <w:t>.</w:t>
            </w:r>
            <w:r>
              <w:rPr>
                <w:color w:val="000000" w:themeColor="text1"/>
              </w:rPr>
              <w:t>97</w:t>
            </w:r>
          </w:p>
        </w:tc>
      </w:tr>
      <w:tr w:rsidR="00C1237C" w:rsidTr="003766B6">
        <w:trPr>
          <w:trHeight w:val="428"/>
        </w:trPr>
        <w:tc>
          <w:tcPr>
            <w:tcW w:w="4589"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Pr>
                <w:b/>
                <w:bCs/>
                <w:color w:val="000000" w:themeColor="text1"/>
                <w:sz w:val="28"/>
                <w:szCs w:val="28"/>
              </w:rPr>
              <w:t>Return on Equity</w:t>
            </w:r>
            <w:r w:rsidRPr="00D5192A">
              <w:rPr>
                <w:b/>
                <w:bCs/>
                <w:color w:val="000000" w:themeColor="text1"/>
                <w:sz w:val="28"/>
                <w:szCs w:val="28"/>
              </w:rPr>
              <w:t xml:space="preserve"> (</w:t>
            </w:r>
            <w:r>
              <w:rPr>
                <w:b/>
                <w:bCs/>
                <w:color w:val="000000" w:themeColor="text1"/>
                <w:sz w:val="28"/>
                <w:szCs w:val="28"/>
              </w:rPr>
              <w:t>ROE</w:t>
            </w:r>
            <w:r w:rsidRPr="00D5192A">
              <w:rPr>
                <w:b/>
                <w:bCs/>
                <w:color w:val="000000" w:themeColor="text1"/>
                <w:sz w:val="28"/>
                <w:szCs w:val="28"/>
              </w:rPr>
              <w:t>)</w:t>
            </w:r>
          </w:p>
        </w:tc>
        <w:tc>
          <w:tcPr>
            <w:tcW w:w="4589" w:type="dxa"/>
          </w:tcPr>
          <w:p w:rsidR="00C1237C" w:rsidRPr="00D5192A" w:rsidRDefault="00692ED7" w:rsidP="00C1237C">
            <w:pPr>
              <w:spacing w:before="240" w:line="360" w:lineRule="auto"/>
              <w:contextualSpacing/>
              <w:rPr>
                <w:color w:val="000000" w:themeColor="text1"/>
              </w:rPr>
            </w:pPr>
            <w:r>
              <w:rPr>
                <w:color w:val="000000" w:themeColor="text1"/>
              </w:rPr>
              <w:t>5.</w:t>
            </w:r>
            <w:r w:rsidR="00244B5E">
              <w:rPr>
                <w:color w:val="000000" w:themeColor="text1"/>
              </w:rPr>
              <w:t>29</w:t>
            </w:r>
          </w:p>
        </w:tc>
      </w:tr>
      <w:tr w:rsidR="00C1237C" w:rsidTr="003766B6">
        <w:trPr>
          <w:trHeight w:val="428"/>
        </w:trPr>
        <w:tc>
          <w:tcPr>
            <w:tcW w:w="4589" w:type="dxa"/>
            <w:shd w:val="clear" w:color="auto" w:fill="767171" w:themeFill="background2" w:themeFillShade="80"/>
          </w:tcPr>
          <w:p w:rsidR="00C1237C" w:rsidRPr="00D5192A" w:rsidRDefault="00C1237C" w:rsidP="00C1237C">
            <w:pPr>
              <w:spacing w:before="240" w:line="360" w:lineRule="auto"/>
              <w:contextualSpacing/>
              <w:rPr>
                <w:b/>
                <w:bCs/>
                <w:color w:val="000000" w:themeColor="text1"/>
                <w:sz w:val="28"/>
                <w:szCs w:val="28"/>
              </w:rPr>
            </w:pPr>
            <w:r>
              <w:rPr>
                <w:b/>
                <w:bCs/>
                <w:color w:val="000000" w:themeColor="text1"/>
                <w:sz w:val="28"/>
                <w:szCs w:val="28"/>
              </w:rPr>
              <w:t>Return on Employed Capital</w:t>
            </w:r>
            <w:r w:rsidRPr="00D5192A">
              <w:rPr>
                <w:b/>
                <w:bCs/>
                <w:color w:val="000000" w:themeColor="text1"/>
                <w:sz w:val="28"/>
                <w:szCs w:val="28"/>
              </w:rPr>
              <w:t xml:space="preserve"> (</w:t>
            </w:r>
            <w:r>
              <w:rPr>
                <w:b/>
                <w:bCs/>
                <w:color w:val="000000" w:themeColor="text1"/>
                <w:sz w:val="28"/>
                <w:szCs w:val="28"/>
              </w:rPr>
              <w:t>ROCE</w:t>
            </w:r>
            <w:r w:rsidRPr="00D5192A">
              <w:rPr>
                <w:b/>
                <w:bCs/>
                <w:color w:val="000000" w:themeColor="text1"/>
                <w:sz w:val="28"/>
                <w:szCs w:val="28"/>
              </w:rPr>
              <w:t>)</w:t>
            </w:r>
          </w:p>
        </w:tc>
        <w:tc>
          <w:tcPr>
            <w:tcW w:w="4589" w:type="dxa"/>
          </w:tcPr>
          <w:p w:rsidR="00C1237C" w:rsidRPr="00D5192A" w:rsidRDefault="00244B5E" w:rsidP="00C1237C">
            <w:pPr>
              <w:spacing w:before="240" w:line="360" w:lineRule="auto"/>
              <w:contextualSpacing/>
              <w:rPr>
                <w:color w:val="000000" w:themeColor="text1"/>
              </w:rPr>
            </w:pPr>
            <w:r>
              <w:rPr>
                <w:color w:val="000000" w:themeColor="text1"/>
              </w:rPr>
              <w:t>6</w:t>
            </w:r>
            <w:r w:rsidR="00692ED7">
              <w:rPr>
                <w:color w:val="000000" w:themeColor="text1"/>
              </w:rPr>
              <w:t>.</w:t>
            </w:r>
            <w:r>
              <w:rPr>
                <w:color w:val="000000" w:themeColor="text1"/>
              </w:rPr>
              <w:t>71</w:t>
            </w:r>
          </w:p>
        </w:tc>
      </w:tr>
    </w:tbl>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3766B6" w:rsidRDefault="003766B6" w:rsidP="00FB1421">
      <w:pPr>
        <w:spacing w:before="240" w:line="360" w:lineRule="auto"/>
        <w:contextualSpacing/>
        <w:jc w:val="both"/>
        <w:rPr>
          <w:i/>
          <w:iCs/>
          <w:sz w:val="18"/>
          <w:szCs w:val="18"/>
          <w:lang w:val="en-GB"/>
        </w:rPr>
      </w:pPr>
    </w:p>
    <w:p w:rsidR="00C1237C" w:rsidRDefault="004C71C5" w:rsidP="00FB1421">
      <w:pPr>
        <w:spacing w:before="240" w:line="360" w:lineRule="auto"/>
        <w:contextualSpacing/>
        <w:jc w:val="both"/>
        <w:rPr>
          <w:i/>
          <w:iCs/>
          <w:sz w:val="18"/>
          <w:szCs w:val="18"/>
          <w:lang w:val="en-GB"/>
        </w:rPr>
      </w:pPr>
      <w:r w:rsidRPr="001712BC">
        <w:rPr>
          <w:i/>
          <w:iCs/>
          <w:sz w:val="18"/>
          <w:szCs w:val="18"/>
          <w:lang w:val="en-GB"/>
        </w:rPr>
        <w:t>Source: Company Financial Report</w:t>
      </w:r>
    </w:p>
    <w:p w:rsidR="00D5023F" w:rsidRPr="00E14055" w:rsidRDefault="00776DB1" w:rsidP="00FB1421">
      <w:pPr>
        <w:spacing w:before="240" w:line="360" w:lineRule="auto"/>
        <w:contextualSpacing/>
        <w:jc w:val="both"/>
        <w:rPr>
          <w:i/>
          <w:iCs/>
          <w:color w:val="EE0000"/>
          <w:sz w:val="18"/>
          <w:szCs w:val="18"/>
          <w:lang w:val="en-GB"/>
        </w:rPr>
      </w:pPr>
      <w:r>
        <w:rPr>
          <w:b/>
          <w:bCs/>
          <w:noProof/>
          <w:color w:val="2E74B5" w:themeColor="accent5" w:themeShade="BF"/>
          <w:sz w:val="36"/>
          <w:szCs w:val="36"/>
          <w:lang w:val="en-GB"/>
        </w:rPr>
        <w:lastRenderedPageBreak/>
        <w:drawing>
          <wp:anchor distT="0" distB="0" distL="114300" distR="114300" simplePos="0" relativeHeight="251673600" behindDoc="0" locked="0" layoutInCell="1" allowOverlap="1">
            <wp:simplePos x="0" y="0"/>
            <wp:positionH relativeFrom="margin">
              <wp:posOffset>-35560</wp:posOffset>
            </wp:positionH>
            <wp:positionV relativeFrom="margin">
              <wp:posOffset>281940</wp:posOffset>
            </wp:positionV>
            <wp:extent cx="3219450" cy="2383155"/>
            <wp:effectExtent l="0" t="0" r="6350" b="4445"/>
            <wp:wrapSquare wrapText="bothSides"/>
            <wp:docPr id="938543525" name="Picture 5" descr="A colorful circ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43525" name="Picture 5" descr="A colorful circle with numbers and text&#10;&#10;AI-generated content may be incorrect."/>
                    <pic:cNvPicPr/>
                  </pic:nvPicPr>
                  <pic:blipFill rotWithShape="1">
                    <a:blip r:embed="rId9" cstate="print">
                      <a:extLst>
                        <a:ext uri="{28A0092B-C50C-407E-A947-70E740481C1C}">
                          <a14:useLocalDpi xmlns:a14="http://schemas.microsoft.com/office/drawing/2010/main" val="0"/>
                        </a:ext>
                      </a:extLst>
                    </a:blip>
                    <a:srcRect l="12455" t="1748" r="14408" b="8614"/>
                    <a:stretch>
                      <a:fillRect/>
                    </a:stretch>
                  </pic:blipFill>
                  <pic:spPr bwMode="auto">
                    <a:xfrm>
                      <a:off x="0" y="0"/>
                      <a:ext cx="3219450" cy="238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71C5" w:rsidRPr="00E14055">
        <w:rPr>
          <w:b/>
          <w:bCs/>
          <w:color w:val="EE0000"/>
          <w:sz w:val="36"/>
          <w:szCs w:val="36"/>
          <w:lang w:val="en-GB"/>
        </w:rPr>
        <w:t>SHAREHOLDING PATTERN</w:t>
      </w:r>
    </w:p>
    <w:p w:rsidR="00F178A7" w:rsidRPr="004C71C5" w:rsidRDefault="00F178A7" w:rsidP="00FB1421">
      <w:pPr>
        <w:spacing w:before="240" w:line="360" w:lineRule="auto"/>
        <w:contextualSpacing/>
        <w:jc w:val="both"/>
        <w:rPr>
          <w:b/>
          <w:bCs/>
          <w:color w:val="2E74B5" w:themeColor="accent5" w:themeShade="BF"/>
          <w:sz w:val="36"/>
          <w:szCs w:val="36"/>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27FC0" w:rsidRDefault="00127FC0" w:rsidP="00FB1421">
      <w:pPr>
        <w:spacing w:before="240" w:line="360" w:lineRule="auto"/>
        <w:contextualSpacing/>
        <w:jc w:val="both"/>
        <w:rPr>
          <w:i/>
          <w:iCs/>
          <w:sz w:val="18"/>
          <w:szCs w:val="18"/>
          <w:lang w:val="en-GB"/>
        </w:rPr>
      </w:pPr>
    </w:p>
    <w:p w:rsidR="001712BC" w:rsidRDefault="00166212" w:rsidP="00FB1421">
      <w:pPr>
        <w:spacing w:before="240" w:line="360" w:lineRule="auto"/>
        <w:contextualSpacing/>
        <w:jc w:val="both"/>
        <w:rPr>
          <w:i/>
          <w:iCs/>
          <w:sz w:val="18"/>
          <w:szCs w:val="18"/>
          <w:lang w:val="en-GB"/>
        </w:rPr>
      </w:pPr>
      <w:r w:rsidRPr="001712BC">
        <w:rPr>
          <w:i/>
          <w:iCs/>
          <w:sz w:val="18"/>
          <w:szCs w:val="18"/>
          <w:lang w:val="en-GB"/>
        </w:rPr>
        <w:t>Source: Company Shareholding Report</w:t>
      </w:r>
    </w:p>
    <w:p w:rsidR="00857D8E" w:rsidRPr="001712BC" w:rsidRDefault="00857D8E" w:rsidP="00FB1421">
      <w:pPr>
        <w:spacing w:before="240" w:line="360" w:lineRule="auto"/>
        <w:contextualSpacing/>
        <w:jc w:val="both"/>
        <w:rPr>
          <w:i/>
          <w:iCs/>
          <w:sz w:val="18"/>
          <w:szCs w:val="18"/>
          <w:lang w:val="en-GB"/>
        </w:rPr>
      </w:pPr>
    </w:p>
    <w:tbl>
      <w:tblPr>
        <w:tblStyle w:val="TableGrid"/>
        <w:tblW w:w="0" w:type="auto"/>
        <w:tblLook w:val="04A0" w:firstRow="1" w:lastRow="0" w:firstColumn="1" w:lastColumn="0" w:noHBand="0" w:noVBand="1"/>
      </w:tblPr>
      <w:tblGrid>
        <w:gridCol w:w="4368"/>
        <w:gridCol w:w="4368"/>
      </w:tblGrid>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Majority shareholders</w:t>
            </w:r>
          </w:p>
        </w:tc>
        <w:tc>
          <w:tcPr>
            <w:tcW w:w="4368" w:type="dxa"/>
          </w:tcPr>
          <w:p w:rsidR="00166212" w:rsidRPr="008A6EDE" w:rsidRDefault="00206BCF" w:rsidP="00FB1421">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Promoters</w:t>
            </w:r>
          </w:p>
        </w:tc>
      </w:tr>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proofErr w:type="spellStart"/>
            <w:r w:rsidRPr="008A6EDE">
              <w:rPr>
                <w:rFonts w:ascii="Book Antiqua" w:hAnsi="Book Antiqua" w:cs="Helvetica"/>
                <w:b/>
                <w:bCs/>
                <w:kern w:val="0"/>
                <w:sz w:val="28"/>
                <w:szCs w:val="28"/>
                <w:lang w:val="en-GB"/>
              </w:rPr>
              <w:t>FIl</w:t>
            </w:r>
            <w:r w:rsidR="002E5A65">
              <w:rPr>
                <w:rFonts w:ascii="Book Antiqua" w:hAnsi="Book Antiqua" w:cs="Helvetica"/>
                <w:b/>
                <w:bCs/>
                <w:kern w:val="0"/>
                <w:sz w:val="28"/>
                <w:szCs w:val="28"/>
                <w:lang w:val="en-GB"/>
              </w:rPr>
              <w:t>s</w:t>
            </w:r>
            <w:proofErr w:type="spellEnd"/>
          </w:p>
        </w:tc>
        <w:tc>
          <w:tcPr>
            <w:tcW w:w="4368" w:type="dxa"/>
          </w:tcPr>
          <w:p w:rsidR="008A6EDE" w:rsidRPr="008A6EDE" w:rsidRDefault="00776DB1" w:rsidP="00166212">
            <w:pPr>
              <w:spacing w:before="240" w:line="360" w:lineRule="auto"/>
              <w:contextualSpacing/>
              <w:jc w:val="both"/>
              <w:rPr>
                <w:rFonts w:ascii="Book Antiqua" w:hAnsi="Book Antiqua"/>
                <w:color w:val="000000" w:themeColor="text1"/>
                <w:sz w:val="28"/>
                <w:szCs w:val="28"/>
              </w:rPr>
            </w:pPr>
            <w:r>
              <w:rPr>
                <w:rFonts w:ascii="Book Antiqua" w:hAnsi="Book Antiqua"/>
                <w:color w:val="000000" w:themeColor="text1"/>
                <w:sz w:val="28"/>
                <w:szCs w:val="28"/>
              </w:rPr>
              <w:t>9</w:t>
            </w:r>
            <w:r w:rsidR="00127FC0">
              <w:rPr>
                <w:rFonts w:ascii="Book Antiqua" w:hAnsi="Book Antiqua"/>
                <w:color w:val="000000" w:themeColor="text1"/>
                <w:sz w:val="28"/>
                <w:szCs w:val="28"/>
              </w:rPr>
              <w:t>.</w:t>
            </w:r>
            <w:r w:rsidR="00E17A87">
              <w:rPr>
                <w:rFonts w:ascii="Book Antiqua" w:hAnsi="Book Antiqua"/>
                <w:color w:val="000000" w:themeColor="text1"/>
                <w:sz w:val="28"/>
                <w:szCs w:val="28"/>
              </w:rPr>
              <w:t>7</w:t>
            </w:r>
            <w:r>
              <w:rPr>
                <w:rFonts w:ascii="Book Antiqua" w:hAnsi="Book Antiqua"/>
                <w:color w:val="000000" w:themeColor="text1"/>
                <w:sz w:val="28"/>
                <w:szCs w:val="28"/>
              </w:rPr>
              <w:t>1</w:t>
            </w:r>
            <w:r w:rsidR="00206BCF">
              <w:rPr>
                <w:rFonts w:ascii="Book Antiqua" w:hAnsi="Book Antiqua"/>
                <w:color w:val="000000" w:themeColor="text1"/>
                <w:sz w:val="28"/>
                <w:szCs w:val="28"/>
              </w:rPr>
              <w:t>%</w:t>
            </w:r>
          </w:p>
        </w:tc>
      </w:tr>
      <w:tr w:rsidR="00166212" w:rsidTr="008A6EDE">
        <w:trPr>
          <w:trHeight w:val="531"/>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Mutual Fund</w:t>
            </w:r>
          </w:p>
        </w:tc>
        <w:tc>
          <w:tcPr>
            <w:tcW w:w="4368" w:type="dxa"/>
          </w:tcPr>
          <w:p w:rsidR="00166212" w:rsidRPr="008A6EDE" w:rsidRDefault="00E17A87"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10</w:t>
            </w:r>
            <w:r w:rsidR="008A6EDE" w:rsidRPr="008A6EDE">
              <w:rPr>
                <w:rFonts w:ascii="Book Antiqua" w:hAnsi="Book Antiqua"/>
                <w:color w:val="000000" w:themeColor="text1"/>
                <w:sz w:val="28"/>
                <w:szCs w:val="28"/>
                <w:lang w:val="en-GB"/>
              </w:rPr>
              <w:t>.</w:t>
            </w:r>
            <w:r>
              <w:rPr>
                <w:rFonts w:ascii="Book Antiqua" w:hAnsi="Book Antiqua"/>
                <w:color w:val="000000" w:themeColor="text1"/>
                <w:sz w:val="28"/>
                <w:szCs w:val="28"/>
                <w:lang w:val="en-GB"/>
              </w:rPr>
              <w:t>2</w:t>
            </w:r>
            <w:r w:rsidR="00776DB1">
              <w:rPr>
                <w:rFonts w:ascii="Book Antiqua" w:hAnsi="Book Antiqua"/>
                <w:color w:val="000000" w:themeColor="text1"/>
                <w:sz w:val="28"/>
                <w:szCs w:val="28"/>
                <w:lang w:val="en-GB"/>
              </w:rPr>
              <w:t>3</w:t>
            </w:r>
            <w:r w:rsidR="008A6EDE" w:rsidRPr="008A6EDE">
              <w:rPr>
                <w:rFonts w:ascii="Book Antiqua" w:hAnsi="Book Antiqua"/>
                <w:color w:val="000000" w:themeColor="text1"/>
                <w:sz w:val="28"/>
                <w:szCs w:val="28"/>
                <w:lang w:val="en-GB"/>
              </w:rPr>
              <w:t>%</w:t>
            </w:r>
          </w:p>
        </w:tc>
      </w:tr>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Promoters with Highest Holdings</w:t>
            </w:r>
          </w:p>
        </w:tc>
        <w:tc>
          <w:tcPr>
            <w:tcW w:w="4368" w:type="dxa"/>
          </w:tcPr>
          <w:p w:rsidR="00166212" w:rsidRPr="008A6EDE" w:rsidRDefault="002F2979"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24.90%</w:t>
            </w:r>
          </w:p>
        </w:tc>
      </w:tr>
      <w:tr w:rsidR="00166212" w:rsidTr="008A6EDE">
        <w:trPr>
          <w:trHeight w:val="518"/>
        </w:trPr>
        <w:tc>
          <w:tcPr>
            <w:tcW w:w="4368" w:type="dxa"/>
            <w:shd w:val="clear" w:color="auto" w:fill="767171" w:themeFill="background2" w:themeFillShade="80"/>
          </w:tcPr>
          <w:p w:rsidR="00166212" w:rsidRPr="008A6EDE" w:rsidRDefault="00166212"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Pledged Promoter Holding</w:t>
            </w:r>
          </w:p>
        </w:tc>
        <w:tc>
          <w:tcPr>
            <w:tcW w:w="4368" w:type="dxa"/>
          </w:tcPr>
          <w:p w:rsidR="00166212" w:rsidRPr="008A6EDE" w:rsidRDefault="00166212" w:rsidP="00166212">
            <w:pPr>
              <w:spacing w:before="240" w:line="360" w:lineRule="auto"/>
              <w:contextualSpacing/>
              <w:jc w:val="both"/>
              <w:rPr>
                <w:rFonts w:ascii="Book Antiqua" w:hAnsi="Book Antiqua"/>
                <w:color w:val="000000" w:themeColor="text1"/>
                <w:sz w:val="28"/>
                <w:szCs w:val="28"/>
                <w:lang w:val="en-GB"/>
              </w:rPr>
            </w:pPr>
            <w:r w:rsidRPr="008A6EDE">
              <w:rPr>
                <w:rFonts w:ascii="Book Antiqua" w:hAnsi="Book Antiqua"/>
                <w:color w:val="000000" w:themeColor="text1"/>
                <w:sz w:val="28"/>
                <w:szCs w:val="28"/>
                <w:lang w:val="en-GB"/>
              </w:rPr>
              <w:t>None</w:t>
            </w:r>
          </w:p>
        </w:tc>
      </w:tr>
      <w:tr w:rsidR="00166212" w:rsidTr="008A6EDE">
        <w:trPr>
          <w:trHeight w:val="518"/>
        </w:trPr>
        <w:tc>
          <w:tcPr>
            <w:tcW w:w="4368" w:type="dxa"/>
            <w:shd w:val="clear" w:color="auto" w:fill="767171" w:themeFill="background2" w:themeFillShade="80"/>
          </w:tcPr>
          <w:p w:rsidR="00166212" w:rsidRPr="008A6EDE" w:rsidRDefault="008A6EDE" w:rsidP="001662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ook Antiqua" w:hAnsi="Book Antiqua" w:cs="Helvetica"/>
                <w:b/>
                <w:bCs/>
                <w:kern w:val="0"/>
                <w:sz w:val="28"/>
                <w:szCs w:val="28"/>
                <w:lang w:val="en-GB"/>
              </w:rPr>
            </w:pPr>
            <w:r w:rsidRPr="008A6EDE">
              <w:rPr>
                <w:rFonts w:ascii="Book Antiqua" w:hAnsi="Book Antiqua" w:cs="Helvetica"/>
                <w:b/>
                <w:bCs/>
                <w:kern w:val="0"/>
                <w:sz w:val="28"/>
                <w:szCs w:val="28"/>
                <w:lang w:val="en-GB"/>
              </w:rPr>
              <w:t>Largest</w:t>
            </w:r>
            <w:r w:rsidR="00166212" w:rsidRPr="008A6EDE">
              <w:rPr>
                <w:rFonts w:ascii="Book Antiqua" w:hAnsi="Book Antiqua" w:cs="Helvetica"/>
                <w:b/>
                <w:bCs/>
                <w:kern w:val="0"/>
                <w:sz w:val="28"/>
                <w:szCs w:val="28"/>
                <w:lang w:val="en-GB"/>
              </w:rPr>
              <w:t xml:space="preserve"> </w:t>
            </w:r>
            <w:r w:rsidRPr="008A6EDE">
              <w:rPr>
                <w:rFonts w:ascii="Book Antiqua" w:hAnsi="Book Antiqua" w:cs="Helvetica"/>
                <w:b/>
                <w:bCs/>
                <w:kern w:val="0"/>
                <w:sz w:val="28"/>
                <w:szCs w:val="28"/>
                <w:lang w:val="en-GB"/>
              </w:rPr>
              <w:t>Single</w:t>
            </w:r>
            <w:r w:rsidR="00166212" w:rsidRPr="008A6EDE">
              <w:rPr>
                <w:rFonts w:ascii="Book Antiqua" w:hAnsi="Book Antiqua" w:cs="Helvetica"/>
                <w:b/>
                <w:bCs/>
                <w:kern w:val="0"/>
                <w:sz w:val="28"/>
                <w:szCs w:val="28"/>
                <w:lang w:val="en-GB"/>
              </w:rPr>
              <w:t xml:space="preserve"> Shareholder</w:t>
            </w:r>
          </w:p>
        </w:tc>
        <w:tc>
          <w:tcPr>
            <w:tcW w:w="4368" w:type="dxa"/>
          </w:tcPr>
          <w:p w:rsidR="00166212" w:rsidRPr="008A6EDE" w:rsidRDefault="00AB08D1"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None</w:t>
            </w:r>
          </w:p>
        </w:tc>
      </w:tr>
      <w:tr w:rsidR="00166212" w:rsidTr="008A6EDE">
        <w:trPr>
          <w:trHeight w:val="518"/>
        </w:trPr>
        <w:tc>
          <w:tcPr>
            <w:tcW w:w="4368" w:type="dxa"/>
            <w:shd w:val="clear" w:color="auto" w:fill="767171" w:themeFill="background2" w:themeFillShade="80"/>
          </w:tcPr>
          <w:p w:rsidR="00166212" w:rsidRPr="008A6EDE" w:rsidRDefault="00166212" w:rsidP="00166212">
            <w:pPr>
              <w:spacing w:before="240" w:line="360" w:lineRule="auto"/>
              <w:contextualSpacing/>
              <w:jc w:val="both"/>
              <w:rPr>
                <w:rFonts w:ascii="Book Antiqua" w:hAnsi="Book Antiqua"/>
                <w:b/>
                <w:bCs/>
                <w:color w:val="000000" w:themeColor="text1"/>
                <w:sz w:val="28"/>
                <w:szCs w:val="28"/>
                <w:lang w:val="en-GB"/>
              </w:rPr>
            </w:pPr>
            <w:r w:rsidRPr="008A6EDE">
              <w:rPr>
                <w:rFonts w:ascii="Book Antiqua" w:hAnsi="Book Antiqua" w:cs="Helvetica"/>
                <w:b/>
                <w:bCs/>
                <w:kern w:val="0"/>
                <w:sz w:val="28"/>
                <w:szCs w:val="28"/>
                <w:lang w:val="en-GB"/>
              </w:rPr>
              <w:t>Individual Investors holdings</w:t>
            </w:r>
          </w:p>
        </w:tc>
        <w:tc>
          <w:tcPr>
            <w:tcW w:w="4368" w:type="dxa"/>
          </w:tcPr>
          <w:p w:rsidR="00166212" w:rsidRPr="008A6EDE" w:rsidRDefault="00EA1DD4" w:rsidP="00166212">
            <w:pPr>
              <w:spacing w:before="240" w:line="360" w:lineRule="auto"/>
              <w:contextualSpacing/>
              <w:jc w:val="both"/>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2F2979">
              <w:rPr>
                <w:rFonts w:ascii="Book Antiqua" w:hAnsi="Book Antiqua"/>
                <w:color w:val="000000" w:themeColor="text1"/>
                <w:sz w:val="28"/>
                <w:szCs w:val="28"/>
                <w:lang w:val="en-GB"/>
              </w:rPr>
              <w:t>2.</w:t>
            </w:r>
            <w:r>
              <w:rPr>
                <w:rFonts w:ascii="Book Antiqua" w:hAnsi="Book Antiqua"/>
                <w:color w:val="000000" w:themeColor="text1"/>
                <w:sz w:val="28"/>
                <w:szCs w:val="28"/>
                <w:lang w:val="en-GB"/>
              </w:rPr>
              <w:t>4</w:t>
            </w:r>
            <w:r w:rsidR="00776DB1">
              <w:rPr>
                <w:rFonts w:ascii="Book Antiqua" w:hAnsi="Book Antiqua"/>
                <w:color w:val="000000" w:themeColor="text1"/>
                <w:sz w:val="28"/>
                <w:szCs w:val="28"/>
                <w:lang w:val="en-GB"/>
              </w:rPr>
              <w:t>2</w:t>
            </w:r>
            <w:r w:rsidR="002F2979">
              <w:rPr>
                <w:rFonts w:ascii="Book Antiqua" w:hAnsi="Book Antiqua"/>
                <w:color w:val="000000" w:themeColor="text1"/>
                <w:sz w:val="28"/>
                <w:szCs w:val="28"/>
                <w:lang w:val="en-GB"/>
              </w:rPr>
              <w:t>%</w:t>
            </w:r>
          </w:p>
        </w:tc>
      </w:tr>
    </w:tbl>
    <w:p w:rsidR="001712BC" w:rsidRDefault="001712BC" w:rsidP="009F6553">
      <w:pPr>
        <w:spacing w:before="240" w:line="360" w:lineRule="auto"/>
        <w:contextualSpacing/>
        <w:rPr>
          <w:b/>
          <w:bCs/>
          <w:color w:val="2E74B5" w:themeColor="accent5" w:themeShade="BF"/>
          <w:sz w:val="36"/>
          <w:szCs w:val="36"/>
          <w:lang w:val="en-GB"/>
        </w:rPr>
      </w:pPr>
    </w:p>
    <w:p w:rsidR="00CC09A5" w:rsidRPr="00E14055" w:rsidRDefault="008A6EDE" w:rsidP="009F6553">
      <w:pPr>
        <w:spacing w:before="240" w:line="360" w:lineRule="auto"/>
        <w:contextualSpacing/>
        <w:rPr>
          <w:b/>
          <w:bCs/>
          <w:color w:val="EE0000"/>
          <w:sz w:val="36"/>
          <w:szCs w:val="36"/>
          <w:lang w:val="en-GB"/>
        </w:rPr>
      </w:pPr>
      <w:r w:rsidRPr="00E14055">
        <w:rPr>
          <w:b/>
          <w:bCs/>
          <w:color w:val="EE0000"/>
          <w:sz w:val="36"/>
          <w:szCs w:val="36"/>
          <w:lang w:val="en-GB"/>
        </w:rPr>
        <w:t>SHAREHOLDING COMPARE (%</w:t>
      </w:r>
      <w:r w:rsidR="009F6553" w:rsidRPr="00E14055">
        <w:rPr>
          <w:b/>
          <w:bCs/>
          <w:color w:val="EE0000"/>
          <w:sz w:val="36"/>
          <w:szCs w:val="36"/>
          <w:lang w:val="en-GB"/>
        </w:rPr>
        <w:t xml:space="preserve"> Holding</w:t>
      </w:r>
      <w:r w:rsidRPr="00E14055">
        <w:rPr>
          <w:b/>
          <w:bCs/>
          <w:color w:val="EE0000"/>
          <w:sz w:val="36"/>
          <w:szCs w:val="36"/>
          <w:lang w:val="en-GB"/>
        </w:rPr>
        <w:t>)</w:t>
      </w:r>
    </w:p>
    <w:tbl>
      <w:tblPr>
        <w:tblStyle w:val="TableGrid"/>
        <w:tblW w:w="9588" w:type="dxa"/>
        <w:tblLook w:val="04A0" w:firstRow="1" w:lastRow="0" w:firstColumn="1" w:lastColumn="0" w:noHBand="0" w:noVBand="1"/>
      </w:tblPr>
      <w:tblGrid>
        <w:gridCol w:w="2397"/>
        <w:gridCol w:w="2397"/>
        <w:gridCol w:w="2397"/>
        <w:gridCol w:w="2397"/>
      </w:tblGrid>
      <w:tr w:rsidR="009F6553" w:rsidRPr="0038158D" w:rsidTr="0038158D">
        <w:trPr>
          <w:trHeight w:val="740"/>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Majority shareholders</w:t>
            </w:r>
          </w:p>
        </w:tc>
        <w:tc>
          <w:tcPr>
            <w:tcW w:w="2397" w:type="dxa"/>
          </w:tcPr>
          <w:p w:rsidR="009F6553" w:rsidRPr="0038158D" w:rsidRDefault="00AB08D1"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62.5</w:t>
            </w:r>
            <w:r w:rsidR="00E17A87">
              <w:rPr>
                <w:rFonts w:ascii="Book Antiqua" w:hAnsi="Book Antiqua"/>
                <w:b/>
                <w:bCs/>
                <w:color w:val="000000" w:themeColor="text1"/>
                <w:sz w:val="28"/>
                <w:szCs w:val="28"/>
                <w:lang w:val="en-GB"/>
              </w:rPr>
              <w:t>5</w:t>
            </w:r>
            <w:r w:rsidR="002E5A65"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6</w:t>
            </w:r>
            <w:r w:rsidR="00E17A87">
              <w:rPr>
                <w:rFonts w:ascii="Book Antiqua" w:hAnsi="Book Antiqua"/>
                <w:b/>
                <w:bCs/>
                <w:color w:val="000000" w:themeColor="text1"/>
                <w:sz w:val="28"/>
                <w:szCs w:val="28"/>
                <w:lang w:val="en-GB"/>
              </w:rPr>
              <w:t>2.55</w:t>
            </w:r>
            <w:r w:rsidR="00AB08D1">
              <w:rPr>
                <w:rFonts w:ascii="Book Antiqua" w:hAnsi="Book Antiqua"/>
                <w:b/>
                <w:bCs/>
                <w:color w:val="000000" w:themeColor="text1"/>
                <w:sz w:val="28"/>
                <w:szCs w:val="28"/>
                <w:lang w:val="en-GB"/>
              </w:rPr>
              <w:t>%</w:t>
            </w:r>
          </w:p>
        </w:tc>
        <w:tc>
          <w:tcPr>
            <w:tcW w:w="2397" w:type="dxa"/>
          </w:tcPr>
          <w:p w:rsidR="009F6553" w:rsidRPr="0038158D" w:rsidRDefault="00776DB1" w:rsidP="0038158D">
            <w:pPr>
              <w:spacing w:before="240"/>
              <w:contextualSpacing/>
              <w:jc w:val="center"/>
              <w:rPr>
                <w:rFonts w:ascii="Book Antiqua" w:hAnsi="Book Antiqua"/>
                <w:b/>
                <w:bCs/>
                <w:color w:val="00B050"/>
                <w:sz w:val="28"/>
                <w:szCs w:val="28"/>
                <w:lang w:val="en-GB"/>
              </w:rPr>
            </w:pPr>
            <w:r>
              <w:rPr>
                <w:rFonts w:ascii="Book Antiqua" w:hAnsi="Book Antiqua"/>
                <w:b/>
                <w:bCs/>
                <w:color w:val="00B050"/>
                <w:sz w:val="28"/>
                <w:szCs w:val="28"/>
                <w:lang w:val="en-GB"/>
              </w:rPr>
              <w:t>-</w:t>
            </w:r>
          </w:p>
        </w:tc>
      </w:tr>
      <w:tr w:rsidR="009F6553" w:rsidRPr="0038158D" w:rsidTr="0038158D">
        <w:trPr>
          <w:trHeight w:val="383"/>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FIIs</w:t>
            </w:r>
          </w:p>
        </w:tc>
        <w:tc>
          <w:tcPr>
            <w:tcW w:w="2397" w:type="dxa"/>
          </w:tcPr>
          <w:p w:rsidR="009F6553" w:rsidRPr="0038158D" w:rsidRDefault="00776DB1"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9</w:t>
            </w:r>
            <w:r w:rsidR="00525943">
              <w:rPr>
                <w:rFonts w:ascii="Book Antiqua" w:hAnsi="Book Antiqua"/>
                <w:b/>
                <w:bCs/>
                <w:color w:val="000000" w:themeColor="text1"/>
                <w:sz w:val="28"/>
                <w:szCs w:val="28"/>
                <w:lang w:val="en-GB"/>
              </w:rPr>
              <w:t>.</w:t>
            </w:r>
            <w:r w:rsidR="00E17A87">
              <w:rPr>
                <w:rFonts w:ascii="Book Antiqua" w:hAnsi="Book Antiqua"/>
                <w:b/>
                <w:bCs/>
                <w:color w:val="000000" w:themeColor="text1"/>
                <w:sz w:val="28"/>
                <w:szCs w:val="28"/>
                <w:lang w:val="en-GB"/>
              </w:rPr>
              <w:t>7</w:t>
            </w:r>
            <w:r>
              <w:rPr>
                <w:rFonts w:ascii="Book Antiqua" w:hAnsi="Book Antiqua"/>
                <w:b/>
                <w:bCs/>
                <w:color w:val="000000" w:themeColor="text1"/>
                <w:sz w:val="28"/>
                <w:szCs w:val="28"/>
                <w:lang w:val="en-GB"/>
              </w:rPr>
              <w:t>1</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2F2979"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1</w:t>
            </w:r>
            <w:r w:rsidR="00776DB1">
              <w:rPr>
                <w:rFonts w:ascii="Book Antiqua" w:hAnsi="Book Antiqua"/>
                <w:b/>
                <w:bCs/>
                <w:color w:val="000000" w:themeColor="text1"/>
                <w:sz w:val="28"/>
                <w:szCs w:val="28"/>
                <w:lang w:val="en-GB"/>
              </w:rPr>
              <w:t>2</w:t>
            </w:r>
            <w:r w:rsidR="0038158D" w:rsidRPr="0038158D">
              <w:rPr>
                <w:rFonts w:ascii="Book Antiqua" w:hAnsi="Book Antiqua"/>
                <w:b/>
                <w:bCs/>
                <w:color w:val="000000" w:themeColor="text1"/>
                <w:sz w:val="28"/>
                <w:szCs w:val="28"/>
                <w:lang w:val="en-GB"/>
              </w:rPr>
              <w:t>.</w:t>
            </w:r>
            <w:r w:rsidR="00776DB1">
              <w:rPr>
                <w:rFonts w:ascii="Book Antiqua" w:hAnsi="Book Antiqua"/>
                <w:b/>
                <w:bCs/>
                <w:color w:val="000000" w:themeColor="text1"/>
                <w:sz w:val="28"/>
                <w:szCs w:val="28"/>
                <w:lang w:val="en-GB"/>
              </w:rPr>
              <w:t>48</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00B050"/>
                <w:sz w:val="28"/>
                <w:szCs w:val="28"/>
                <w:lang w:val="en-GB"/>
              </w:rPr>
            </w:pPr>
            <w:r w:rsidRPr="00525943">
              <w:rPr>
                <w:rFonts w:ascii="Book Antiqua" w:hAnsi="Book Antiqua"/>
                <w:b/>
                <w:bCs/>
                <w:color w:val="EE0000"/>
                <w:sz w:val="28"/>
                <w:szCs w:val="28"/>
                <w:lang w:val="en-GB"/>
              </w:rPr>
              <w:t>-</w:t>
            </w:r>
            <w:r w:rsidR="00776DB1">
              <w:rPr>
                <w:rFonts w:ascii="Book Antiqua" w:hAnsi="Book Antiqua"/>
                <w:b/>
                <w:bCs/>
                <w:color w:val="EE0000"/>
                <w:sz w:val="28"/>
                <w:szCs w:val="28"/>
                <w:lang w:val="en-GB"/>
              </w:rPr>
              <w:t>2</w:t>
            </w:r>
            <w:r w:rsidRPr="00525943">
              <w:rPr>
                <w:rFonts w:ascii="Book Antiqua" w:hAnsi="Book Antiqua"/>
                <w:b/>
                <w:bCs/>
                <w:color w:val="EE0000"/>
                <w:sz w:val="28"/>
                <w:szCs w:val="28"/>
                <w:lang w:val="en-GB"/>
              </w:rPr>
              <w:t>.</w:t>
            </w:r>
            <w:r w:rsidR="002F2979">
              <w:rPr>
                <w:rFonts w:ascii="Book Antiqua" w:hAnsi="Book Antiqua"/>
                <w:b/>
                <w:bCs/>
                <w:color w:val="EE0000"/>
                <w:sz w:val="28"/>
                <w:szCs w:val="28"/>
                <w:lang w:val="en-GB"/>
              </w:rPr>
              <w:t>7</w:t>
            </w:r>
            <w:r w:rsidR="00776DB1">
              <w:rPr>
                <w:rFonts w:ascii="Book Antiqua" w:hAnsi="Book Antiqua"/>
                <w:b/>
                <w:bCs/>
                <w:color w:val="EE0000"/>
                <w:sz w:val="28"/>
                <w:szCs w:val="28"/>
                <w:lang w:val="en-GB"/>
              </w:rPr>
              <w:t>7</w:t>
            </w:r>
            <w:r w:rsidR="0038158D" w:rsidRPr="00525943">
              <w:rPr>
                <w:rFonts w:ascii="Book Antiqua" w:hAnsi="Book Antiqua"/>
                <w:b/>
                <w:bCs/>
                <w:color w:val="EE0000"/>
                <w:sz w:val="28"/>
                <w:szCs w:val="28"/>
                <w:lang w:val="en-GB"/>
              </w:rPr>
              <w:t>%</w:t>
            </w:r>
          </w:p>
        </w:tc>
      </w:tr>
      <w:tr w:rsidR="009F6553" w:rsidRPr="0038158D" w:rsidTr="0038158D">
        <w:trPr>
          <w:trHeight w:val="368"/>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Mutual Fund</w:t>
            </w:r>
          </w:p>
        </w:tc>
        <w:tc>
          <w:tcPr>
            <w:tcW w:w="2397" w:type="dxa"/>
          </w:tcPr>
          <w:p w:rsidR="009F6553" w:rsidRPr="0038158D" w:rsidRDefault="00E17A87"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10</w:t>
            </w:r>
            <w:r w:rsidR="00525943">
              <w:rPr>
                <w:rFonts w:ascii="Book Antiqua" w:hAnsi="Book Antiqua"/>
                <w:b/>
                <w:bCs/>
                <w:color w:val="000000" w:themeColor="text1"/>
                <w:sz w:val="28"/>
                <w:szCs w:val="28"/>
                <w:lang w:val="en-GB"/>
              </w:rPr>
              <w:t>.</w:t>
            </w:r>
            <w:r w:rsidR="00776DB1">
              <w:rPr>
                <w:rFonts w:ascii="Book Antiqua" w:hAnsi="Book Antiqua"/>
                <w:b/>
                <w:bCs/>
                <w:color w:val="000000" w:themeColor="text1"/>
                <w:sz w:val="28"/>
                <w:szCs w:val="28"/>
                <w:lang w:val="en-GB"/>
              </w:rPr>
              <w:t>23</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2F2979"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7</w:t>
            </w:r>
            <w:r w:rsidR="00525943">
              <w:rPr>
                <w:rFonts w:ascii="Book Antiqua" w:hAnsi="Book Antiqua"/>
                <w:b/>
                <w:bCs/>
                <w:color w:val="000000" w:themeColor="text1"/>
                <w:sz w:val="28"/>
                <w:szCs w:val="28"/>
                <w:lang w:val="en-GB"/>
              </w:rPr>
              <w:t>.</w:t>
            </w:r>
            <w:r w:rsidR="00776DB1">
              <w:rPr>
                <w:rFonts w:ascii="Book Antiqua" w:hAnsi="Book Antiqua"/>
                <w:b/>
                <w:bCs/>
                <w:color w:val="000000" w:themeColor="text1"/>
                <w:sz w:val="28"/>
                <w:szCs w:val="28"/>
                <w:lang w:val="en-GB"/>
              </w:rPr>
              <w:t>55</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38158D" w:rsidP="0038158D">
            <w:pPr>
              <w:spacing w:before="240"/>
              <w:contextualSpacing/>
              <w:jc w:val="center"/>
              <w:rPr>
                <w:rFonts w:ascii="Book Antiqua" w:hAnsi="Book Antiqua"/>
                <w:b/>
                <w:bCs/>
                <w:color w:val="00B050"/>
                <w:sz w:val="28"/>
                <w:szCs w:val="28"/>
                <w:lang w:val="en-GB"/>
              </w:rPr>
            </w:pPr>
            <w:r w:rsidRPr="0038158D">
              <w:rPr>
                <w:rFonts w:ascii="Book Antiqua" w:hAnsi="Book Antiqua"/>
                <w:b/>
                <w:bCs/>
                <w:color w:val="00B050"/>
                <w:sz w:val="28"/>
                <w:szCs w:val="28"/>
                <w:lang w:val="en-GB"/>
              </w:rPr>
              <w:t>+</w:t>
            </w:r>
            <w:r w:rsidR="002F2979">
              <w:rPr>
                <w:rFonts w:ascii="Book Antiqua" w:hAnsi="Book Antiqua"/>
                <w:b/>
                <w:bCs/>
                <w:color w:val="00B050"/>
                <w:sz w:val="28"/>
                <w:szCs w:val="28"/>
                <w:lang w:val="en-GB"/>
              </w:rPr>
              <w:t>2</w:t>
            </w:r>
            <w:r w:rsidRPr="0038158D">
              <w:rPr>
                <w:rFonts w:ascii="Book Antiqua" w:hAnsi="Book Antiqua"/>
                <w:b/>
                <w:bCs/>
                <w:color w:val="00B050"/>
                <w:sz w:val="28"/>
                <w:szCs w:val="28"/>
                <w:lang w:val="en-GB"/>
              </w:rPr>
              <w:t>.</w:t>
            </w:r>
            <w:r w:rsidR="00776DB1">
              <w:rPr>
                <w:rFonts w:ascii="Book Antiqua" w:hAnsi="Book Antiqua"/>
                <w:b/>
                <w:bCs/>
                <w:color w:val="00B050"/>
                <w:sz w:val="28"/>
                <w:szCs w:val="28"/>
                <w:lang w:val="en-GB"/>
              </w:rPr>
              <w:t>68</w:t>
            </w:r>
            <w:r w:rsidRPr="0038158D">
              <w:rPr>
                <w:rFonts w:ascii="Book Antiqua" w:hAnsi="Book Antiqua"/>
                <w:b/>
                <w:bCs/>
                <w:color w:val="00B050"/>
                <w:sz w:val="28"/>
                <w:szCs w:val="28"/>
                <w:lang w:val="en-GB"/>
              </w:rPr>
              <w:t>%</w:t>
            </w:r>
          </w:p>
        </w:tc>
      </w:tr>
      <w:tr w:rsidR="009F6553" w:rsidRPr="0038158D" w:rsidTr="0038158D">
        <w:trPr>
          <w:trHeight w:val="740"/>
        </w:trPr>
        <w:tc>
          <w:tcPr>
            <w:tcW w:w="2397" w:type="dxa"/>
            <w:shd w:val="clear" w:color="auto" w:fill="767171" w:themeFill="background2" w:themeFillShade="80"/>
          </w:tcPr>
          <w:p w:rsidR="009F6553" w:rsidRPr="0038158D" w:rsidRDefault="009F6553" w:rsidP="002E5A65">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Insurance Companies</w:t>
            </w:r>
          </w:p>
        </w:tc>
        <w:tc>
          <w:tcPr>
            <w:tcW w:w="2397" w:type="dxa"/>
          </w:tcPr>
          <w:p w:rsidR="009F6553" w:rsidRPr="0038158D" w:rsidRDefault="00776DB1"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4</w:t>
            </w:r>
            <w:r w:rsidR="00525943">
              <w:rPr>
                <w:rFonts w:ascii="Book Antiqua" w:hAnsi="Book Antiqua"/>
                <w:b/>
                <w:bCs/>
                <w:color w:val="000000" w:themeColor="text1"/>
                <w:sz w:val="28"/>
                <w:szCs w:val="28"/>
                <w:lang w:val="en-GB"/>
              </w:rPr>
              <w:t>.</w:t>
            </w:r>
            <w:r>
              <w:rPr>
                <w:rFonts w:ascii="Book Antiqua" w:hAnsi="Book Antiqua"/>
                <w:b/>
                <w:bCs/>
                <w:color w:val="000000" w:themeColor="text1"/>
                <w:sz w:val="28"/>
                <w:szCs w:val="28"/>
                <w:lang w:val="en-GB"/>
              </w:rPr>
              <w:t>71</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2F2979"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4</w:t>
            </w:r>
            <w:r w:rsidR="00525943">
              <w:rPr>
                <w:rFonts w:ascii="Book Antiqua" w:hAnsi="Book Antiqua"/>
                <w:b/>
                <w:bCs/>
                <w:color w:val="000000" w:themeColor="text1"/>
                <w:sz w:val="28"/>
                <w:szCs w:val="28"/>
                <w:lang w:val="en-GB"/>
              </w:rPr>
              <w:t>.</w:t>
            </w:r>
            <w:r w:rsidR="00776DB1">
              <w:rPr>
                <w:rFonts w:ascii="Book Antiqua" w:hAnsi="Book Antiqua"/>
                <w:b/>
                <w:bCs/>
                <w:color w:val="000000" w:themeColor="text1"/>
                <w:sz w:val="28"/>
                <w:szCs w:val="28"/>
                <w:lang w:val="en-GB"/>
              </w:rPr>
              <w:t>36</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776DB1" w:rsidP="0038158D">
            <w:pPr>
              <w:spacing w:before="240"/>
              <w:contextualSpacing/>
              <w:jc w:val="center"/>
              <w:rPr>
                <w:rFonts w:ascii="Book Antiqua" w:hAnsi="Book Antiqua"/>
                <w:b/>
                <w:bCs/>
                <w:color w:val="FF0000"/>
                <w:sz w:val="28"/>
                <w:szCs w:val="28"/>
                <w:lang w:val="en-GB"/>
              </w:rPr>
            </w:pPr>
            <w:r w:rsidRPr="00776DB1">
              <w:rPr>
                <w:rFonts w:ascii="Book Antiqua" w:hAnsi="Book Antiqua"/>
                <w:b/>
                <w:bCs/>
                <w:color w:val="00B050"/>
                <w:sz w:val="28"/>
                <w:szCs w:val="28"/>
                <w:lang w:val="en-GB"/>
              </w:rPr>
              <w:t>+0.35</w:t>
            </w:r>
            <w:r w:rsidR="0038158D" w:rsidRPr="00776DB1">
              <w:rPr>
                <w:rFonts w:ascii="Book Antiqua" w:hAnsi="Book Antiqua"/>
                <w:b/>
                <w:bCs/>
                <w:color w:val="00B050"/>
                <w:sz w:val="28"/>
                <w:szCs w:val="28"/>
                <w:lang w:val="en-GB"/>
              </w:rPr>
              <w:t>%</w:t>
            </w:r>
          </w:p>
        </w:tc>
      </w:tr>
      <w:tr w:rsidR="009F6553" w:rsidRPr="0038158D" w:rsidTr="0038158D">
        <w:trPr>
          <w:trHeight w:val="754"/>
        </w:trPr>
        <w:tc>
          <w:tcPr>
            <w:tcW w:w="2397" w:type="dxa"/>
            <w:shd w:val="clear" w:color="auto" w:fill="767171" w:themeFill="background2" w:themeFillShade="80"/>
          </w:tcPr>
          <w:p w:rsidR="009F6553" w:rsidRPr="0038158D" w:rsidRDefault="009F6553" w:rsidP="002E5A65">
            <w:pPr>
              <w:spacing w:before="240"/>
              <w:contextualSpacing/>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Non institutional Investors</w:t>
            </w:r>
          </w:p>
        </w:tc>
        <w:tc>
          <w:tcPr>
            <w:tcW w:w="2397" w:type="dxa"/>
          </w:tcPr>
          <w:p w:rsidR="009F6553" w:rsidRPr="0038158D" w:rsidRDefault="00E17A87"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12</w:t>
            </w:r>
            <w:r w:rsidR="00525943">
              <w:rPr>
                <w:rFonts w:ascii="Book Antiqua" w:hAnsi="Book Antiqua"/>
                <w:b/>
                <w:bCs/>
                <w:color w:val="000000" w:themeColor="text1"/>
                <w:sz w:val="28"/>
                <w:szCs w:val="28"/>
                <w:lang w:val="en-GB"/>
              </w:rPr>
              <w:t>.</w:t>
            </w:r>
            <w:r>
              <w:rPr>
                <w:rFonts w:ascii="Book Antiqua" w:hAnsi="Book Antiqua"/>
                <w:b/>
                <w:bCs/>
                <w:color w:val="000000" w:themeColor="text1"/>
                <w:sz w:val="28"/>
                <w:szCs w:val="28"/>
                <w:lang w:val="en-GB"/>
              </w:rPr>
              <w:t>4</w:t>
            </w:r>
            <w:r w:rsidR="00776DB1">
              <w:rPr>
                <w:rFonts w:ascii="Book Antiqua" w:hAnsi="Book Antiqua"/>
                <w:b/>
                <w:bCs/>
                <w:color w:val="000000" w:themeColor="text1"/>
                <w:sz w:val="28"/>
                <w:szCs w:val="28"/>
                <w:lang w:val="en-GB"/>
              </w:rPr>
              <w:t>2</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2F2979"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12</w:t>
            </w:r>
            <w:r w:rsidR="00525943">
              <w:rPr>
                <w:rFonts w:ascii="Book Antiqua" w:hAnsi="Book Antiqua"/>
                <w:b/>
                <w:bCs/>
                <w:color w:val="000000" w:themeColor="text1"/>
                <w:sz w:val="28"/>
                <w:szCs w:val="28"/>
                <w:lang w:val="en-GB"/>
              </w:rPr>
              <w:t>.</w:t>
            </w:r>
            <w:r w:rsidR="00776DB1">
              <w:rPr>
                <w:rFonts w:ascii="Book Antiqua" w:hAnsi="Book Antiqua"/>
                <w:b/>
                <w:bCs/>
                <w:color w:val="000000" w:themeColor="text1"/>
                <w:sz w:val="28"/>
                <w:szCs w:val="28"/>
                <w:lang w:val="en-GB"/>
              </w:rPr>
              <w:t>63</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38158D" w:rsidP="0038158D">
            <w:pPr>
              <w:spacing w:before="240"/>
              <w:contextualSpacing/>
              <w:jc w:val="center"/>
              <w:rPr>
                <w:rFonts w:ascii="Book Antiqua" w:hAnsi="Book Antiqua"/>
                <w:b/>
                <w:bCs/>
                <w:color w:val="FF0000"/>
                <w:sz w:val="28"/>
                <w:szCs w:val="28"/>
                <w:lang w:val="en-GB"/>
              </w:rPr>
            </w:pPr>
            <w:r w:rsidRPr="0038158D">
              <w:rPr>
                <w:rFonts w:ascii="Book Antiqua" w:hAnsi="Book Antiqua"/>
                <w:b/>
                <w:bCs/>
                <w:color w:val="FF0000"/>
                <w:sz w:val="28"/>
                <w:szCs w:val="28"/>
                <w:lang w:val="en-GB"/>
              </w:rPr>
              <w:t>-</w:t>
            </w:r>
            <w:r w:rsidR="00525943">
              <w:rPr>
                <w:rFonts w:ascii="Book Antiqua" w:hAnsi="Book Antiqua"/>
                <w:b/>
                <w:bCs/>
                <w:color w:val="FF0000"/>
                <w:sz w:val="28"/>
                <w:szCs w:val="28"/>
                <w:lang w:val="en-GB"/>
              </w:rPr>
              <w:t>0.</w:t>
            </w:r>
            <w:r w:rsidR="00776DB1">
              <w:rPr>
                <w:rFonts w:ascii="Book Antiqua" w:hAnsi="Book Antiqua"/>
                <w:b/>
                <w:bCs/>
                <w:color w:val="FF0000"/>
                <w:sz w:val="28"/>
                <w:szCs w:val="28"/>
                <w:lang w:val="en-GB"/>
              </w:rPr>
              <w:t>21</w:t>
            </w:r>
            <w:r w:rsidRPr="0038158D">
              <w:rPr>
                <w:rFonts w:ascii="Book Antiqua" w:hAnsi="Book Antiqua"/>
                <w:b/>
                <w:bCs/>
                <w:color w:val="FF0000"/>
                <w:sz w:val="28"/>
                <w:szCs w:val="28"/>
                <w:lang w:val="en-GB"/>
              </w:rPr>
              <w:t>%</w:t>
            </w:r>
          </w:p>
        </w:tc>
      </w:tr>
      <w:tr w:rsidR="009F6553" w:rsidRPr="0038158D" w:rsidTr="0038158D">
        <w:trPr>
          <w:trHeight w:val="368"/>
        </w:trPr>
        <w:tc>
          <w:tcPr>
            <w:tcW w:w="2397" w:type="dxa"/>
            <w:shd w:val="clear" w:color="auto" w:fill="767171" w:themeFill="background2" w:themeFillShade="80"/>
          </w:tcPr>
          <w:p w:rsidR="009F6553" w:rsidRPr="0038158D" w:rsidRDefault="009F6553" w:rsidP="009F6553">
            <w:pPr>
              <w:spacing w:before="240"/>
              <w:contextualSpacing/>
              <w:jc w:val="both"/>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Other D</w:t>
            </w:r>
            <w:r w:rsidR="002E5A65" w:rsidRPr="0038158D">
              <w:rPr>
                <w:rFonts w:ascii="Book Antiqua" w:hAnsi="Book Antiqua"/>
                <w:b/>
                <w:bCs/>
                <w:color w:val="000000" w:themeColor="text1"/>
                <w:sz w:val="28"/>
                <w:szCs w:val="28"/>
                <w:lang w:val="en-GB"/>
              </w:rPr>
              <w:t>II</w:t>
            </w:r>
            <w:r w:rsidRPr="0038158D">
              <w:rPr>
                <w:rFonts w:ascii="Book Antiqua" w:hAnsi="Book Antiqua"/>
                <w:b/>
                <w:bCs/>
                <w:color w:val="000000" w:themeColor="text1"/>
                <w:sz w:val="28"/>
                <w:szCs w:val="28"/>
                <w:lang w:val="en-GB"/>
              </w:rPr>
              <w:t>s</w:t>
            </w:r>
          </w:p>
        </w:tc>
        <w:tc>
          <w:tcPr>
            <w:tcW w:w="2397" w:type="dxa"/>
          </w:tcPr>
          <w:p w:rsidR="009F6553" w:rsidRPr="0038158D" w:rsidRDefault="00E17A87"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0</w:t>
            </w:r>
            <w:r w:rsidR="00525943">
              <w:rPr>
                <w:rFonts w:ascii="Book Antiqua" w:hAnsi="Book Antiqua"/>
                <w:b/>
                <w:bCs/>
                <w:color w:val="000000" w:themeColor="text1"/>
                <w:sz w:val="28"/>
                <w:szCs w:val="28"/>
                <w:lang w:val="en-GB"/>
              </w:rPr>
              <w:t>.</w:t>
            </w:r>
            <w:r>
              <w:rPr>
                <w:rFonts w:ascii="Book Antiqua" w:hAnsi="Book Antiqua"/>
                <w:b/>
                <w:bCs/>
                <w:color w:val="000000" w:themeColor="text1"/>
                <w:sz w:val="28"/>
                <w:szCs w:val="28"/>
                <w:lang w:val="en-GB"/>
              </w:rPr>
              <w:t>58</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2F2979" w:rsidP="0038158D">
            <w:pPr>
              <w:spacing w:before="240"/>
              <w:contextualSpacing/>
              <w:jc w:val="center"/>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0</w:t>
            </w:r>
            <w:r w:rsidR="00525943">
              <w:rPr>
                <w:rFonts w:ascii="Book Antiqua" w:hAnsi="Book Antiqua"/>
                <w:b/>
                <w:bCs/>
                <w:color w:val="000000" w:themeColor="text1"/>
                <w:sz w:val="28"/>
                <w:szCs w:val="28"/>
                <w:lang w:val="en-GB"/>
              </w:rPr>
              <w:t>.</w:t>
            </w:r>
            <w:r>
              <w:rPr>
                <w:rFonts w:ascii="Book Antiqua" w:hAnsi="Book Antiqua"/>
                <w:b/>
                <w:bCs/>
                <w:color w:val="000000" w:themeColor="text1"/>
                <w:sz w:val="28"/>
                <w:szCs w:val="28"/>
                <w:lang w:val="en-GB"/>
              </w:rPr>
              <w:t>4</w:t>
            </w:r>
            <w:r w:rsidR="00776DB1">
              <w:rPr>
                <w:rFonts w:ascii="Book Antiqua" w:hAnsi="Book Antiqua"/>
                <w:b/>
                <w:bCs/>
                <w:color w:val="000000" w:themeColor="text1"/>
                <w:sz w:val="28"/>
                <w:szCs w:val="28"/>
                <w:lang w:val="en-GB"/>
              </w:rPr>
              <w:t>3</w:t>
            </w:r>
            <w:r w:rsidR="0038158D" w:rsidRPr="0038158D">
              <w:rPr>
                <w:rFonts w:ascii="Book Antiqua" w:hAnsi="Book Antiqua"/>
                <w:b/>
                <w:bCs/>
                <w:color w:val="000000" w:themeColor="text1"/>
                <w:sz w:val="28"/>
                <w:szCs w:val="28"/>
                <w:lang w:val="en-GB"/>
              </w:rPr>
              <w:t>%</w:t>
            </w:r>
          </w:p>
        </w:tc>
        <w:tc>
          <w:tcPr>
            <w:tcW w:w="2397" w:type="dxa"/>
          </w:tcPr>
          <w:p w:rsidR="009F6553" w:rsidRPr="0038158D" w:rsidRDefault="00525943" w:rsidP="0038158D">
            <w:pPr>
              <w:spacing w:before="240"/>
              <w:contextualSpacing/>
              <w:jc w:val="center"/>
              <w:rPr>
                <w:rFonts w:ascii="Book Antiqua" w:hAnsi="Book Antiqua"/>
                <w:b/>
                <w:bCs/>
                <w:color w:val="FF0000"/>
                <w:sz w:val="28"/>
                <w:szCs w:val="28"/>
                <w:lang w:val="en-GB"/>
              </w:rPr>
            </w:pPr>
            <w:r w:rsidRPr="00525943">
              <w:rPr>
                <w:rFonts w:ascii="Book Antiqua" w:hAnsi="Book Antiqua"/>
                <w:b/>
                <w:bCs/>
                <w:color w:val="00B050"/>
                <w:sz w:val="28"/>
                <w:szCs w:val="28"/>
                <w:lang w:val="en-GB"/>
              </w:rPr>
              <w:t>+0.</w:t>
            </w:r>
            <w:r w:rsidR="002F2979">
              <w:rPr>
                <w:rFonts w:ascii="Book Antiqua" w:hAnsi="Book Antiqua"/>
                <w:b/>
                <w:bCs/>
                <w:color w:val="00B050"/>
                <w:sz w:val="28"/>
                <w:szCs w:val="28"/>
                <w:lang w:val="en-GB"/>
              </w:rPr>
              <w:t>1</w:t>
            </w:r>
            <w:r w:rsidR="00776DB1">
              <w:rPr>
                <w:rFonts w:ascii="Book Antiqua" w:hAnsi="Book Antiqua"/>
                <w:b/>
                <w:bCs/>
                <w:color w:val="00B050"/>
                <w:sz w:val="28"/>
                <w:szCs w:val="28"/>
                <w:lang w:val="en-GB"/>
              </w:rPr>
              <w:t>5</w:t>
            </w:r>
            <w:r w:rsidR="0038158D" w:rsidRPr="00525943">
              <w:rPr>
                <w:rFonts w:ascii="Book Antiqua" w:hAnsi="Book Antiqua"/>
                <w:b/>
                <w:bCs/>
                <w:color w:val="00B050"/>
                <w:sz w:val="28"/>
                <w:szCs w:val="28"/>
                <w:lang w:val="en-GB"/>
              </w:rPr>
              <w:t>%</w:t>
            </w:r>
          </w:p>
        </w:tc>
      </w:tr>
    </w:tbl>
    <w:p w:rsidR="001712BC" w:rsidRDefault="0043297D" w:rsidP="00FB1421">
      <w:pPr>
        <w:spacing w:before="240" w:line="360" w:lineRule="auto"/>
        <w:contextualSpacing/>
        <w:jc w:val="both"/>
        <w:rPr>
          <w:i/>
          <w:iCs/>
          <w:sz w:val="18"/>
          <w:szCs w:val="18"/>
          <w:lang w:val="en-GB"/>
        </w:rPr>
      </w:pPr>
      <w:r w:rsidRPr="001712BC">
        <w:rPr>
          <w:i/>
          <w:iCs/>
          <w:sz w:val="18"/>
          <w:szCs w:val="18"/>
          <w:lang w:val="en-GB"/>
        </w:rPr>
        <w:t xml:space="preserve">Source: Company </w:t>
      </w:r>
      <w:r w:rsidR="002F2979">
        <w:rPr>
          <w:i/>
          <w:iCs/>
          <w:sz w:val="18"/>
          <w:szCs w:val="18"/>
          <w:lang w:val="en-GB"/>
        </w:rPr>
        <w:t>Shareholding</w:t>
      </w:r>
      <w:r w:rsidRPr="001712BC">
        <w:rPr>
          <w:i/>
          <w:iCs/>
          <w:sz w:val="18"/>
          <w:szCs w:val="18"/>
          <w:lang w:val="en-GB"/>
        </w:rPr>
        <w:t xml:space="preserve"> Report</w:t>
      </w:r>
    </w:p>
    <w:p w:rsidR="00D5023F" w:rsidRPr="00E14055" w:rsidRDefault="0043297D" w:rsidP="00FB1421">
      <w:pPr>
        <w:spacing w:before="240" w:line="360" w:lineRule="auto"/>
        <w:contextualSpacing/>
        <w:jc w:val="both"/>
        <w:rPr>
          <w:i/>
          <w:iCs/>
          <w:color w:val="EE0000"/>
          <w:sz w:val="18"/>
          <w:szCs w:val="18"/>
          <w:lang w:val="en-GB"/>
        </w:rPr>
      </w:pPr>
      <w:r w:rsidRPr="00E14055">
        <w:rPr>
          <w:b/>
          <w:bCs/>
          <w:color w:val="EE0000"/>
          <w:sz w:val="36"/>
          <w:szCs w:val="36"/>
          <w:lang w:val="en-GB"/>
        </w:rPr>
        <w:lastRenderedPageBreak/>
        <w:t>COMPARE VALUATION WITH PEERS</w:t>
      </w:r>
    </w:p>
    <w:tbl>
      <w:tblPr>
        <w:tblStyle w:val="TableGrid"/>
        <w:tblW w:w="0" w:type="auto"/>
        <w:tblLook w:val="04A0" w:firstRow="1" w:lastRow="0" w:firstColumn="1" w:lastColumn="0" w:noHBand="0" w:noVBand="1"/>
      </w:tblPr>
      <w:tblGrid>
        <w:gridCol w:w="2434"/>
        <w:gridCol w:w="2434"/>
        <w:gridCol w:w="2434"/>
        <w:gridCol w:w="2434"/>
      </w:tblGrid>
      <w:tr w:rsidR="0043297D" w:rsidTr="0038158D">
        <w:tc>
          <w:tcPr>
            <w:tcW w:w="2434" w:type="dxa"/>
            <w:shd w:val="clear" w:color="auto" w:fill="767171" w:themeFill="background2" w:themeFillShade="80"/>
          </w:tcPr>
          <w:p w:rsidR="0043297D" w:rsidRPr="0038158D" w:rsidRDefault="0043297D" w:rsidP="0043297D">
            <w:pPr>
              <w:spacing w:before="240" w:line="360" w:lineRule="auto"/>
              <w:contextualSpacing/>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Company</w:t>
            </w:r>
          </w:p>
        </w:tc>
        <w:tc>
          <w:tcPr>
            <w:tcW w:w="2434" w:type="dxa"/>
            <w:shd w:val="clear" w:color="auto" w:fill="767171" w:themeFill="background2" w:themeFillShade="80"/>
          </w:tcPr>
          <w:p w:rsidR="0043297D" w:rsidRPr="0038158D" w:rsidRDefault="0043297D" w:rsidP="0043297D">
            <w:pPr>
              <w:spacing w:before="240" w:line="360" w:lineRule="auto"/>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P/E</w:t>
            </w:r>
          </w:p>
        </w:tc>
        <w:tc>
          <w:tcPr>
            <w:tcW w:w="2434" w:type="dxa"/>
            <w:shd w:val="clear" w:color="auto" w:fill="767171" w:themeFill="background2" w:themeFillShade="80"/>
          </w:tcPr>
          <w:p w:rsidR="0043297D" w:rsidRPr="0038158D" w:rsidRDefault="0043297D" w:rsidP="0043297D">
            <w:pPr>
              <w:spacing w:before="240" w:line="360" w:lineRule="auto"/>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EV/EBITDA</w:t>
            </w:r>
          </w:p>
        </w:tc>
        <w:tc>
          <w:tcPr>
            <w:tcW w:w="2434" w:type="dxa"/>
            <w:shd w:val="clear" w:color="auto" w:fill="767171" w:themeFill="background2" w:themeFillShade="80"/>
          </w:tcPr>
          <w:p w:rsidR="0043297D" w:rsidRDefault="0043297D" w:rsidP="0043297D">
            <w:pPr>
              <w:spacing w:before="240" w:line="360" w:lineRule="auto"/>
              <w:contextualSpacing/>
              <w:jc w:val="center"/>
              <w:rPr>
                <w:rFonts w:ascii="Book Antiqua" w:hAnsi="Book Antiqua"/>
                <w:b/>
                <w:bCs/>
                <w:color w:val="000000" w:themeColor="text1"/>
                <w:sz w:val="28"/>
                <w:szCs w:val="28"/>
                <w:lang w:val="en-GB"/>
              </w:rPr>
            </w:pPr>
            <w:r w:rsidRPr="0038158D">
              <w:rPr>
                <w:rFonts w:ascii="Book Antiqua" w:hAnsi="Book Antiqua"/>
                <w:b/>
                <w:bCs/>
                <w:color w:val="000000" w:themeColor="text1"/>
                <w:sz w:val="28"/>
                <w:szCs w:val="28"/>
                <w:lang w:val="en-GB"/>
              </w:rPr>
              <w:t>PEG RATIO</w:t>
            </w:r>
          </w:p>
          <w:p w:rsidR="0038158D" w:rsidRPr="0038158D" w:rsidRDefault="0038158D" w:rsidP="0043297D">
            <w:pPr>
              <w:spacing w:before="240" w:line="360" w:lineRule="auto"/>
              <w:contextualSpacing/>
              <w:jc w:val="center"/>
              <w:rPr>
                <w:rFonts w:ascii="Book Antiqua" w:hAnsi="Book Antiqua"/>
                <w:b/>
                <w:bCs/>
                <w:color w:val="000000" w:themeColor="text1"/>
                <w:sz w:val="28"/>
                <w:szCs w:val="28"/>
                <w:lang w:val="en-GB"/>
              </w:rPr>
            </w:pPr>
          </w:p>
        </w:tc>
      </w:tr>
      <w:tr w:rsidR="00E44A01" w:rsidTr="003557C9">
        <w:tc>
          <w:tcPr>
            <w:tcW w:w="2434" w:type="dxa"/>
          </w:tcPr>
          <w:p w:rsidR="00E44A01" w:rsidRPr="0038158D" w:rsidRDefault="00E14055"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Ultratech</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w:t>
            </w:r>
            <w:r w:rsidR="00F52B9F">
              <w:rPr>
                <w:rFonts w:ascii="Book Antiqua" w:hAnsi="Book Antiqua"/>
                <w:color w:val="000000"/>
                <w:sz w:val="28"/>
                <w:szCs w:val="28"/>
              </w:rPr>
              <w:t>1</w:t>
            </w:r>
            <w:r w:rsidRPr="00E44A01">
              <w:rPr>
                <w:rFonts w:ascii="Book Antiqua" w:hAnsi="Book Antiqua"/>
                <w:color w:val="000000"/>
                <w:sz w:val="28"/>
                <w:szCs w:val="28"/>
              </w:rPr>
              <w:t>.</w:t>
            </w:r>
            <w:r w:rsidR="00F52B9F">
              <w:rPr>
                <w:rFonts w:ascii="Book Antiqua" w:hAnsi="Book Antiqua"/>
                <w:color w:val="000000"/>
                <w:sz w:val="28"/>
                <w:szCs w:val="28"/>
              </w:rPr>
              <w:t>7</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3</w:t>
            </w:r>
            <w:r w:rsidR="003B2C03">
              <w:rPr>
                <w:rFonts w:ascii="Book Antiqua" w:hAnsi="Book Antiqua"/>
                <w:color w:val="000000"/>
                <w:sz w:val="28"/>
                <w:szCs w:val="28"/>
              </w:rPr>
              <w:t>0</w:t>
            </w:r>
            <w:r w:rsidRPr="00E44A01">
              <w:rPr>
                <w:rFonts w:ascii="Book Antiqua" w:hAnsi="Book Antiqua"/>
                <w:color w:val="000000"/>
                <w:sz w:val="28"/>
                <w:szCs w:val="28"/>
              </w:rPr>
              <w:t>.</w:t>
            </w:r>
            <w:r w:rsidR="003B2C03">
              <w:rPr>
                <w:rFonts w:ascii="Book Antiqua" w:hAnsi="Book Antiqua"/>
                <w:color w:val="000000"/>
                <w:sz w:val="28"/>
                <w:szCs w:val="28"/>
              </w:rPr>
              <w:t>4</w:t>
            </w:r>
          </w:p>
        </w:tc>
        <w:tc>
          <w:tcPr>
            <w:tcW w:w="2434" w:type="dxa"/>
          </w:tcPr>
          <w:p w:rsidR="00E44A01" w:rsidRPr="0038158D" w:rsidRDefault="003B2C03"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-9</w:t>
            </w:r>
            <w:r w:rsidR="00E44A01">
              <w:rPr>
                <w:rFonts w:ascii="Book Antiqua" w:hAnsi="Book Antiqua"/>
                <w:color w:val="000000" w:themeColor="text1"/>
                <w:sz w:val="28"/>
                <w:szCs w:val="28"/>
                <w:lang w:val="en-GB"/>
              </w:rPr>
              <w:t>.</w:t>
            </w:r>
            <w:r w:rsidR="00F52B9F">
              <w:rPr>
                <w:rFonts w:ascii="Book Antiqua" w:hAnsi="Book Antiqua"/>
                <w:color w:val="000000" w:themeColor="text1"/>
                <w:sz w:val="28"/>
                <w:szCs w:val="28"/>
                <w:lang w:val="en-GB"/>
              </w:rPr>
              <w:t>70</w:t>
            </w:r>
          </w:p>
        </w:tc>
      </w:tr>
      <w:tr w:rsidR="00E44A01" w:rsidTr="003557C9">
        <w:tc>
          <w:tcPr>
            <w:tcW w:w="2434" w:type="dxa"/>
          </w:tcPr>
          <w:p w:rsidR="00E44A01" w:rsidRPr="0038158D" w:rsidRDefault="00E14055"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Ambuja</w:t>
            </w:r>
          </w:p>
        </w:tc>
        <w:tc>
          <w:tcPr>
            <w:tcW w:w="2434" w:type="dxa"/>
            <w:vAlign w:val="center"/>
          </w:tcPr>
          <w:p w:rsidR="00E44A01" w:rsidRPr="00E44A01" w:rsidRDefault="00F52B9F" w:rsidP="00E44A01">
            <w:pPr>
              <w:jc w:val="center"/>
              <w:rPr>
                <w:rFonts w:ascii="Book Antiqua" w:hAnsi="Book Antiqua"/>
                <w:color w:val="000000"/>
                <w:sz w:val="28"/>
                <w:szCs w:val="28"/>
              </w:rPr>
            </w:pPr>
            <w:r>
              <w:rPr>
                <w:rFonts w:ascii="Book Antiqua" w:hAnsi="Book Antiqua"/>
                <w:color w:val="000000"/>
                <w:sz w:val="28"/>
                <w:szCs w:val="28"/>
              </w:rPr>
              <w:t>33</w:t>
            </w:r>
            <w:r w:rsidR="00E44A01" w:rsidRPr="00E44A01">
              <w:rPr>
                <w:rFonts w:ascii="Book Antiqua" w:hAnsi="Book Antiqua"/>
                <w:color w:val="000000"/>
                <w:sz w:val="28"/>
                <w:szCs w:val="28"/>
              </w:rPr>
              <w:t>.</w:t>
            </w:r>
            <w:r w:rsidR="003B2C03">
              <w:rPr>
                <w:rFonts w:ascii="Book Antiqua" w:hAnsi="Book Antiqua"/>
                <w:color w:val="000000"/>
                <w:sz w:val="28"/>
                <w:szCs w:val="28"/>
              </w:rPr>
              <w:t>1</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24</w:t>
            </w:r>
            <w:r w:rsidR="00E44A01" w:rsidRPr="00E44A01">
              <w:rPr>
                <w:rFonts w:ascii="Book Antiqua" w:hAnsi="Book Antiqua"/>
                <w:color w:val="000000"/>
                <w:sz w:val="28"/>
                <w:szCs w:val="28"/>
              </w:rPr>
              <w:t>.</w:t>
            </w:r>
            <w:r>
              <w:rPr>
                <w:rFonts w:ascii="Book Antiqua" w:hAnsi="Book Antiqua"/>
                <w:color w:val="000000"/>
                <w:sz w:val="28"/>
                <w:szCs w:val="28"/>
              </w:rPr>
              <w:t>3</w:t>
            </w:r>
          </w:p>
        </w:tc>
        <w:tc>
          <w:tcPr>
            <w:tcW w:w="2434" w:type="dxa"/>
          </w:tcPr>
          <w:p w:rsidR="00E44A01" w:rsidRPr="0038158D" w:rsidRDefault="003B2C03"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2</w:t>
            </w:r>
            <w:r w:rsidR="00E44A01">
              <w:rPr>
                <w:rFonts w:ascii="Book Antiqua" w:hAnsi="Book Antiqua"/>
                <w:color w:val="000000" w:themeColor="text1"/>
                <w:sz w:val="28"/>
                <w:szCs w:val="28"/>
                <w:lang w:val="en-GB"/>
              </w:rPr>
              <w:t>.</w:t>
            </w:r>
            <w:r w:rsidR="00F52B9F">
              <w:rPr>
                <w:rFonts w:ascii="Book Antiqua" w:hAnsi="Book Antiqua"/>
                <w:color w:val="000000" w:themeColor="text1"/>
                <w:sz w:val="28"/>
                <w:szCs w:val="28"/>
                <w:lang w:val="en-GB"/>
              </w:rPr>
              <w:t>48</w:t>
            </w:r>
          </w:p>
        </w:tc>
      </w:tr>
      <w:tr w:rsidR="00E44A01" w:rsidTr="003557C9">
        <w:tc>
          <w:tcPr>
            <w:tcW w:w="2434" w:type="dxa"/>
          </w:tcPr>
          <w:p w:rsidR="00E44A01" w:rsidRPr="0038158D" w:rsidRDefault="00E14055" w:rsidP="00E44A01">
            <w:pPr>
              <w:spacing w:before="240"/>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JK</w:t>
            </w:r>
          </w:p>
        </w:tc>
        <w:tc>
          <w:tcPr>
            <w:tcW w:w="2434" w:type="dxa"/>
            <w:vAlign w:val="center"/>
          </w:tcPr>
          <w:p w:rsidR="00E44A01" w:rsidRPr="00E44A01" w:rsidRDefault="00E44A01" w:rsidP="00E44A01">
            <w:pPr>
              <w:jc w:val="center"/>
              <w:rPr>
                <w:rFonts w:ascii="Book Antiqua" w:hAnsi="Book Antiqua"/>
                <w:color w:val="000000"/>
                <w:sz w:val="28"/>
                <w:szCs w:val="28"/>
              </w:rPr>
            </w:pPr>
            <w:r w:rsidRPr="00E44A01">
              <w:rPr>
                <w:rFonts w:ascii="Book Antiqua" w:hAnsi="Book Antiqua"/>
                <w:color w:val="000000"/>
                <w:sz w:val="28"/>
                <w:szCs w:val="28"/>
              </w:rPr>
              <w:t>5</w:t>
            </w:r>
            <w:r w:rsidR="00F52B9F">
              <w:rPr>
                <w:rFonts w:ascii="Book Antiqua" w:hAnsi="Book Antiqua"/>
                <w:color w:val="000000"/>
                <w:sz w:val="28"/>
                <w:szCs w:val="28"/>
              </w:rPr>
              <w:t>9</w:t>
            </w:r>
            <w:r w:rsidRPr="00E44A01">
              <w:rPr>
                <w:rFonts w:ascii="Book Antiqua" w:hAnsi="Book Antiqua"/>
                <w:color w:val="000000"/>
                <w:sz w:val="28"/>
                <w:szCs w:val="28"/>
              </w:rPr>
              <w:t>.</w:t>
            </w:r>
            <w:r w:rsidR="00F52B9F">
              <w:rPr>
                <w:rFonts w:ascii="Book Antiqua" w:hAnsi="Book Antiqua"/>
                <w:color w:val="000000"/>
                <w:sz w:val="28"/>
                <w:szCs w:val="28"/>
              </w:rPr>
              <w:t>3</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27</w:t>
            </w:r>
            <w:r w:rsidR="00E44A01" w:rsidRPr="00E44A01">
              <w:rPr>
                <w:rFonts w:ascii="Book Antiqua" w:hAnsi="Book Antiqua"/>
                <w:color w:val="000000"/>
                <w:sz w:val="28"/>
                <w:szCs w:val="28"/>
              </w:rPr>
              <w:t>.</w:t>
            </w:r>
            <w:r>
              <w:rPr>
                <w:rFonts w:ascii="Book Antiqua" w:hAnsi="Book Antiqua"/>
                <w:color w:val="000000"/>
                <w:sz w:val="28"/>
                <w:szCs w:val="28"/>
              </w:rPr>
              <w:t>0</w:t>
            </w:r>
          </w:p>
        </w:tc>
        <w:tc>
          <w:tcPr>
            <w:tcW w:w="2434" w:type="dxa"/>
          </w:tcPr>
          <w:p w:rsidR="00E44A01" w:rsidRPr="0038158D" w:rsidRDefault="00E44A01"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F52B9F">
              <w:rPr>
                <w:rFonts w:ascii="Book Antiqua" w:hAnsi="Book Antiqua"/>
                <w:color w:val="000000" w:themeColor="text1"/>
                <w:sz w:val="28"/>
                <w:szCs w:val="28"/>
                <w:lang w:val="en-GB"/>
              </w:rPr>
              <w:t>3</w:t>
            </w:r>
            <w:r>
              <w:rPr>
                <w:rFonts w:ascii="Book Antiqua" w:hAnsi="Book Antiqua"/>
                <w:color w:val="000000" w:themeColor="text1"/>
                <w:sz w:val="28"/>
                <w:szCs w:val="28"/>
                <w:lang w:val="en-GB"/>
              </w:rPr>
              <w:t>.</w:t>
            </w:r>
            <w:r w:rsidR="00F52B9F">
              <w:rPr>
                <w:rFonts w:ascii="Book Antiqua" w:hAnsi="Book Antiqua"/>
                <w:color w:val="000000" w:themeColor="text1"/>
                <w:sz w:val="28"/>
                <w:szCs w:val="28"/>
                <w:lang w:val="en-GB"/>
              </w:rPr>
              <w:t>6</w:t>
            </w:r>
          </w:p>
        </w:tc>
      </w:tr>
      <w:tr w:rsidR="00E44A01" w:rsidTr="003557C9">
        <w:tc>
          <w:tcPr>
            <w:tcW w:w="2434" w:type="dxa"/>
          </w:tcPr>
          <w:p w:rsidR="00E44A01" w:rsidRPr="0038158D" w:rsidRDefault="00E14055" w:rsidP="00E44A01">
            <w:pPr>
              <w:spacing w:before="240"/>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Dalmia</w:t>
            </w:r>
          </w:p>
        </w:tc>
        <w:tc>
          <w:tcPr>
            <w:tcW w:w="2434" w:type="dxa"/>
            <w:vAlign w:val="center"/>
          </w:tcPr>
          <w:p w:rsidR="00E44A01" w:rsidRPr="00E44A01" w:rsidRDefault="00F52B9F" w:rsidP="00E44A01">
            <w:pPr>
              <w:jc w:val="center"/>
              <w:rPr>
                <w:rFonts w:ascii="Book Antiqua" w:hAnsi="Book Antiqua"/>
                <w:color w:val="000000"/>
                <w:sz w:val="28"/>
                <w:szCs w:val="28"/>
              </w:rPr>
            </w:pPr>
            <w:r>
              <w:rPr>
                <w:rFonts w:ascii="Book Antiqua" w:hAnsi="Book Antiqua"/>
                <w:color w:val="000000"/>
                <w:sz w:val="28"/>
                <w:szCs w:val="28"/>
              </w:rPr>
              <w:t>45</w:t>
            </w:r>
            <w:r w:rsidR="00E44A01" w:rsidRPr="00E44A01">
              <w:rPr>
                <w:rFonts w:ascii="Book Antiqua" w:hAnsi="Book Antiqua"/>
                <w:color w:val="000000"/>
                <w:sz w:val="28"/>
                <w:szCs w:val="28"/>
              </w:rPr>
              <w:t>.</w:t>
            </w:r>
            <w:r>
              <w:rPr>
                <w:rFonts w:ascii="Book Antiqua" w:hAnsi="Book Antiqua"/>
                <w:color w:val="000000"/>
                <w:sz w:val="28"/>
                <w:szCs w:val="28"/>
              </w:rPr>
              <w:t>7</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19</w:t>
            </w:r>
            <w:r w:rsidR="00E44A01" w:rsidRPr="00E44A01">
              <w:rPr>
                <w:rFonts w:ascii="Book Antiqua" w:hAnsi="Book Antiqua"/>
                <w:color w:val="000000"/>
                <w:sz w:val="28"/>
                <w:szCs w:val="28"/>
              </w:rPr>
              <w:t>.</w:t>
            </w:r>
            <w:r>
              <w:rPr>
                <w:rFonts w:ascii="Book Antiqua" w:hAnsi="Book Antiqua"/>
                <w:color w:val="000000"/>
                <w:sz w:val="28"/>
                <w:szCs w:val="28"/>
              </w:rPr>
              <w:t>4</w:t>
            </w:r>
          </w:p>
        </w:tc>
        <w:tc>
          <w:tcPr>
            <w:tcW w:w="2434" w:type="dxa"/>
          </w:tcPr>
          <w:p w:rsidR="00E44A01" w:rsidRPr="0038158D" w:rsidRDefault="003B2C03"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-22</w:t>
            </w:r>
            <w:r w:rsidR="00E44A01">
              <w:rPr>
                <w:rFonts w:ascii="Book Antiqua" w:hAnsi="Book Antiqua"/>
                <w:color w:val="000000" w:themeColor="text1"/>
                <w:sz w:val="28"/>
                <w:szCs w:val="28"/>
                <w:lang w:val="en-GB"/>
              </w:rPr>
              <w:t>.</w:t>
            </w:r>
            <w:r w:rsidR="00F52B9F">
              <w:rPr>
                <w:rFonts w:ascii="Book Antiqua" w:hAnsi="Book Antiqua"/>
                <w:color w:val="000000" w:themeColor="text1"/>
                <w:sz w:val="28"/>
                <w:szCs w:val="28"/>
                <w:lang w:val="en-GB"/>
              </w:rPr>
              <w:t>4</w:t>
            </w:r>
          </w:p>
        </w:tc>
      </w:tr>
      <w:tr w:rsidR="00E44A01" w:rsidTr="003557C9">
        <w:tc>
          <w:tcPr>
            <w:tcW w:w="2434" w:type="dxa"/>
          </w:tcPr>
          <w:p w:rsidR="00E44A01" w:rsidRPr="0038158D" w:rsidRDefault="00E14055"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ACC</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14</w:t>
            </w:r>
            <w:r w:rsidR="00E44A01" w:rsidRPr="00E44A01">
              <w:rPr>
                <w:rFonts w:ascii="Book Antiqua" w:hAnsi="Book Antiqua"/>
                <w:color w:val="000000"/>
                <w:sz w:val="28"/>
                <w:szCs w:val="28"/>
              </w:rPr>
              <w:t>.</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10</w:t>
            </w:r>
            <w:r w:rsidR="00E44A01" w:rsidRPr="00E44A01">
              <w:rPr>
                <w:rFonts w:ascii="Book Antiqua" w:hAnsi="Book Antiqua"/>
                <w:color w:val="000000"/>
                <w:sz w:val="28"/>
                <w:szCs w:val="28"/>
              </w:rPr>
              <w:t>.</w:t>
            </w:r>
            <w:r>
              <w:rPr>
                <w:rFonts w:ascii="Book Antiqua" w:hAnsi="Book Antiqua"/>
                <w:color w:val="000000"/>
                <w:sz w:val="28"/>
                <w:szCs w:val="28"/>
              </w:rPr>
              <w:t>8</w:t>
            </w:r>
          </w:p>
        </w:tc>
        <w:tc>
          <w:tcPr>
            <w:tcW w:w="2434" w:type="dxa"/>
          </w:tcPr>
          <w:p w:rsidR="00E44A01" w:rsidRPr="0038158D" w:rsidRDefault="003B2C03"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2</w:t>
            </w:r>
            <w:r w:rsidR="00E44A01">
              <w:rPr>
                <w:rFonts w:ascii="Book Antiqua" w:hAnsi="Book Antiqua"/>
                <w:color w:val="000000" w:themeColor="text1"/>
                <w:sz w:val="28"/>
                <w:szCs w:val="28"/>
                <w:lang w:val="en-GB"/>
              </w:rPr>
              <w:t>.</w:t>
            </w:r>
            <w:r>
              <w:rPr>
                <w:rFonts w:ascii="Book Antiqua" w:hAnsi="Book Antiqua"/>
                <w:color w:val="000000" w:themeColor="text1"/>
                <w:sz w:val="28"/>
                <w:szCs w:val="28"/>
                <w:lang w:val="en-GB"/>
              </w:rPr>
              <w:t>18</w:t>
            </w:r>
          </w:p>
        </w:tc>
      </w:tr>
      <w:tr w:rsidR="00E44A01" w:rsidTr="003557C9">
        <w:tc>
          <w:tcPr>
            <w:tcW w:w="2434" w:type="dxa"/>
          </w:tcPr>
          <w:p w:rsidR="00E44A01" w:rsidRPr="0038158D" w:rsidRDefault="00E14055" w:rsidP="00E44A01">
            <w:pPr>
              <w:spacing w:before="240" w:line="360" w:lineRule="auto"/>
              <w:contextualSpacing/>
              <w:rPr>
                <w:rFonts w:ascii="Book Antiqua" w:hAnsi="Book Antiqua"/>
                <w:b/>
                <w:bCs/>
                <w:color w:val="000000" w:themeColor="text1"/>
                <w:sz w:val="28"/>
                <w:szCs w:val="28"/>
                <w:lang w:val="en-GB"/>
              </w:rPr>
            </w:pPr>
            <w:r>
              <w:rPr>
                <w:rFonts w:ascii="Book Antiqua" w:hAnsi="Book Antiqua"/>
                <w:b/>
                <w:bCs/>
                <w:color w:val="000000" w:themeColor="text1"/>
                <w:sz w:val="28"/>
                <w:szCs w:val="28"/>
                <w:lang w:val="en-GB"/>
              </w:rPr>
              <w:t>Ramco</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103</w:t>
            </w:r>
            <w:r w:rsidR="00E44A01" w:rsidRPr="00E44A01">
              <w:rPr>
                <w:rFonts w:ascii="Book Antiqua" w:hAnsi="Book Antiqua"/>
                <w:color w:val="000000"/>
                <w:sz w:val="28"/>
                <w:szCs w:val="28"/>
              </w:rPr>
              <w:t>.</w:t>
            </w:r>
            <w:r>
              <w:rPr>
                <w:rFonts w:ascii="Book Antiqua" w:hAnsi="Book Antiqua"/>
                <w:color w:val="000000"/>
                <w:sz w:val="28"/>
                <w:szCs w:val="28"/>
              </w:rPr>
              <w:t>9</w:t>
            </w:r>
          </w:p>
        </w:tc>
        <w:tc>
          <w:tcPr>
            <w:tcW w:w="2434" w:type="dxa"/>
            <w:vAlign w:val="center"/>
          </w:tcPr>
          <w:p w:rsidR="00E44A01" w:rsidRPr="00E44A01" w:rsidRDefault="003B2C03" w:rsidP="00E44A01">
            <w:pPr>
              <w:jc w:val="center"/>
              <w:rPr>
                <w:rFonts w:ascii="Book Antiqua" w:hAnsi="Book Antiqua"/>
                <w:color w:val="000000"/>
                <w:sz w:val="28"/>
                <w:szCs w:val="28"/>
              </w:rPr>
            </w:pPr>
            <w:r>
              <w:rPr>
                <w:rFonts w:ascii="Book Antiqua" w:hAnsi="Book Antiqua"/>
                <w:color w:val="000000"/>
                <w:sz w:val="28"/>
                <w:szCs w:val="28"/>
              </w:rPr>
              <w:t>26</w:t>
            </w:r>
            <w:r w:rsidR="00E44A01" w:rsidRPr="00E44A01">
              <w:rPr>
                <w:rFonts w:ascii="Book Antiqua" w:hAnsi="Book Antiqua"/>
                <w:color w:val="000000"/>
                <w:sz w:val="28"/>
                <w:szCs w:val="28"/>
              </w:rPr>
              <w:t>.</w:t>
            </w:r>
            <w:r>
              <w:rPr>
                <w:rFonts w:ascii="Book Antiqua" w:hAnsi="Book Antiqua"/>
                <w:color w:val="000000"/>
                <w:sz w:val="28"/>
                <w:szCs w:val="28"/>
              </w:rPr>
              <w:t>3</w:t>
            </w:r>
          </w:p>
        </w:tc>
        <w:tc>
          <w:tcPr>
            <w:tcW w:w="2434" w:type="dxa"/>
          </w:tcPr>
          <w:p w:rsidR="00E44A01" w:rsidRPr="0038158D" w:rsidRDefault="003B2C03" w:rsidP="00E44A01">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w:t>
            </w:r>
            <w:r w:rsidR="00D73F31">
              <w:rPr>
                <w:rFonts w:ascii="Book Antiqua" w:hAnsi="Book Antiqua"/>
                <w:color w:val="000000" w:themeColor="text1"/>
                <w:sz w:val="28"/>
                <w:szCs w:val="28"/>
                <w:lang w:val="en-GB"/>
              </w:rPr>
              <w:t>5.</w:t>
            </w:r>
            <w:r>
              <w:rPr>
                <w:rFonts w:ascii="Book Antiqua" w:hAnsi="Book Antiqua"/>
                <w:color w:val="000000" w:themeColor="text1"/>
                <w:sz w:val="28"/>
                <w:szCs w:val="28"/>
                <w:lang w:val="en-GB"/>
              </w:rPr>
              <w:t>23</w:t>
            </w:r>
          </w:p>
        </w:tc>
      </w:tr>
    </w:tbl>
    <w:p w:rsidR="00D5023F" w:rsidRPr="009406FC" w:rsidRDefault="0043297D" w:rsidP="00FB1421">
      <w:pPr>
        <w:spacing w:before="240" w:line="360" w:lineRule="auto"/>
        <w:contextualSpacing/>
        <w:jc w:val="both"/>
        <w:rPr>
          <w:i/>
          <w:iCs/>
          <w:sz w:val="18"/>
          <w:szCs w:val="18"/>
          <w:lang w:val="en-GB"/>
        </w:rPr>
      </w:pPr>
      <w:r w:rsidRPr="001712BC">
        <w:rPr>
          <w:i/>
          <w:iCs/>
          <w:sz w:val="18"/>
          <w:szCs w:val="18"/>
          <w:lang w:val="en-GB"/>
        </w:rPr>
        <w:t>Source: Company Financial Report</w:t>
      </w:r>
    </w:p>
    <w:p w:rsidR="00A03890" w:rsidRPr="00A03890" w:rsidRDefault="00A03890" w:rsidP="00A03890">
      <w:pPr>
        <w:spacing w:before="100" w:beforeAutospacing="1" w:after="100" w:afterAutospacing="1" w:line="360" w:lineRule="auto"/>
        <w:rPr>
          <w:rFonts w:eastAsia="Times New Roman" w:cstheme="minorHAnsi"/>
          <w:color w:val="000000"/>
          <w:kern w:val="0"/>
          <w:sz w:val="28"/>
          <w:szCs w:val="28"/>
          <w:lang w:eastAsia="en-GB"/>
          <w14:ligatures w14:val="none"/>
        </w:rPr>
      </w:pPr>
      <w:r w:rsidRPr="00A03890">
        <w:rPr>
          <w:rFonts w:eastAsia="Times New Roman" w:cstheme="minorHAnsi"/>
          <w:color w:val="000000"/>
          <w:kern w:val="0"/>
          <w:sz w:val="28"/>
          <w:szCs w:val="28"/>
          <w:lang w:eastAsia="en-GB"/>
          <w14:ligatures w14:val="none"/>
        </w:rPr>
        <w:t xml:space="preserve">Shree Cement is steadily expanding its integrated capacity and market presence through disciplined execution and a focus on premiumisation. In FY25, it commissioned key units at Etah (Uttar Pradesh) and </w:t>
      </w:r>
      <w:proofErr w:type="spellStart"/>
      <w:r w:rsidRPr="00A03890">
        <w:rPr>
          <w:rFonts w:eastAsia="Times New Roman" w:cstheme="minorHAnsi"/>
          <w:color w:val="000000"/>
          <w:kern w:val="0"/>
          <w:sz w:val="28"/>
          <w:szCs w:val="28"/>
          <w:lang w:eastAsia="en-GB"/>
          <w14:ligatures w14:val="none"/>
        </w:rPr>
        <w:t>Baloda</w:t>
      </w:r>
      <w:proofErr w:type="spellEnd"/>
      <w:r w:rsidRPr="00A03890">
        <w:rPr>
          <w:rFonts w:eastAsia="Times New Roman" w:cstheme="minorHAnsi"/>
          <w:color w:val="000000"/>
          <w:kern w:val="0"/>
          <w:sz w:val="28"/>
          <w:szCs w:val="28"/>
          <w:lang w:eastAsia="en-GB"/>
          <w14:ligatures w14:val="none"/>
        </w:rPr>
        <w:t xml:space="preserve"> Bazar (Chhattisgarh), raising total cement capacity to 62.8 MTPA. The clinker unit at </w:t>
      </w:r>
      <w:proofErr w:type="spellStart"/>
      <w:r w:rsidRPr="00A03890">
        <w:rPr>
          <w:rFonts w:eastAsia="Times New Roman" w:cstheme="minorHAnsi"/>
          <w:color w:val="000000"/>
          <w:kern w:val="0"/>
          <w:sz w:val="28"/>
          <w:szCs w:val="28"/>
          <w:lang w:eastAsia="en-GB"/>
          <w14:ligatures w14:val="none"/>
        </w:rPr>
        <w:t>Nawalgarh</w:t>
      </w:r>
      <w:proofErr w:type="spellEnd"/>
      <w:r w:rsidRPr="00A03890">
        <w:rPr>
          <w:rFonts w:eastAsia="Times New Roman" w:cstheme="minorHAnsi"/>
          <w:color w:val="000000"/>
          <w:kern w:val="0"/>
          <w:sz w:val="28"/>
          <w:szCs w:val="28"/>
          <w:lang w:eastAsia="en-GB"/>
          <w14:ligatures w14:val="none"/>
        </w:rPr>
        <w:t xml:space="preserve"> was also upgraded to 4.5 MTPA, strengthening operational efficiency and deepening its footprint in high-demand Northern and Eastern markets.</w:t>
      </w:r>
    </w:p>
    <w:p w:rsidR="00A03890" w:rsidRPr="00A03890" w:rsidRDefault="00A03890" w:rsidP="00A03890">
      <w:pPr>
        <w:spacing w:before="100" w:beforeAutospacing="1" w:after="100" w:afterAutospacing="1" w:line="360" w:lineRule="auto"/>
        <w:rPr>
          <w:rFonts w:eastAsia="Times New Roman" w:cstheme="minorHAnsi"/>
          <w:color w:val="000000"/>
          <w:kern w:val="0"/>
          <w:sz w:val="28"/>
          <w:szCs w:val="28"/>
          <w:lang w:eastAsia="en-GB"/>
          <w14:ligatures w14:val="none"/>
        </w:rPr>
      </w:pPr>
      <w:r w:rsidRPr="00A03890">
        <w:rPr>
          <w:rFonts w:eastAsia="Times New Roman" w:cstheme="minorHAnsi"/>
          <w:color w:val="000000"/>
          <w:kern w:val="0"/>
          <w:sz w:val="28"/>
          <w:szCs w:val="28"/>
          <w:lang w:eastAsia="en-GB"/>
          <w14:ligatures w14:val="none"/>
        </w:rPr>
        <w:t xml:space="preserve">Further capacity additions are underway, with 3.0 MTPA integrated plants at </w:t>
      </w:r>
      <w:proofErr w:type="spellStart"/>
      <w:r w:rsidRPr="00A03890">
        <w:rPr>
          <w:rFonts w:eastAsia="Times New Roman" w:cstheme="minorHAnsi"/>
          <w:color w:val="000000"/>
          <w:kern w:val="0"/>
          <w:sz w:val="28"/>
          <w:szCs w:val="28"/>
          <w:lang w:eastAsia="en-GB"/>
          <w14:ligatures w14:val="none"/>
        </w:rPr>
        <w:t>Jaitaran</w:t>
      </w:r>
      <w:proofErr w:type="spellEnd"/>
      <w:r w:rsidRPr="00A03890">
        <w:rPr>
          <w:rFonts w:eastAsia="Times New Roman" w:cstheme="minorHAnsi"/>
          <w:color w:val="000000"/>
          <w:kern w:val="0"/>
          <w:sz w:val="28"/>
          <w:szCs w:val="28"/>
          <w:lang w:eastAsia="en-GB"/>
          <w14:ligatures w14:val="none"/>
        </w:rPr>
        <w:t xml:space="preserve"> (Rajasthan) and </w:t>
      </w:r>
      <w:proofErr w:type="spellStart"/>
      <w:r w:rsidRPr="00A03890">
        <w:rPr>
          <w:rFonts w:eastAsia="Times New Roman" w:cstheme="minorHAnsi"/>
          <w:color w:val="000000"/>
          <w:kern w:val="0"/>
          <w:sz w:val="28"/>
          <w:szCs w:val="28"/>
          <w:lang w:eastAsia="en-GB"/>
          <w14:ligatures w14:val="none"/>
        </w:rPr>
        <w:t>Kodla</w:t>
      </w:r>
      <w:proofErr w:type="spellEnd"/>
      <w:r w:rsidRPr="00A03890">
        <w:rPr>
          <w:rFonts w:eastAsia="Times New Roman" w:cstheme="minorHAnsi"/>
          <w:color w:val="000000"/>
          <w:kern w:val="0"/>
          <w:sz w:val="28"/>
          <w:szCs w:val="28"/>
          <w:lang w:eastAsia="en-GB"/>
          <w14:ligatures w14:val="none"/>
        </w:rPr>
        <w:t xml:space="preserve"> (Karnataka) progressing as per schedule. On completion, total cement capacity will reach 68.8 MTPA.</w:t>
      </w:r>
    </w:p>
    <w:p w:rsidR="00A03890" w:rsidRPr="00A03890" w:rsidRDefault="00A03890" w:rsidP="00A03890">
      <w:pPr>
        <w:spacing w:before="100" w:beforeAutospacing="1" w:after="100" w:afterAutospacing="1" w:line="360" w:lineRule="auto"/>
        <w:rPr>
          <w:rFonts w:eastAsia="Times New Roman" w:cstheme="minorHAnsi"/>
          <w:color w:val="000000"/>
          <w:kern w:val="0"/>
          <w:sz w:val="28"/>
          <w:szCs w:val="28"/>
          <w:lang w:eastAsia="en-GB"/>
          <w14:ligatures w14:val="none"/>
        </w:rPr>
      </w:pPr>
      <w:r w:rsidRPr="00A03890">
        <w:rPr>
          <w:rFonts w:eastAsia="Times New Roman" w:cstheme="minorHAnsi"/>
          <w:color w:val="000000"/>
          <w:kern w:val="0"/>
          <w:sz w:val="28"/>
          <w:szCs w:val="28"/>
          <w:lang w:eastAsia="en-GB"/>
          <w14:ligatures w14:val="none"/>
        </w:rPr>
        <w:t>Simultaneously, the company is scaling up its Ready-Mix Concrete (RMC) segment—from 15 plants at the start of FY25 to 21 currently—with a target of 50 by year-end, enhancing its value chain integration.</w:t>
      </w:r>
    </w:p>
    <w:p w:rsidR="00A03890" w:rsidRPr="00A03890" w:rsidRDefault="00A03890" w:rsidP="00A03890">
      <w:pPr>
        <w:spacing w:before="100" w:beforeAutospacing="1" w:after="100" w:afterAutospacing="1" w:line="360" w:lineRule="auto"/>
        <w:rPr>
          <w:rFonts w:eastAsia="Times New Roman" w:cstheme="minorHAnsi"/>
          <w:color w:val="000000"/>
          <w:kern w:val="0"/>
          <w:sz w:val="28"/>
          <w:szCs w:val="28"/>
          <w:lang w:eastAsia="en-GB"/>
          <w14:ligatures w14:val="none"/>
        </w:rPr>
      </w:pPr>
      <w:r w:rsidRPr="00A03890">
        <w:rPr>
          <w:rFonts w:eastAsia="Times New Roman" w:cstheme="minorHAnsi"/>
          <w:color w:val="000000"/>
          <w:kern w:val="0"/>
          <w:sz w:val="28"/>
          <w:szCs w:val="28"/>
          <w:lang w:eastAsia="en-GB"/>
          <w14:ligatures w14:val="none"/>
        </w:rPr>
        <w:t>With a robust net cash position of ₹5,400 crore as of March 2025, Shree Cement is well-positioned to fund its ₹3,000 crore FY26 capex plan while maintaining strong financial discipline.</w:t>
      </w:r>
    </w:p>
    <w:p w:rsidR="00D5023F" w:rsidRPr="00E14055" w:rsidRDefault="00700E6D" w:rsidP="00B3118B">
      <w:pPr>
        <w:spacing w:before="100" w:beforeAutospacing="1" w:after="100" w:afterAutospacing="1" w:line="360" w:lineRule="auto"/>
        <w:rPr>
          <w:color w:val="EE0000"/>
          <w:sz w:val="28"/>
          <w:szCs w:val="28"/>
        </w:rPr>
      </w:pPr>
      <w:r w:rsidRPr="00E14055">
        <w:rPr>
          <w:b/>
          <w:bCs/>
          <w:color w:val="EE0000"/>
          <w:sz w:val="36"/>
          <w:szCs w:val="36"/>
          <w:lang w:val="en-GB"/>
        </w:rPr>
        <w:lastRenderedPageBreak/>
        <w:t>PRICE ACTION</w:t>
      </w:r>
    </w:p>
    <w:tbl>
      <w:tblPr>
        <w:tblStyle w:val="TableGrid"/>
        <w:tblW w:w="0" w:type="auto"/>
        <w:tblLook w:val="04A0" w:firstRow="1" w:lastRow="0" w:firstColumn="1" w:lastColumn="0" w:noHBand="0" w:noVBand="1"/>
      </w:tblPr>
      <w:tblGrid>
        <w:gridCol w:w="3137"/>
        <w:gridCol w:w="3137"/>
      </w:tblGrid>
      <w:tr w:rsidR="00700E6D" w:rsidTr="004011ED">
        <w:trPr>
          <w:trHeight w:val="664"/>
        </w:trPr>
        <w:tc>
          <w:tcPr>
            <w:tcW w:w="3137" w:type="dxa"/>
            <w:shd w:val="clear" w:color="auto" w:fill="767171" w:themeFill="background2" w:themeFillShade="80"/>
          </w:tcPr>
          <w:p w:rsidR="00700E6D" w:rsidRPr="001712BC" w:rsidRDefault="00700E6D" w:rsidP="001712BC">
            <w:pPr>
              <w:spacing w:before="240" w:line="360" w:lineRule="auto"/>
              <w:contextualSpacing/>
              <w:rPr>
                <w:rFonts w:ascii="Book Antiqua" w:hAnsi="Book Antiqua"/>
                <w:b/>
                <w:bCs/>
                <w:color w:val="000000" w:themeColor="text1"/>
                <w:sz w:val="28"/>
                <w:szCs w:val="28"/>
                <w:lang w:val="en-GB"/>
              </w:rPr>
            </w:pPr>
            <w:r w:rsidRPr="001712BC">
              <w:rPr>
                <w:rFonts w:ascii="Book Antiqua" w:hAnsi="Book Antiqua"/>
                <w:b/>
                <w:bCs/>
                <w:color w:val="000000" w:themeColor="text1"/>
                <w:sz w:val="28"/>
                <w:szCs w:val="28"/>
                <w:lang w:val="en-GB"/>
              </w:rPr>
              <w:t>Parameters</w:t>
            </w:r>
          </w:p>
        </w:tc>
        <w:tc>
          <w:tcPr>
            <w:tcW w:w="3137" w:type="dxa"/>
            <w:shd w:val="clear" w:color="auto" w:fill="767171" w:themeFill="background2" w:themeFillShade="80"/>
          </w:tcPr>
          <w:p w:rsidR="00700E6D" w:rsidRDefault="00700E6D" w:rsidP="001712BC">
            <w:pPr>
              <w:spacing w:before="240" w:line="360" w:lineRule="auto"/>
              <w:contextualSpacing/>
              <w:rPr>
                <w:b/>
                <w:bCs/>
                <w:color w:val="2E74B5" w:themeColor="accent5" w:themeShade="BF"/>
                <w:sz w:val="36"/>
                <w:szCs w:val="36"/>
                <w:lang w:val="en-GB"/>
              </w:rPr>
            </w:pPr>
            <w:r w:rsidRPr="001712BC">
              <w:rPr>
                <w:rFonts w:ascii="Book Antiqua" w:hAnsi="Book Antiqua"/>
                <w:b/>
                <w:bCs/>
                <w:color w:val="000000" w:themeColor="text1"/>
                <w:sz w:val="28"/>
                <w:szCs w:val="28"/>
                <w:lang w:val="en-GB"/>
              </w:rPr>
              <w:t>Range</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Volume Traded</w:t>
            </w:r>
          </w:p>
        </w:tc>
        <w:tc>
          <w:tcPr>
            <w:tcW w:w="3137" w:type="dxa"/>
          </w:tcPr>
          <w:p w:rsidR="00700E6D" w:rsidRDefault="002F2283" w:rsidP="00BD5A2D">
            <w:pPr>
              <w:spacing w:before="240" w:line="360" w:lineRule="auto"/>
              <w:contextualSpacing/>
              <w:jc w:val="center"/>
              <w:rPr>
                <w:b/>
                <w:bCs/>
                <w:color w:val="2E74B5" w:themeColor="accent5" w:themeShade="BF"/>
                <w:sz w:val="36"/>
                <w:szCs w:val="36"/>
                <w:lang w:val="en-GB"/>
              </w:rPr>
            </w:pPr>
            <w:r>
              <w:rPr>
                <w:rFonts w:ascii="Book Antiqua" w:hAnsi="Book Antiqua"/>
                <w:color w:val="000000" w:themeColor="text1"/>
                <w:sz w:val="28"/>
                <w:szCs w:val="28"/>
                <w:lang w:val="en-GB"/>
              </w:rPr>
              <w:t>91</w:t>
            </w:r>
            <w:r w:rsidR="001F6444" w:rsidRPr="001F6444">
              <w:rPr>
                <w:rFonts w:ascii="Book Antiqua" w:hAnsi="Book Antiqua"/>
                <w:color w:val="000000" w:themeColor="text1"/>
                <w:sz w:val="28"/>
                <w:szCs w:val="28"/>
                <w:lang w:val="en-GB"/>
              </w:rPr>
              <w:t>,</w:t>
            </w:r>
            <w:r>
              <w:rPr>
                <w:rFonts w:ascii="Book Antiqua" w:hAnsi="Book Antiqua"/>
                <w:color w:val="000000" w:themeColor="text1"/>
                <w:sz w:val="28"/>
                <w:szCs w:val="28"/>
                <w:lang w:val="en-GB"/>
              </w:rPr>
              <w:t>073</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Current Price</w:t>
            </w:r>
          </w:p>
        </w:tc>
        <w:tc>
          <w:tcPr>
            <w:tcW w:w="3137" w:type="dxa"/>
          </w:tcPr>
          <w:p w:rsidR="002F2283" w:rsidRPr="00BD5A2D" w:rsidRDefault="00EA1DD4" w:rsidP="002F2283">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30</w:t>
            </w:r>
            <w:r w:rsidR="002F2283">
              <w:rPr>
                <w:rFonts w:ascii="Book Antiqua" w:hAnsi="Book Antiqua"/>
                <w:color w:val="000000" w:themeColor="text1"/>
                <w:sz w:val="28"/>
                <w:szCs w:val="28"/>
                <w:lang w:val="en-GB"/>
              </w:rPr>
              <w:t>590</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Face Value</w:t>
            </w:r>
          </w:p>
        </w:tc>
        <w:tc>
          <w:tcPr>
            <w:tcW w:w="3137" w:type="dxa"/>
          </w:tcPr>
          <w:p w:rsidR="005445DF" w:rsidRPr="00BD5A2D" w:rsidRDefault="005445DF" w:rsidP="005445DF">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1</w:t>
            </w:r>
            <w:r w:rsidR="003B2C03">
              <w:rPr>
                <w:rFonts w:ascii="Book Antiqua" w:hAnsi="Book Antiqua"/>
                <w:color w:val="000000" w:themeColor="text1"/>
                <w:sz w:val="28"/>
                <w:szCs w:val="28"/>
                <w:lang w:val="en-GB"/>
              </w:rPr>
              <w:t>0</w:t>
            </w:r>
            <w:r w:rsidR="0080580C">
              <w:rPr>
                <w:rFonts w:ascii="Book Antiqua" w:hAnsi="Book Antiqua"/>
                <w:color w:val="000000" w:themeColor="text1"/>
                <w:sz w:val="28"/>
                <w:szCs w:val="28"/>
                <w:lang w:val="en-GB"/>
              </w:rPr>
              <w:t>.0</w:t>
            </w:r>
          </w:p>
        </w:tc>
      </w:tr>
      <w:tr w:rsidR="00700E6D" w:rsidTr="004011ED">
        <w:trPr>
          <w:trHeight w:val="664"/>
        </w:trPr>
        <w:tc>
          <w:tcPr>
            <w:tcW w:w="3137" w:type="dxa"/>
          </w:tcPr>
          <w:p w:rsidR="00700E6D" w:rsidRPr="001712BC" w:rsidRDefault="00700E6D"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Previous Value</w:t>
            </w:r>
          </w:p>
        </w:tc>
        <w:tc>
          <w:tcPr>
            <w:tcW w:w="3137" w:type="dxa"/>
          </w:tcPr>
          <w:p w:rsidR="00700E6D" w:rsidRPr="00BD5A2D" w:rsidRDefault="00EA1DD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30</w:t>
            </w:r>
            <w:r w:rsidR="002F2283">
              <w:rPr>
                <w:rFonts w:ascii="Book Antiqua" w:hAnsi="Book Antiqua"/>
                <w:color w:val="000000" w:themeColor="text1"/>
                <w:sz w:val="28"/>
                <w:szCs w:val="28"/>
                <w:lang w:val="en-GB"/>
              </w:rPr>
              <w:t>645</w:t>
            </w:r>
          </w:p>
        </w:tc>
      </w:tr>
      <w:tr w:rsidR="00700E6D" w:rsidTr="004011ED">
        <w:trPr>
          <w:trHeight w:val="675"/>
        </w:trPr>
        <w:tc>
          <w:tcPr>
            <w:tcW w:w="3137" w:type="dxa"/>
          </w:tcPr>
          <w:p w:rsidR="00700E6D" w:rsidRPr="001712BC" w:rsidRDefault="001712BC"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Open Price</w:t>
            </w:r>
          </w:p>
        </w:tc>
        <w:tc>
          <w:tcPr>
            <w:tcW w:w="3137" w:type="dxa"/>
          </w:tcPr>
          <w:p w:rsidR="00700E6D" w:rsidRPr="00BD5A2D" w:rsidRDefault="00EA1DD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30,7</w:t>
            </w:r>
            <w:r w:rsidR="002F2283">
              <w:rPr>
                <w:rFonts w:ascii="Book Antiqua" w:hAnsi="Book Antiqua"/>
                <w:color w:val="000000" w:themeColor="text1"/>
                <w:sz w:val="28"/>
                <w:szCs w:val="28"/>
                <w:lang w:val="en-GB"/>
              </w:rPr>
              <w:t>25</w:t>
            </w:r>
          </w:p>
        </w:tc>
      </w:tr>
      <w:tr w:rsidR="00700E6D" w:rsidTr="004011ED">
        <w:trPr>
          <w:trHeight w:val="664"/>
        </w:trPr>
        <w:tc>
          <w:tcPr>
            <w:tcW w:w="3137" w:type="dxa"/>
          </w:tcPr>
          <w:p w:rsidR="00700E6D" w:rsidRPr="001712BC" w:rsidRDefault="001712BC"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Today low/high</w:t>
            </w:r>
          </w:p>
        </w:tc>
        <w:tc>
          <w:tcPr>
            <w:tcW w:w="3137" w:type="dxa"/>
          </w:tcPr>
          <w:p w:rsidR="00700E6D" w:rsidRPr="00BD5A2D" w:rsidRDefault="00EA1DD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30,</w:t>
            </w:r>
            <w:r w:rsidR="002F2283">
              <w:rPr>
                <w:rFonts w:ascii="Book Antiqua" w:hAnsi="Book Antiqua"/>
                <w:color w:val="000000" w:themeColor="text1"/>
                <w:sz w:val="28"/>
                <w:szCs w:val="28"/>
                <w:lang w:val="en-GB"/>
              </w:rPr>
              <w:t>120</w:t>
            </w:r>
            <w:r w:rsidR="00BD5A2D">
              <w:rPr>
                <w:rFonts w:ascii="Book Antiqua" w:hAnsi="Book Antiqua"/>
                <w:color w:val="000000" w:themeColor="text1"/>
                <w:sz w:val="28"/>
                <w:szCs w:val="28"/>
                <w:lang w:val="en-GB"/>
              </w:rPr>
              <w:t>/</w:t>
            </w:r>
            <w:r>
              <w:rPr>
                <w:rFonts w:ascii="Book Antiqua" w:hAnsi="Book Antiqua"/>
                <w:color w:val="000000" w:themeColor="text1"/>
                <w:sz w:val="28"/>
                <w:szCs w:val="28"/>
                <w:lang w:val="en-GB"/>
              </w:rPr>
              <w:t>31</w:t>
            </w:r>
            <w:r w:rsidR="002F2283">
              <w:rPr>
                <w:rFonts w:ascii="Book Antiqua" w:hAnsi="Book Antiqua"/>
                <w:color w:val="000000" w:themeColor="text1"/>
                <w:sz w:val="28"/>
                <w:szCs w:val="28"/>
                <w:lang w:val="en-GB"/>
              </w:rPr>
              <w:t>,1</w:t>
            </w:r>
            <w:r>
              <w:rPr>
                <w:rFonts w:ascii="Book Antiqua" w:hAnsi="Book Antiqua"/>
                <w:color w:val="000000" w:themeColor="text1"/>
                <w:sz w:val="28"/>
                <w:szCs w:val="28"/>
                <w:lang w:val="en-GB"/>
              </w:rPr>
              <w:t>1</w:t>
            </w:r>
            <w:r w:rsidR="002F2283">
              <w:rPr>
                <w:rFonts w:ascii="Book Antiqua" w:hAnsi="Book Antiqua"/>
                <w:color w:val="000000" w:themeColor="text1"/>
                <w:sz w:val="28"/>
                <w:szCs w:val="28"/>
                <w:lang w:val="en-GB"/>
              </w:rPr>
              <w:t>0</w:t>
            </w:r>
          </w:p>
        </w:tc>
      </w:tr>
      <w:tr w:rsidR="00700E6D" w:rsidTr="004011ED">
        <w:trPr>
          <w:trHeight w:val="664"/>
        </w:trPr>
        <w:tc>
          <w:tcPr>
            <w:tcW w:w="3137" w:type="dxa"/>
          </w:tcPr>
          <w:p w:rsidR="00700E6D" w:rsidRPr="001712BC" w:rsidRDefault="001712BC" w:rsidP="001712BC">
            <w:pPr>
              <w:spacing w:before="240" w:line="360" w:lineRule="auto"/>
              <w:contextualSpacing/>
              <w:jc w:val="center"/>
              <w:rPr>
                <w:rFonts w:ascii="Book Antiqua" w:hAnsi="Book Antiqua"/>
                <w:color w:val="000000" w:themeColor="text1"/>
                <w:sz w:val="28"/>
                <w:szCs w:val="28"/>
                <w:lang w:val="en-GB"/>
              </w:rPr>
            </w:pPr>
            <w:r w:rsidRPr="001712BC">
              <w:rPr>
                <w:rFonts w:ascii="Book Antiqua" w:hAnsi="Book Antiqua"/>
                <w:color w:val="000000" w:themeColor="text1"/>
                <w:sz w:val="28"/>
                <w:szCs w:val="28"/>
                <w:lang w:val="en-GB"/>
              </w:rPr>
              <w:t>52-week low/high</w:t>
            </w:r>
          </w:p>
        </w:tc>
        <w:tc>
          <w:tcPr>
            <w:tcW w:w="3137" w:type="dxa"/>
          </w:tcPr>
          <w:p w:rsidR="00700E6D" w:rsidRPr="00BD5A2D" w:rsidRDefault="00EA1DD4" w:rsidP="00BD5A2D">
            <w:pPr>
              <w:spacing w:before="240" w:line="360" w:lineRule="auto"/>
              <w:contextualSpacing/>
              <w:jc w:val="center"/>
              <w:rPr>
                <w:rFonts w:ascii="Book Antiqua" w:hAnsi="Book Antiqua"/>
                <w:color w:val="000000" w:themeColor="text1"/>
                <w:sz w:val="28"/>
                <w:szCs w:val="28"/>
                <w:lang w:val="en-GB"/>
              </w:rPr>
            </w:pPr>
            <w:r>
              <w:rPr>
                <w:rFonts w:ascii="Book Antiqua" w:hAnsi="Book Antiqua"/>
                <w:color w:val="000000" w:themeColor="text1"/>
                <w:sz w:val="28"/>
                <w:szCs w:val="28"/>
                <w:lang w:val="en-GB"/>
              </w:rPr>
              <w:t>23,500</w:t>
            </w:r>
            <w:r w:rsidR="00BD5A2D">
              <w:rPr>
                <w:rFonts w:ascii="Book Antiqua" w:hAnsi="Book Antiqua"/>
                <w:color w:val="000000" w:themeColor="text1"/>
                <w:sz w:val="28"/>
                <w:szCs w:val="28"/>
                <w:lang w:val="en-GB"/>
              </w:rPr>
              <w:t>/</w:t>
            </w:r>
            <w:r>
              <w:rPr>
                <w:rFonts w:ascii="Book Antiqua" w:hAnsi="Book Antiqua"/>
                <w:color w:val="000000" w:themeColor="text1"/>
                <w:sz w:val="28"/>
                <w:szCs w:val="28"/>
                <w:lang w:val="en-GB"/>
              </w:rPr>
              <w:t>32,</w:t>
            </w:r>
            <w:r w:rsidR="002F2283">
              <w:rPr>
                <w:rFonts w:ascii="Book Antiqua" w:hAnsi="Book Antiqua"/>
                <w:color w:val="000000" w:themeColor="text1"/>
                <w:sz w:val="28"/>
                <w:szCs w:val="28"/>
                <w:lang w:val="en-GB"/>
              </w:rPr>
              <w:t>490</w:t>
            </w:r>
          </w:p>
        </w:tc>
      </w:tr>
    </w:tbl>
    <w:p w:rsidR="00700E6D" w:rsidRPr="001712BC" w:rsidRDefault="001712BC" w:rsidP="00FB1421">
      <w:pPr>
        <w:spacing w:before="240" w:line="360" w:lineRule="auto"/>
        <w:contextualSpacing/>
        <w:jc w:val="both"/>
        <w:rPr>
          <w:i/>
          <w:iCs/>
          <w:sz w:val="18"/>
          <w:szCs w:val="18"/>
          <w:lang w:val="en-GB"/>
        </w:rPr>
      </w:pPr>
      <w:r w:rsidRPr="001712BC">
        <w:rPr>
          <w:i/>
          <w:iCs/>
          <w:sz w:val="18"/>
          <w:szCs w:val="18"/>
          <w:lang w:val="en-GB"/>
        </w:rPr>
        <w:t xml:space="preserve">Source: </w:t>
      </w:r>
      <w:r w:rsidR="00692ED7">
        <w:rPr>
          <w:i/>
          <w:iCs/>
          <w:sz w:val="18"/>
          <w:szCs w:val="18"/>
          <w:lang w:val="en-GB"/>
        </w:rPr>
        <w:t>Bombay</w:t>
      </w:r>
      <w:r w:rsidRPr="001712BC">
        <w:rPr>
          <w:i/>
          <w:iCs/>
          <w:sz w:val="18"/>
          <w:szCs w:val="18"/>
          <w:lang w:val="en-GB"/>
        </w:rPr>
        <w:t xml:space="preserve"> Stock Exchange</w:t>
      </w:r>
    </w:p>
    <w:p w:rsidR="00A03890" w:rsidRDefault="00A03890" w:rsidP="00A03890">
      <w:pPr>
        <w:spacing w:before="240" w:line="360" w:lineRule="auto"/>
        <w:contextualSpacing/>
        <w:jc w:val="both"/>
        <w:rPr>
          <w:color w:val="000000" w:themeColor="text1"/>
          <w:sz w:val="28"/>
          <w:szCs w:val="28"/>
        </w:rPr>
      </w:pPr>
    </w:p>
    <w:p w:rsidR="00A03890" w:rsidRPr="00A03890" w:rsidRDefault="00A03890" w:rsidP="00A03890">
      <w:pPr>
        <w:spacing w:before="240" w:line="360" w:lineRule="auto"/>
        <w:contextualSpacing/>
        <w:jc w:val="both"/>
        <w:rPr>
          <w:color w:val="000000" w:themeColor="text1"/>
          <w:sz w:val="28"/>
          <w:szCs w:val="28"/>
        </w:rPr>
      </w:pPr>
      <w:r w:rsidRPr="00A03890">
        <w:rPr>
          <w:color w:val="000000" w:themeColor="text1"/>
          <w:sz w:val="28"/>
          <w:szCs w:val="28"/>
        </w:rPr>
        <w:t>India’s resilient macroeconomic backdrop—anchored by 6.5% real GDP growth in FY25 and a similar outlook for FY26—continues to support infrastructure and housing, creating a solid base for cement demand. While cement consumption grew ~5% in FY25, industry growth is expected to accelerate to 6.5–7.5% in FY26, driven by government capex, real estate activity, and rural housing.</w:t>
      </w:r>
    </w:p>
    <w:p w:rsidR="00A03890" w:rsidRDefault="00A03890" w:rsidP="00A03890">
      <w:pPr>
        <w:spacing w:before="240" w:line="360" w:lineRule="auto"/>
        <w:contextualSpacing/>
        <w:jc w:val="both"/>
        <w:rPr>
          <w:color w:val="000000" w:themeColor="text1"/>
          <w:sz w:val="28"/>
          <w:szCs w:val="28"/>
        </w:rPr>
      </w:pPr>
    </w:p>
    <w:p w:rsidR="00A03890" w:rsidRPr="00A03890" w:rsidRDefault="00A03890" w:rsidP="00A03890">
      <w:pPr>
        <w:spacing w:before="240" w:line="360" w:lineRule="auto"/>
        <w:contextualSpacing/>
        <w:jc w:val="both"/>
        <w:rPr>
          <w:color w:val="000000" w:themeColor="text1"/>
          <w:sz w:val="28"/>
          <w:szCs w:val="28"/>
        </w:rPr>
      </w:pPr>
      <w:r w:rsidRPr="00A03890">
        <w:rPr>
          <w:color w:val="000000" w:themeColor="text1"/>
          <w:sz w:val="28"/>
          <w:szCs w:val="28"/>
        </w:rPr>
        <w:t>With over 90% of its revenue from India, Shree Cement is strategically positioned to benefit from these trends. Its expanding 62.8 MTPA capacity, well-balanced mix of integrated and grinding units, and disciplined execution enhance its readiness to tap this upcycle. Focused on cost efficiency and market consolidation, the company is poised to capture share and deliver long-term value through operational strength and sector-aligned growth.</w:t>
      </w:r>
    </w:p>
    <w:p w:rsidR="00A22217" w:rsidRDefault="00A22217" w:rsidP="002F7077">
      <w:pPr>
        <w:spacing w:before="240" w:line="360" w:lineRule="auto"/>
        <w:contextualSpacing/>
        <w:jc w:val="both"/>
        <w:rPr>
          <w:i/>
          <w:iCs/>
          <w:noProof/>
          <w:sz w:val="18"/>
          <w:szCs w:val="18"/>
          <w:lang w:val="en-GB"/>
        </w:rPr>
      </w:pPr>
    </w:p>
    <w:p w:rsidR="0072062A" w:rsidRPr="00A22217" w:rsidRDefault="00DA36B1" w:rsidP="00A22217">
      <w:pPr>
        <w:spacing w:before="240" w:line="360" w:lineRule="auto"/>
        <w:contextualSpacing/>
        <w:jc w:val="both"/>
        <w:rPr>
          <w:i/>
          <w:iCs/>
          <w:noProof/>
          <w:sz w:val="18"/>
          <w:szCs w:val="18"/>
          <w:lang w:val="en-GB"/>
        </w:rPr>
      </w:pPr>
      <w:r>
        <w:rPr>
          <w:i/>
          <w:iCs/>
          <w:noProof/>
          <w:sz w:val="18"/>
          <w:szCs w:val="18"/>
          <w:lang w:val="en-GB"/>
        </w:rPr>
        <w:lastRenderedPageBreak/>
        <w:drawing>
          <wp:anchor distT="0" distB="0" distL="114300" distR="114300" simplePos="0" relativeHeight="251672576" behindDoc="0" locked="0" layoutInCell="1" allowOverlap="1">
            <wp:simplePos x="0" y="0"/>
            <wp:positionH relativeFrom="margin">
              <wp:posOffset>27758</wp:posOffset>
            </wp:positionH>
            <wp:positionV relativeFrom="margin">
              <wp:posOffset>-338296</wp:posOffset>
            </wp:positionV>
            <wp:extent cx="6129338" cy="3070225"/>
            <wp:effectExtent l="0" t="0" r="5080" b="3175"/>
            <wp:wrapSquare wrapText="bothSides"/>
            <wp:docPr id="42582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2805" name="Picture 42582805"/>
                    <pic:cNvPicPr/>
                  </pic:nvPicPr>
                  <pic:blipFill rotWithShape="1">
                    <a:blip r:embed="rId10" cstate="print">
                      <a:extLst>
                        <a:ext uri="{28A0092B-C50C-407E-A947-70E740481C1C}">
                          <a14:useLocalDpi xmlns:a14="http://schemas.microsoft.com/office/drawing/2010/main" val="0"/>
                        </a:ext>
                      </a:extLst>
                    </a:blip>
                    <a:srcRect r="959"/>
                    <a:stretch>
                      <a:fillRect/>
                    </a:stretch>
                  </pic:blipFill>
                  <pic:spPr bwMode="auto">
                    <a:xfrm>
                      <a:off x="0" y="0"/>
                      <a:ext cx="6129338" cy="3070225"/>
                    </a:xfrm>
                    <a:prstGeom prst="rect">
                      <a:avLst/>
                    </a:prstGeom>
                    <a:ln>
                      <a:noFill/>
                    </a:ln>
                    <a:extLst>
                      <a:ext uri="{53640926-AAD7-44D8-BBD7-CCE9431645EC}">
                        <a14:shadowObscured xmlns:a14="http://schemas.microsoft.com/office/drawing/2010/main"/>
                      </a:ext>
                    </a:extLst>
                  </pic:spPr>
                </pic:pic>
              </a:graphicData>
            </a:graphic>
          </wp:anchor>
        </w:drawing>
      </w:r>
      <w:r w:rsidR="00A22217" w:rsidRPr="00A22217">
        <w:rPr>
          <w:i/>
          <w:iCs/>
          <w:sz w:val="18"/>
          <w:szCs w:val="18"/>
          <w:lang w:val="en-GB"/>
        </w:rPr>
        <w:t>Source: National Stock Exchange</w:t>
      </w:r>
    </w:p>
    <w:p w:rsidR="00A1760A" w:rsidRDefault="00A1760A" w:rsidP="00D5023F">
      <w:pPr>
        <w:spacing w:before="240" w:line="360" w:lineRule="auto"/>
        <w:contextualSpacing/>
        <w:jc w:val="both"/>
        <w:rPr>
          <w:rFonts w:ascii="-webkit-standard" w:hAnsi="-webkit-standard"/>
          <w:color w:val="000000"/>
          <w:sz w:val="27"/>
          <w:szCs w:val="27"/>
        </w:rPr>
      </w:pPr>
    </w:p>
    <w:p w:rsidR="00A1760A" w:rsidRPr="00A1760A" w:rsidRDefault="00A1760A" w:rsidP="00D5023F">
      <w:pPr>
        <w:spacing w:before="240" w:line="360" w:lineRule="auto"/>
        <w:contextualSpacing/>
        <w:jc w:val="both"/>
        <w:rPr>
          <w:rFonts w:cstheme="minorHAnsi"/>
          <w:color w:val="000000"/>
          <w:sz w:val="28"/>
          <w:szCs w:val="28"/>
        </w:rPr>
      </w:pPr>
      <w:r w:rsidRPr="00A1760A">
        <w:rPr>
          <w:rFonts w:cstheme="minorHAnsi"/>
          <w:color w:val="000000"/>
          <w:sz w:val="28"/>
          <w:szCs w:val="28"/>
        </w:rPr>
        <w:t>Shree Cement’s FY2025 financials signal rising stress across key metrics. Revenue declined 5.5% YoY to ₹19,283 crore, down from ₹20,404 crore, amid weak demand and limited pricing power. EBITDA contracted 12.9% to ₹3,934 crore, pressured by elevated input costs and reduced operating leverage. The consistent dip across topline and margins underscores a challenging macro backdrop and weak near-term earnings visibility.</w:t>
      </w:r>
    </w:p>
    <w:p w:rsidR="00A1760A" w:rsidRPr="00A1760A" w:rsidRDefault="00A1760A" w:rsidP="00D5023F">
      <w:pPr>
        <w:spacing w:before="240" w:line="360" w:lineRule="auto"/>
        <w:contextualSpacing/>
        <w:jc w:val="both"/>
        <w:rPr>
          <w:rFonts w:cstheme="minorHAnsi"/>
          <w:color w:val="000000"/>
          <w:sz w:val="28"/>
          <w:szCs w:val="28"/>
        </w:rPr>
      </w:pPr>
    </w:p>
    <w:p w:rsidR="00A1760A" w:rsidRPr="00A1760A" w:rsidRDefault="00A1760A" w:rsidP="00A1760A">
      <w:pPr>
        <w:spacing w:before="240" w:line="360" w:lineRule="auto"/>
        <w:contextualSpacing/>
        <w:jc w:val="both"/>
        <w:rPr>
          <w:rFonts w:cstheme="minorHAnsi"/>
          <w:color w:val="000000"/>
          <w:sz w:val="28"/>
          <w:szCs w:val="28"/>
        </w:rPr>
      </w:pPr>
      <w:r w:rsidRPr="00A1760A">
        <w:rPr>
          <w:rFonts w:cstheme="minorHAnsi"/>
          <w:color w:val="000000"/>
          <w:sz w:val="28"/>
          <w:szCs w:val="28"/>
        </w:rPr>
        <w:t>The stock closed at ₹30,590 on August 04, 2025, down 0.20%, slipping below key moving averages. RSI (41.36) and Stochastic (%K at 28.21, %D at 45.69) reflect weakening momentum near oversold levels. While a rebound is possible if ₹30,471–₹30,650 support holds, a move above ₹30,903.95 is needed to reverse sentiment.</w:t>
      </w:r>
    </w:p>
    <w:p w:rsidR="00A1760A" w:rsidRPr="00A1760A" w:rsidRDefault="00A1760A" w:rsidP="00A1760A">
      <w:pPr>
        <w:spacing w:before="240" w:line="360" w:lineRule="auto"/>
        <w:contextualSpacing/>
        <w:jc w:val="both"/>
        <w:rPr>
          <w:rFonts w:cstheme="minorHAnsi"/>
          <w:color w:val="000000"/>
          <w:sz w:val="28"/>
          <w:szCs w:val="28"/>
        </w:rPr>
      </w:pPr>
    </w:p>
    <w:p w:rsidR="00A1760A" w:rsidRDefault="00A1760A" w:rsidP="00D5023F">
      <w:pPr>
        <w:spacing w:before="240" w:line="360" w:lineRule="auto"/>
        <w:contextualSpacing/>
        <w:jc w:val="both"/>
        <w:rPr>
          <w:rFonts w:cstheme="minorHAnsi"/>
          <w:color w:val="000000"/>
          <w:sz w:val="28"/>
          <w:szCs w:val="28"/>
        </w:rPr>
      </w:pPr>
      <w:r w:rsidRPr="00A1760A">
        <w:rPr>
          <w:rFonts w:cstheme="minorHAnsi"/>
          <w:color w:val="000000"/>
          <w:sz w:val="28"/>
          <w:szCs w:val="28"/>
        </w:rPr>
        <w:t>Intraday action remained choppy, with price hovering around the 50/100/200 DMAs (₹30,659–₹30,565). Repeated failures to sustain above the 50-DMA and tests of the 200-DMA indicate fragile momentum. A breakdown below ₹30,565 could trigger further downside, keeping the intraday bias cautiously bearish.</w:t>
      </w:r>
    </w:p>
    <w:p w:rsidR="00D5023F" w:rsidRPr="00A1760A" w:rsidRDefault="00D5023F" w:rsidP="00D5023F">
      <w:pPr>
        <w:spacing w:before="240" w:line="360" w:lineRule="auto"/>
        <w:contextualSpacing/>
        <w:jc w:val="both"/>
        <w:rPr>
          <w:rFonts w:cstheme="minorHAnsi"/>
          <w:color w:val="000000"/>
          <w:sz w:val="28"/>
          <w:szCs w:val="28"/>
        </w:rPr>
      </w:pPr>
      <w:r w:rsidRPr="00E14055">
        <w:rPr>
          <w:b/>
          <w:bCs/>
          <w:color w:val="EE0000"/>
          <w:sz w:val="36"/>
          <w:szCs w:val="36"/>
        </w:rPr>
        <w:lastRenderedPageBreak/>
        <w:t>Disclaimer</w:t>
      </w:r>
      <w:r w:rsidRPr="003419C8">
        <w:rPr>
          <w:i/>
          <w:iCs/>
          <w:color w:val="000000" w:themeColor="text1"/>
          <w:sz w:val="28"/>
          <w:szCs w:val="28"/>
        </w:rPr>
        <w:br/>
      </w:r>
      <w:r w:rsidRPr="005445DF">
        <w:rPr>
          <w:i/>
          <w:iCs/>
          <w:color w:val="000000" w:themeColor="text1"/>
          <w:sz w:val="21"/>
          <w:szCs w:val="21"/>
        </w:rPr>
        <w:t>The views, analysis, and content presented here are for informational purposes only and do not constitute financial, investment, tax, or legal advice. They do not take into account your individual objectives, financial situation, or specific needs. Before acting on any information provided, you should carefully consider its suitability in light of your personal circumstances and consult with a qualified financial adviser, stockbroker, or legal/tax professional as appropriate.</w:t>
      </w:r>
    </w:p>
    <w:p w:rsidR="00D5023F" w:rsidRPr="005445DF" w:rsidRDefault="00D5023F" w:rsidP="00D5023F">
      <w:pPr>
        <w:spacing w:before="240" w:line="360" w:lineRule="auto"/>
        <w:contextualSpacing/>
        <w:jc w:val="both"/>
        <w:rPr>
          <w:i/>
          <w:iCs/>
          <w:color w:val="000000" w:themeColor="text1"/>
          <w:sz w:val="21"/>
          <w:szCs w:val="21"/>
        </w:rPr>
      </w:pPr>
    </w:p>
    <w:p w:rsidR="00D5023F" w:rsidRPr="005445DF" w:rsidRDefault="00D5023F" w:rsidP="00D5023F">
      <w:pPr>
        <w:spacing w:before="240" w:line="360" w:lineRule="auto"/>
        <w:contextualSpacing/>
        <w:jc w:val="both"/>
        <w:rPr>
          <w:i/>
          <w:iCs/>
          <w:color w:val="000000" w:themeColor="text1"/>
          <w:sz w:val="21"/>
          <w:szCs w:val="21"/>
        </w:rPr>
      </w:pPr>
      <w:r w:rsidRPr="005445DF">
        <w:rPr>
          <w:i/>
          <w:iCs/>
          <w:color w:val="000000" w:themeColor="text1"/>
          <w:sz w:val="21"/>
          <w:szCs w:val="21"/>
        </w:rPr>
        <w:t>Not all investments or strategies discussed may be suitable for every investor. The information shared is based on sources believed to be reliable and accurate at the time of writing; however, no guarantee is given as to its completeness or correctness. You are encouraged to conduct your own due diligence before making any investment decisions.</w:t>
      </w:r>
    </w:p>
    <w:p w:rsidR="00D5023F" w:rsidRPr="005445DF" w:rsidRDefault="00D5023F" w:rsidP="00D5023F">
      <w:pPr>
        <w:spacing w:before="240" w:line="360" w:lineRule="auto"/>
        <w:contextualSpacing/>
        <w:jc w:val="both"/>
        <w:rPr>
          <w:i/>
          <w:iCs/>
          <w:color w:val="000000" w:themeColor="text1"/>
          <w:sz w:val="21"/>
          <w:szCs w:val="21"/>
        </w:rPr>
      </w:pPr>
    </w:p>
    <w:p w:rsidR="00D5023F" w:rsidRPr="005445DF" w:rsidRDefault="00D5023F" w:rsidP="00D5023F">
      <w:pPr>
        <w:spacing w:before="240" w:line="360" w:lineRule="auto"/>
        <w:contextualSpacing/>
        <w:jc w:val="both"/>
        <w:rPr>
          <w:i/>
          <w:iCs/>
          <w:color w:val="000000" w:themeColor="text1"/>
          <w:sz w:val="21"/>
          <w:szCs w:val="21"/>
        </w:rPr>
      </w:pPr>
      <w:r w:rsidRPr="005445DF">
        <w:rPr>
          <w:i/>
          <w:iCs/>
          <w:color w:val="000000" w:themeColor="text1"/>
          <w:sz w:val="21"/>
          <w:szCs w:val="21"/>
        </w:rPr>
        <w:t>To the fullest extent permitted by law, the author disclaims any and all liability for any loss or damage arising from reliance on the information provided, including indirect or consequential losses, or data-related damages. Where such exclusions are not permitted by law, liability is limited to the provision of equivalent services as allowed under applicable legislation.</w:t>
      </w:r>
    </w:p>
    <w:p w:rsidR="00D5023F" w:rsidRPr="005445DF" w:rsidRDefault="00D5023F" w:rsidP="00FB1421">
      <w:pPr>
        <w:spacing w:before="240" w:line="360" w:lineRule="auto"/>
        <w:contextualSpacing/>
        <w:jc w:val="both"/>
        <w:rPr>
          <w:i/>
          <w:iCs/>
          <w:color w:val="000000" w:themeColor="text1"/>
          <w:sz w:val="21"/>
          <w:szCs w:val="21"/>
        </w:rPr>
      </w:pPr>
    </w:p>
    <w:p w:rsidR="00D5023F" w:rsidRDefault="00D5023F" w:rsidP="00FB1421">
      <w:pPr>
        <w:spacing w:before="240" w:line="360" w:lineRule="auto"/>
        <w:contextualSpacing/>
        <w:jc w:val="both"/>
        <w:rPr>
          <w:i/>
          <w:iCs/>
          <w:color w:val="000000" w:themeColor="text1"/>
          <w:sz w:val="21"/>
          <w:szCs w:val="21"/>
        </w:rPr>
      </w:pPr>
      <w:r w:rsidRPr="005445DF">
        <w:rPr>
          <w:i/>
          <w:iCs/>
          <w:color w:val="000000" w:themeColor="text1"/>
          <w:sz w:val="21"/>
          <w:szCs w:val="21"/>
        </w:rPr>
        <w:t>All information is subject to change without notice.</w:t>
      </w:r>
    </w:p>
    <w:p w:rsidR="00D03B99" w:rsidRDefault="00D03B99" w:rsidP="00FB1421">
      <w:pPr>
        <w:spacing w:before="240" w:line="360" w:lineRule="auto"/>
        <w:contextualSpacing/>
        <w:jc w:val="both"/>
        <w:rPr>
          <w:i/>
          <w:iCs/>
          <w:color w:val="000000" w:themeColor="text1"/>
          <w:sz w:val="21"/>
          <w:szCs w:val="21"/>
        </w:rPr>
      </w:pPr>
    </w:p>
    <w:p w:rsidR="00FB1B3D" w:rsidRPr="005445DF" w:rsidRDefault="00FB1B3D" w:rsidP="00FB1421">
      <w:pPr>
        <w:spacing w:before="240" w:line="360" w:lineRule="auto"/>
        <w:contextualSpacing/>
        <w:jc w:val="both"/>
        <w:rPr>
          <w:i/>
          <w:iCs/>
          <w:color w:val="000000" w:themeColor="text1"/>
          <w:sz w:val="21"/>
          <w:szCs w:val="21"/>
        </w:rPr>
      </w:pPr>
    </w:p>
    <w:sectPr w:rsidR="00FB1B3D" w:rsidRPr="005445DF" w:rsidSect="00817D53">
      <w:headerReference w:type="default" r:id="rId11"/>
      <w:pgSz w:w="11906" w:h="16838"/>
      <w:pgMar w:top="1314" w:right="1080" w:bottom="1440" w:left="108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646A" w:rsidRDefault="007E646A" w:rsidP="006C031E">
      <w:r>
        <w:separator/>
      </w:r>
    </w:p>
  </w:endnote>
  <w:endnote w:type="continuationSeparator" w:id="0">
    <w:p w:rsidR="007E646A" w:rsidRDefault="007E646A" w:rsidP="006C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646A" w:rsidRDefault="007E646A" w:rsidP="006C031E">
      <w:r>
        <w:separator/>
      </w:r>
    </w:p>
  </w:footnote>
  <w:footnote w:type="continuationSeparator" w:id="0">
    <w:p w:rsidR="007E646A" w:rsidRDefault="007E646A" w:rsidP="006C0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479D" w:rsidRPr="00D75B5F" w:rsidRDefault="00AC479D">
    <w:pPr>
      <w:spacing w:line="264" w:lineRule="auto"/>
      <w:rPr>
        <w:color w:val="FFFFFF" w:themeColor="background1"/>
        <w14:textFill>
          <w14:noFill/>
        </w14:textFill>
      </w:rPr>
    </w:pPr>
    <w:r>
      <w:rPr>
        <w:noProof/>
        <w:color w:val="000000"/>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7"/>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A58BFE" id="Rectangle 7" o:spid="_x0000_s1026" style="position:absolute;margin-left:0;margin-top:0;width:580.8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47070 [1614]" strokeweight="1.25pt">
              <w10:wrap anchorx="page" anchory="page"/>
            </v:rect>
          </w:pict>
        </mc:Fallback>
      </mc:AlternateContent>
    </w:r>
    <w:sdt>
      <w:sdtPr>
        <w:rPr>
          <w:color w:val="FFFFFF" w:themeColor="background1"/>
          <w:sz w:val="20"/>
          <w:szCs w:val="20"/>
          <w14:textFill>
            <w14:noFill/>
          </w14:textFill>
        </w:rPr>
        <w:alias w:val="Title"/>
        <w:id w:val="15524250"/>
        <w:placeholder>
          <w:docPart w:val="47C1ED11CFBDDB4499C28C30F8C27DCD"/>
        </w:placeholder>
        <w:showingPlcHdr/>
        <w:dataBinding w:prefixMappings="xmlns:ns0='http://schemas.openxmlformats.org/package/2006/metadata/core-properties' xmlns:ns1='http://purl.org/dc/elements/1.1/'" w:xpath="/ns0:coreProperties[1]/ns1:title[1]" w:storeItemID="{6C3C8BC8-F283-45AE-878A-BAB7291924A1}"/>
        <w:text/>
      </w:sdtPr>
      <w:sdtContent>
        <w:r w:rsidRPr="00D75B5F">
          <w:rPr>
            <w:color w:val="FFFFFF" w:themeColor="background1"/>
            <w:sz w:val="20"/>
            <w:szCs w:val="20"/>
            <w14:textFill>
              <w14:noFill/>
            </w14:textFill>
          </w:rPr>
          <w:t>[Document 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E4AB0"/>
    <w:multiLevelType w:val="multilevel"/>
    <w:tmpl w:val="021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95117"/>
    <w:multiLevelType w:val="multilevel"/>
    <w:tmpl w:val="643C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6A21"/>
    <w:multiLevelType w:val="multilevel"/>
    <w:tmpl w:val="A814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7D1E"/>
    <w:multiLevelType w:val="multilevel"/>
    <w:tmpl w:val="752C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31976"/>
    <w:multiLevelType w:val="hybridMultilevel"/>
    <w:tmpl w:val="42CAB3FC"/>
    <w:lvl w:ilvl="0" w:tplc="F95010AE">
      <w:numFmt w:val="bullet"/>
      <w:lvlText w:val=""/>
      <w:lvlJc w:val="left"/>
      <w:pPr>
        <w:ind w:left="720" w:hanging="360"/>
      </w:pPr>
      <w:rPr>
        <w:rFonts w:ascii="Symbol" w:eastAsia="Times New Roman" w:hAnsi="Symbol"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97100"/>
    <w:multiLevelType w:val="hybridMultilevel"/>
    <w:tmpl w:val="D4D0C8E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5F21A6B"/>
    <w:multiLevelType w:val="hybridMultilevel"/>
    <w:tmpl w:val="6F8CC4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572D6"/>
    <w:multiLevelType w:val="multilevel"/>
    <w:tmpl w:val="876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D4DC1"/>
    <w:multiLevelType w:val="multilevel"/>
    <w:tmpl w:val="506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D17E7"/>
    <w:multiLevelType w:val="multilevel"/>
    <w:tmpl w:val="3BD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F79D8"/>
    <w:multiLevelType w:val="multilevel"/>
    <w:tmpl w:val="42621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F1BB6"/>
    <w:multiLevelType w:val="multilevel"/>
    <w:tmpl w:val="B3F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07503"/>
    <w:multiLevelType w:val="multilevel"/>
    <w:tmpl w:val="9D9E3EA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86C2336"/>
    <w:multiLevelType w:val="hybridMultilevel"/>
    <w:tmpl w:val="01045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D951F4"/>
    <w:multiLevelType w:val="multilevel"/>
    <w:tmpl w:val="6EB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282951">
    <w:abstractNumId w:val="8"/>
  </w:num>
  <w:num w:numId="2" w16cid:durableId="2009284390">
    <w:abstractNumId w:val="1"/>
  </w:num>
  <w:num w:numId="3" w16cid:durableId="1518235598">
    <w:abstractNumId w:val="11"/>
  </w:num>
  <w:num w:numId="4" w16cid:durableId="1640111693">
    <w:abstractNumId w:val="3"/>
  </w:num>
  <w:num w:numId="5" w16cid:durableId="142548455">
    <w:abstractNumId w:val="0"/>
  </w:num>
  <w:num w:numId="6" w16cid:durableId="1234395252">
    <w:abstractNumId w:val="9"/>
  </w:num>
  <w:num w:numId="7" w16cid:durableId="578565769">
    <w:abstractNumId w:val="2"/>
  </w:num>
  <w:num w:numId="8" w16cid:durableId="1611621334">
    <w:abstractNumId w:val="10"/>
  </w:num>
  <w:num w:numId="9" w16cid:durableId="676274200">
    <w:abstractNumId w:val="14"/>
  </w:num>
  <w:num w:numId="10" w16cid:durableId="1199659424">
    <w:abstractNumId w:val="7"/>
  </w:num>
  <w:num w:numId="11" w16cid:durableId="2140368646">
    <w:abstractNumId w:val="13"/>
  </w:num>
  <w:num w:numId="12" w16cid:durableId="1288850429">
    <w:abstractNumId w:val="4"/>
  </w:num>
  <w:num w:numId="13" w16cid:durableId="1972904616">
    <w:abstractNumId w:val="5"/>
  </w:num>
  <w:num w:numId="14" w16cid:durableId="518929104">
    <w:abstractNumId w:val="12"/>
  </w:num>
  <w:num w:numId="15" w16cid:durableId="11557996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isplayBackgroundShape/>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1E"/>
    <w:rsid w:val="00010349"/>
    <w:rsid w:val="0001349B"/>
    <w:rsid w:val="000201A3"/>
    <w:rsid w:val="00036A1E"/>
    <w:rsid w:val="00044602"/>
    <w:rsid w:val="00044DA1"/>
    <w:rsid w:val="0005534D"/>
    <w:rsid w:val="00063779"/>
    <w:rsid w:val="000717B1"/>
    <w:rsid w:val="00073987"/>
    <w:rsid w:val="00073AB9"/>
    <w:rsid w:val="000B0735"/>
    <w:rsid w:val="000E4522"/>
    <w:rsid w:val="00127FC0"/>
    <w:rsid w:val="00146016"/>
    <w:rsid w:val="00150583"/>
    <w:rsid w:val="00153BEC"/>
    <w:rsid w:val="00157EEF"/>
    <w:rsid w:val="00166212"/>
    <w:rsid w:val="001712BC"/>
    <w:rsid w:val="00173060"/>
    <w:rsid w:val="00176E31"/>
    <w:rsid w:val="001864A8"/>
    <w:rsid w:val="001A562C"/>
    <w:rsid w:val="001D2F38"/>
    <w:rsid w:val="001D3056"/>
    <w:rsid w:val="001D4145"/>
    <w:rsid w:val="001E5EC3"/>
    <w:rsid w:val="001E678F"/>
    <w:rsid w:val="001F5C9A"/>
    <w:rsid w:val="001F6444"/>
    <w:rsid w:val="002019E9"/>
    <w:rsid w:val="00202FA5"/>
    <w:rsid w:val="00206BCF"/>
    <w:rsid w:val="00214ABA"/>
    <w:rsid w:val="00215D03"/>
    <w:rsid w:val="00222AA3"/>
    <w:rsid w:val="00244B5E"/>
    <w:rsid w:val="00260CAE"/>
    <w:rsid w:val="002B7650"/>
    <w:rsid w:val="002C5AD0"/>
    <w:rsid w:val="002C79E7"/>
    <w:rsid w:val="002E0D30"/>
    <w:rsid w:val="002E5A65"/>
    <w:rsid w:val="002F2283"/>
    <w:rsid w:val="002F2979"/>
    <w:rsid w:val="002F7077"/>
    <w:rsid w:val="00310EB5"/>
    <w:rsid w:val="0031799F"/>
    <w:rsid w:val="00332663"/>
    <w:rsid w:val="003419C8"/>
    <w:rsid w:val="00351026"/>
    <w:rsid w:val="00365A72"/>
    <w:rsid w:val="003766B6"/>
    <w:rsid w:val="0038158D"/>
    <w:rsid w:val="00385194"/>
    <w:rsid w:val="0039493A"/>
    <w:rsid w:val="003A0C40"/>
    <w:rsid w:val="003A3319"/>
    <w:rsid w:val="003B0C64"/>
    <w:rsid w:val="003B2C03"/>
    <w:rsid w:val="003E5855"/>
    <w:rsid w:val="004011ED"/>
    <w:rsid w:val="00414CF9"/>
    <w:rsid w:val="00420A26"/>
    <w:rsid w:val="0043297D"/>
    <w:rsid w:val="004400FE"/>
    <w:rsid w:val="00442ED3"/>
    <w:rsid w:val="00450B34"/>
    <w:rsid w:val="004557EA"/>
    <w:rsid w:val="00483121"/>
    <w:rsid w:val="004A726C"/>
    <w:rsid w:val="004B02FC"/>
    <w:rsid w:val="004B4ECF"/>
    <w:rsid w:val="004C025A"/>
    <w:rsid w:val="004C71C5"/>
    <w:rsid w:val="004F383C"/>
    <w:rsid w:val="004F7F3B"/>
    <w:rsid w:val="0051214D"/>
    <w:rsid w:val="00514A22"/>
    <w:rsid w:val="00516F6E"/>
    <w:rsid w:val="00520C30"/>
    <w:rsid w:val="00523D49"/>
    <w:rsid w:val="00525943"/>
    <w:rsid w:val="005445DF"/>
    <w:rsid w:val="005507F2"/>
    <w:rsid w:val="005606CD"/>
    <w:rsid w:val="00561894"/>
    <w:rsid w:val="00567FE5"/>
    <w:rsid w:val="005760F9"/>
    <w:rsid w:val="005958D3"/>
    <w:rsid w:val="005A0F8B"/>
    <w:rsid w:val="005B03A6"/>
    <w:rsid w:val="005C56F2"/>
    <w:rsid w:val="005D4C4F"/>
    <w:rsid w:val="00650CFD"/>
    <w:rsid w:val="00653C48"/>
    <w:rsid w:val="006657F3"/>
    <w:rsid w:val="006773E2"/>
    <w:rsid w:val="00681231"/>
    <w:rsid w:val="0069287F"/>
    <w:rsid w:val="00692B45"/>
    <w:rsid w:val="00692ED7"/>
    <w:rsid w:val="006A4445"/>
    <w:rsid w:val="006C031E"/>
    <w:rsid w:val="006D69A2"/>
    <w:rsid w:val="006E481A"/>
    <w:rsid w:val="006F52A0"/>
    <w:rsid w:val="00700E6D"/>
    <w:rsid w:val="0071596E"/>
    <w:rsid w:val="00717F78"/>
    <w:rsid w:val="0072062A"/>
    <w:rsid w:val="00722904"/>
    <w:rsid w:val="00735DD3"/>
    <w:rsid w:val="0074421A"/>
    <w:rsid w:val="00756DB6"/>
    <w:rsid w:val="007703F9"/>
    <w:rsid w:val="00776DB1"/>
    <w:rsid w:val="00782B1C"/>
    <w:rsid w:val="00783FE1"/>
    <w:rsid w:val="007953DA"/>
    <w:rsid w:val="007A0652"/>
    <w:rsid w:val="007B7047"/>
    <w:rsid w:val="007C332F"/>
    <w:rsid w:val="007C4BED"/>
    <w:rsid w:val="007E646A"/>
    <w:rsid w:val="0080580C"/>
    <w:rsid w:val="008106E3"/>
    <w:rsid w:val="0081089A"/>
    <w:rsid w:val="0081756C"/>
    <w:rsid w:val="00817D53"/>
    <w:rsid w:val="00834885"/>
    <w:rsid w:val="00844DF3"/>
    <w:rsid w:val="0085409D"/>
    <w:rsid w:val="00857D8E"/>
    <w:rsid w:val="008961F7"/>
    <w:rsid w:val="008A2173"/>
    <w:rsid w:val="008A6EDE"/>
    <w:rsid w:val="008C6583"/>
    <w:rsid w:val="008E1026"/>
    <w:rsid w:val="008F52E8"/>
    <w:rsid w:val="008F592E"/>
    <w:rsid w:val="009032D7"/>
    <w:rsid w:val="00925885"/>
    <w:rsid w:val="00927DC3"/>
    <w:rsid w:val="00934F77"/>
    <w:rsid w:val="009406FC"/>
    <w:rsid w:val="00945A08"/>
    <w:rsid w:val="00952C53"/>
    <w:rsid w:val="00952D58"/>
    <w:rsid w:val="00971A25"/>
    <w:rsid w:val="009A7773"/>
    <w:rsid w:val="009B557D"/>
    <w:rsid w:val="009C6302"/>
    <w:rsid w:val="009F6553"/>
    <w:rsid w:val="00A03890"/>
    <w:rsid w:val="00A064CB"/>
    <w:rsid w:val="00A1760A"/>
    <w:rsid w:val="00A22217"/>
    <w:rsid w:val="00A32508"/>
    <w:rsid w:val="00A42F84"/>
    <w:rsid w:val="00A625ED"/>
    <w:rsid w:val="00A62A3B"/>
    <w:rsid w:val="00A71695"/>
    <w:rsid w:val="00AA1930"/>
    <w:rsid w:val="00AA73AE"/>
    <w:rsid w:val="00AB08D1"/>
    <w:rsid w:val="00AC479D"/>
    <w:rsid w:val="00AD2B1F"/>
    <w:rsid w:val="00AD6907"/>
    <w:rsid w:val="00AF0EC1"/>
    <w:rsid w:val="00B12703"/>
    <w:rsid w:val="00B2442A"/>
    <w:rsid w:val="00B257D1"/>
    <w:rsid w:val="00B3118B"/>
    <w:rsid w:val="00B45764"/>
    <w:rsid w:val="00B90D6A"/>
    <w:rsid w:val="00BB3867"/>
    <w:rsid w:val="00BC5841"/>
    <w:rsid w:val="00BC7807"/>
    <w:rsid w:val="00BC7D13"/>
    <w:rsid w:val="00BD197C"/>
    <w:rsid w:val="00BD5A2D"/>
    <w:rsid w:val="00BE0F8A"/>
    <w:rsid w:val="00BE124C"/>
    <w:rsid w:val="00BF33A4"/>
    <w:rsid w:val="00C0681E"/>
    <w:rsid w:val="00C1237C"/>
    <w:rsid w:val="00C20D89"/>
    <w:rsid w:val="00C20F5F"/>
    <w:rsid w:val="00C50AED"/>
    <w:rsid w:val="00C52AFE"/>
    <w:rsid w:val="00C6472A"/>
    <w:rsid w:val="00C67F3E"/>
    <w:rsid w:val="00C71C75"/>
    <w:rsid w:val="00C744A1"/>
    <w:rsid w:val="00C8616F"/>
    <w:rsid w:val="00CC09A5"/>
    <w:rsid w:val="00CC3462"/>
    <w:rsid w:val="00CE1C92"/>
    <w:rsid w:val="00CF1B69"/>
    <w:rsid w:val="00D03B99"/>
    <w:rsid w:val="00D2100E"/>
    <w:rsid w:val="00D26D07"/>
    <w:rsid w:val="00D36662"/>
    <w:rsid w:val="00D5023F"/>
    <w:rsid w:val="00D5192A"/>
    <w:rsid w:val="00D51F78"/>
    <w:rsid w:val="00D73F31"/>
    <w:rsid w:val="00D75B5F"/>
    <w:rsid w:val="00D834C7"/>
    <w:rsid w:val="00D973C6"/>
    <w:rsid w:val="00DA36B1"/>
    <w:rsid w:val="00DC39F3"/>
    <w:rsid w:val="00DD3432"/>
    <w:rsid w:val="00DD715B"/>
    <w:rsid w:val="00DD7F20"/>
    <w:rsid w:val="00DF39DD"/>
    <w:rsid w:val="00E06753"/>
    <w:rsid w:val="00E11605"/>
    <w:rsid w:val="00E11DF2"/>
    <w:rsid w:val="00E14055"/>
    <w:rsid w:val="00E17A87"/>
    <w:rsid w:val="00E44A01"/>
    <w:rsid w:val="00E54BAB"/>
    <w:rsid w:val="00E658FB"/>
    <w:rsid w:val="00E70400"/>
    <w:rsid w:val="00E77531"/>
    <w:rsid w:val="00E82437"/>
    <w:rsid w:val="00EA1DD4"/>
    <w:rsid w:val="00EB3B2F"/>
    <w:rsid w:val="00ED431F"/>
    <w:rsid w:val="00ED6882"/>
    <w:rsid w:val="00EF6E1C"/>
    <w:rsid w:val="00F00974"/>
    <w:rsid w:val="00F043DE"/>
    <w:rsid w:val="00F17069"/>
    <w:rsid w:val="00F178A7"/>
    <w:rsid w:val="00F409DE"/>
    <w:rsid w:val="00F42DA4"/>
    <w:rsid w:val="00F52B9F"/>
    <w:rsid w:val="00F6747E"/>
    <w:rsid w:val="00F76044"/>
    <w:rsid w:val="00F77762"/>
    <w:rsid w:val="00F94E82"/>
    <w:rsid w:val="00FA030E"/>
    <w:rsid w:val="00FA49C2"/>
    <w:rsid w:val="00FB1421"/>
    <w:rsid w:val="00FB161D"/>
    <w:rsid w:val="00FB1B3D"/>
    <w:rsid w:val="00FB215E"/>
    <w:rsid w:val="00FC5E5B"/>
    <w:rsid w:val="00FE3CD1"/>
    <w:rsid w:val="00FF0A50"/>
    <w:rsid w:val="00FF7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08BB6"/>
  <w15:chartTrackingRefBased/>
  <w15:docId w15:val="{B39F2B92-8C3F-5D4C-A945-983D10E1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0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3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3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3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3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0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31E"/>
    <w:rPr>
      <w:rFonts w:eastAsiaTheme="majorEastAsia" w:cstheme="majorBidi"/>
      <w:color w:val="272727" w:themeColor="text1" w:themeTint="D8"/>
    </w:rPr>
  </w:style>
  <w:style w:type="paragraph" w:styleId="Title">
    <w:name w:val="Title"/>
    <w:basedOn w:val="Normal"/>
    <w:next w:val="Normal"/>
    <w:link w:val="TitleChar"/>
    <w:uiPriority w:val="10"/>
    <w:qFormat/>
    <w:rsid w:val="006C03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3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3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031E"/>
    <w:rPr>
      <w:i/>
      <w:iCs/>
      <w:color w:val="404040" w:themeColor="text1" w:themeTint="BF"/>
    </w:rPr>
  </w:style>
  <w:style w:type="paragraph" w:styleId="ListParagraph">
    <w:name w:val="List Paragraph"/>
    <w:basedOn w:val="Normal"/>
    <w:uiPriority w:val="34"/>
    <w:qFormat/>
    <w:rsid w:val="006C031E"/>
    <w:pPr>
      <w:ind w:left="720"/>
      <w:contextualSpacing/>
    </w:pPr>
  </w:style>
  <w:style w:type="character" w:styleId="IntenseEmphasis">
    <w:name w:val="Intense Emphasis"/>
    <w:basedOn w:val="DefaultParagraphFont"/>
    <w:uiPriority w:val="21"/>
    <w:qFormat/>
    <w:rsid w:val="006C031E"/>
    <w:rPr>
      <w:i/>
      <w:iCs/>
      <w:color w:val="2F5496" w:themeColor="accent1" w:themeShade="BF"/>
    </w:rPr>
  </w:style>
  <w:style w:type="paragraph" w:styleId="IntenseQuote">
    <w:name w:val="Intense Quote"/>
    <w:basedOn w:val="Normal"/>
    <w:next w:val="Normal"/>
    <w:link w:val="IntenseQuoteChar"/>
    <w:uiPriority w:val="30"/>
    <w:qFormat/>
    <w:rsid w:val="006C0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31E"/>
    <w:rPr>
      <w:i/>
      <w:iCs/>
      <w:color w:val="2F5496" w:themeColor="accent1" w:themeShade="BF"/>
    </w:rPr>
  </w:style>
  <w:style w:type="character" w:styleId="IntenseReference">
    <w:name w:val="Intense Reference"/>
    <w:basedOn w:val="DefaultParagraphFont"/>
    <w:uiPriority w:val="32"/>
    <w:qFormat/>
    <w:rsid w:val="006C031E"/>
    <w:rPr>
      <w:b/>
      <w:bCs/>
      <w:smallCaps/>
      <w:color w:val="2F5496" w:themeColor="accent1" w:themeShade="BF"/>
      <w:spacing w:val="5"/>
    </w:rPr>
  </w:style>
  <w:style w:type="paragraph" w:styleId="Header">
    <w:name w:val="header"/>
    <w:basedOn w:val="Normal"/>
    <w:link w:val="HeaderChar"/>
    <w:uiPriority w:val="99"/>
    <w:unhideWhenUsed/>
    <w:rsid w:val="006C031E"/>
    <w:pPr>
      <w:tabs>
        <w:tab w:val="center" w:pos="4513"/>
        <w:tab w:val="right" w:pos="9026"/>
      </w:tabs>
    </w:pPr>
  </w:style>
  <w:style w:type="character" w:customStyle="1" w:styleId="HeaderChar">
    <w:name w:val="Header Char"/>
    <w:basedOn w:val="DefaultParagraphFont"/>
    <w:link w:val="Header"/>
    <w:uiPriority w:val="99"/>
    <w:rsid w:val="006C031E"/>
  </w:style>
  <w:style w:type="paragraph" w:styleId="Footer">
    <w:name w:val="footer"/>
    <w:basedOn w:val="Normal"/>
    <w:link w:val="FooterChar"/>
    <w:uiPriority w:val="99"/>
    <w:unhideWhenUsed/>
    <w:rsid w:val="006C031E"/>
    <w:pPr>
      <w:tabs>
        <w:tab w:val="center" w:pos="4513"/>
        <w:tab w:val="right" w:pos="9026"/>
      </w:tabs>
    </w:pPr>
  </w:style>
  <w:style w:type="character" w:customStyle="1" w:styleId="FooterChar">
    <w:name w:val="Footer Char"/>
    <w:basedOn w:val="DefaultParagraphFont"/>
    <w:link w:val="Footer"/>
    <w:uiPriority w:val="99"/>
    <w:rsid w:val="006C031E"/>
  </w:style>
  <w:style w:type="paragraph" w:styleId="NormalWeb">
    <w:name w:val="Normal (Web)"/>
    <w:basedOn w:val="Normal"/>
    <w:uiPriority w:val="99"/>
    <w:unhideWhenUsed/>
    <w:rsid w:val="00DD3432"/>
    <w:rPr>
      <w:rFonts w:ascii="Times New Roman" w:hAnsi="Times New Roman" w:cs="Times New Roman"/>
    </w:rPr>
  </w:style>
  <w:style w:type="table" w:styleId="TableGrid">
    <w:name w:val="Table Grid"/>
    <w:basedOn w:val="TableNormal"/>
    <w:uiPriority w:val="39"/>
    <w:rsid w:val="00153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5A65"/>
  </w:style>
  <w:style w:type="character" w:customStyle="1" w:styleId="apple-converted-space">
    <w:name w:val="apple-converted-space"/>
    <w:basedOn w:val="DefaultParagraphFont"/>
    <w:rsid w:val="00BD5A2D"/>
  </w:style>
  <w:style w:type="character" w:styleId="Strong">
    <w:name w:val="Strong"/>
    <w:basedOn w:val="DefaultParagraphFont"/>
    <w:uiPriority w:val="22"/>
    <w:qFormat/>
    <w:rsid w:val="00BD5A2D"/>
    <w:rPr>
      <w:b/>
      <w:bCs/>
    </w:rPr>
  </w:style>
  <w:style w:type="character" w:styleId="Hyperlink">
    <w:name w:val="Hyperlink"/>
    <w:basedOn w:val="DefaultParagraphFont"/>
    <w:uiPriority w:val="99"/>
    <w:semiHidden/>
    <w:unhideWhenUsed/>
    <w:rsid w:val="00B3118B"/>
    <w:rPr>
      <w:color w:val="0000FF"/>
      <w:u w:val="single"/>
    </w:rPr>
  </w:style>
  <w:style w:type="character" w:styleId="Emphasis">
    <w:name w:val="Emphasis"/>
    <w:basedOn w:val="DefaultParagraphFont"/>
    <w:uiPriority w:val="20"/>
    <w:qFormat/>
    <w:rsid w:val="00D03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355">
      <w:bodyDiv w:val="1"/>
      <w:marLeft w:val="0"/>
      <w:marRight w:val="0"/>
      <w:marTop w:val="0"/>
      <w:marBottom w:val="0"/>
      <w:divBdr>
        <w:top w:val="none" w:sz="0" w:space="0" w:color="auto"/>
        <w:left w:val="none" w:sz="0" w:space="0" w:color="auto"/>
        <w:bottom w:val="none" w:sz="0" w:space="0" w:color="auto"/>
        <w:right w:val="none" w:sz="0" w:space="0" w:color="auto"/>
      </w:divBdr>
    </w:div>
    <w:div w:id="22827102">
      <w:bodyDiv w:val="1"/>
      <w:marLeft w:val="0"/>
      <w:marRight w:val="0"/>
      <w:marTop w:val="0"/>
      <w:marBottom w:val="0"/>
      <w:divBdr>
        <w:top w:val="none" w:sz="0" w:space="0" w:color="auto"/>
        <w:left w:val="none" w:sz="0" w:space="0" w:color="auto"/>
        <w:bottom w:val="none" w:sz="0" w:space="0" w:color="auto"/>
        <w:right w:val="none" w:sz="0" w:space="0" w:color="auto"/>
      </w:divBdr>
    </w:div>
    <w:div w:id="35283230">
      <w:bodyDiv w:val="1"/>
      <w:marLeft w:val="0"/>
      <w:marRight w:val="0"/>
      <w:marTop w:val="0"/>
      <w:marBottom w:val="0"/>
      <w:divBdr>
        <w:top w:val="none" w:sz="0" w:space="0" w:color="auto"/>
        <w:left w:val="none" w:sz="0" w:space="0" w:color="auto"/>
        <w:bottom w:val="none" w:sz="0" w:space="0" w:color="auto"/>
        <w:right w:val="none" w:sz="0" w:space="0" w:color="auto"/>
      </w:divBdr>
    </w:div>
    <w:div w:id="44791358">
      <w:bodyDiv w:val="1"/>
      <w:marLeft w:val="0"/>
      <w:marRight w:val="0"/>
      <w:marTop w:val="0"/>
      <w:marBottom w:val="0"/>
      <w:divBdr>
        <w:top w:val="none" w:sz="0" w:space="0" w:color="auto"/>
        <w:left w:val="none" w:sz="0" w:space="0" w:color="auto"/>
        <w:bottom w:val="none" w:sz="0" w:space="0" w:color="auto"/>
        <w:right w:val="none" w:sz="0" w:space="0" w:color="auto"/>
      </w:divBdr>
    </w:div>
    <w:div w:id="52698146">
      <w:bodyDiv w:val="1"/>
      <w:marLeft w:val="0"/>
      <w:marRight w:val="0"/>
      <w:marTop w:val="0"/>
      <w:marBottom w:val="0"/>
      <w:divBdr>
        <w:top w:val="none" w:sz="0" w:space="0" w:color="auto"/>
        <w:left w:val="none" w:sz="0" w:space="0" w:color="auto"/>
        <w:bottom w:val="none" w:sz="0" w:space="0" w:color="auto"/>
        <w:right w:val="none" w:sz="0" w:space="0" w:color="auto"/>
      </w:divBdr>
    </w:div>
    <w:div w:id="78062749">
      <w:bodyDiv w:val="1"/>
      <w:marLeft w:val="0"/>
      <w:marRight w:val="0"/>
      <w:marTop w:val="0"/>
      <w:marBottom w:val="0"/>
      <w:divBdr>
        <w:top w:val="none" w:sz="0" w:space="0" w:color="auto"/>
        <w:left w:val="none" w:sz="0" w:space="0" w:color="auto"/>
        <w:bottom w:val="none" w:sz="0" w:space="0" w:color="auto"/>
        <w:right w:val="none" w:sz="0" w:space="0" w:color="auto"/>
      </w:divBdr>
    </w:div>
    <w:div w:id="96143747">
      <w:bodyDiv w:val="1"/>
      <w:marLeft w:val="0"/>
      <w:marRight w:val="0"/>
      <w:marTop w:val="0"/>
      <w:marBottom w:val="0"/>
      <w:divBdr>
        <w:top w:val="none" w:sz="0" w:space="0" w:color="auto"/>
        <w:left w:val="none" w:sz="0" w:space="0" w:color="auto"/>
        <w:bottom w:val="none" w:sz="0" w:space="0" w:color="auto"/>
        <w:right w:val="none" w:sz="0" w:space="0" w:color="auto"/>
      </w:divBdr>
    </w:div>
    <w:div w:id="103424233">
      <w:bodyDiv w:val="1"/>
      <w:marLeft w:val="0"/>
      <w:marRight w:val="0"/>
      <w:marTop w:val="0"/>
      <w:marBottom w:val="0"/>
      <w:divBdr>
        <w:top w:val="none" w:sz="0" w:space="0" w:color="auto"/>
        <w:left w:val="none" w:sz="0" w:space="0" w:color="auto"/>
        <w:bottom w:val="none" w:sz="0" w:space="0" w:color="auto"/>
        <w:right w:val="none" w:sz="0" w:space="0" w:color="auto"/>
      </w:divBdr>
    </w:div>
    <w:div w:id="144393065">
      <w:bodyDiv w:val="1"/>
      <w:marLeft w:val="0"/>
      <w:marRight w:val="0"/>
      <w:marTop w:val="0"/>
      <w:marBottom w:val="0"/>
      <w:divBdr>
        <w:top w:val="none" w:sz="0" w:space="0" w:color="auto"/>
        <w:left w:val="none" w:sz="0" w:space="0" w:color="auto"/>
        <w:bottom w:val="none" w:sz="0" w:space="0" w:color="auto"/>
        <w:right w:val="none" w:sz="0" w:space="0" w:color="auto"/>
      </w:divBdr>
    </w:div>
    <w:div w:id="145318471">
      <w:bodyDiv w:val="1"/>
      <w:marLeft w:val="0"/>
      <w:marRight w:val="0"/>
      <w:marTop w:val="0"/>
      <w:marBottom w:val="0"/>
      <w:divBdr>
        <w:top w:val="none" w:sz="0" w:space="0" w:color="auto"/>
        <w:left w:val="none" w:sz="0" w:space="0" w:color="auto"/>
        <w:bottom w:val="none" w:sz="0" w:space="0" w:color="auto"/>
        <w:right w:val="none" w:sz="0" w:space="0" w:color="auto"/>
      </w:divBdr>
    </w:div>
    <w:div w:id="145321560">
      <w:bodyDiv w:val="1"/>
      <w:marLeft w:val="0"/>
      <w:marRight w:val="0"/>
      <w:marTop w:val="0"/>
      <w:marBottom w:val="0"/>
      <w:divBdr>
        <w:top w:val="none" w:sz="0" w:space="0" w:color="auto"/>
        <w:left w:val="none" w:sz="0" w:space="0" w:color="auto"/>
        <w:bottom w:val="none" w:sz="0" w:space="0" w:color="auto"/>
        <w:right w:val="none" w:sz="0" w:space="0" w:color="auto"/>
      </w:divBdr>
    </w:div>
    <w:div w:id="164244726">
      <w:bodyDiv w:val="1"/>
      <w:marLeft w:val="0"/>
      <w:marRight w:val="0"/>
      <w:marTop w:val="0"/>
      <w:marBottom w:val="0"/>
      <w:divBdr>
        <w:top w:val="none" w:sz="0" w:space="0" w:color="auto"/>
        <w:left w:val="none" w:sz="0" w:space="0" w:color="auto"/>
        <w:bottom w:val="none" w:sz="0" w:space="0" w:color="auto"/>
        <w:right w:val="none" w:sz="0" w:space="0" w:color="auto"/>
      </w:divBdr>
    </w:div>
    <w:div w:id="172765613">
      <w:bodyDiv w:val="1"/>
      <w:marLeft w:val="0"/>
      <w:marRight w:val="0"/>
      <w:marTop w:val="0"/>
      <w:marBottom w:val="0"/>
      <w:divBdr>
        <w:top w:val="none" w:sz="0" w:space="0" w:color="auto"/>
        <w:left w:val="none" w:sz="0" w:space="0" w:color="auto"/>
        <w:bottom w:val="none" w:sz="0" w:space="0" w:color="auto"/>
        <w:right w:val="none" w:sz="0" w:space="0" w:color="auto"/>
      </w:divBdr>
    </w:div>
    <w:div w:id="202641630">
      <w:bodyDiv w:val="1"/>
      <w:marLeft w:val="0"/>
      <w:marRight w:val="0"/>
      <w:marTop w:val="0"/>
      <w:marBottom w:val="0"/>
      <w:divBdr>
        <w:top w:val="none" w:sz="0" w:space="0" w:color="auto"/>
        <w:left w:val="none" w:sz="0" w:space="0" w:color="auto"/>
        <w:bottom w:val="none" w:sz="0" w:space="0" w:color="auto"/>
        <w:right w:val="none" w:sz="0" w:space="0" w:color="auto"/>
      </w:divBdr>
    </w:div>
    <w:div w:id="209878471">
      <w:bodyDiv w:val="1"/>
      <w:marLeft w:val="0"/>
      <w:marRight w:val="0"/>
      <w:marTop w:val="0"/>
      <w:marBottom w:val="0"/>
      <w:divBdr>
        <w:top w:val="none" w:sz="0" w:space="0" w:color="auto"/>
        <w:left w:val="none" w:sz="0" w:space="0" w:color="auto"/>
        <w:bottom w:val="none" w:sz="0" w:space="0" w:color="auto"/>
        <w:right w:val="none" w:sz="0" w:space="0" w:color="auto"/>
      </w:divBdr>
    </w:div>
    <w:div w:id="210194854">
      <w:bodyDiv w:val="1"/>
      <w:marLeft w:val="0"/>
      <w:marRight w:val="0"/>
      <w:marTop w:val="0"/>
      <w:marBottom w:val="0"/>
      <w:divBdr>
        <w:top w:val="none" w:sz="0" w:space="0" w:color="auto"/>
        <w:left w:val="none" w:sz="0" w:space="0" w:color="auto"/>
        <w:bottom w:val="none" w:sz="0" w:space="0" w:color="auto"/>
        <w:right w:val="none" w:sz="0" w:space="0" w:color="auto"/>
      </w:divBdr>
    </w:div>
    <w:div w:id="214854802">
      <w:bodyDiv w:val="1"/>
      <w:marLeft w:val="0"/>
      <w:marRight w:val="0"/>
      <w:marTop w:val="0"/>
      <w:marBottom w:val="0"/>
      <w:divBdr>
        <w:top w:val="none" w:sz="0" w:space="0" w:color="auto"/>
        <w:left w:val="none" w:sz="0" w:space="0" w:color="auto"/>
        <w:bottom w:val="none" w:sz="0" w:space="0" w:color="auto"/>
        <w:right w:val="none" w:sz="0" w:space="0" w:color="auto"/>
      </w:divBdr>
    </w:div>
    <w:div w:id="219943583">
      <w:bodyDiv w:val="1"/>
      <w:marLeft w:val="0"/>
      <w:marRight w:val="0"/>
      <w:marTop w:val="0"/>
      <w:marBottom w:val="0"/>
      <w:divBdr>
        <w:top w:val="none" w:sz="0" w:space="0" w:color="auto"/>
        <w:left w:val="none" w:sz="0" w:space="0" w:color="auto"/>
        <w:bottom w:val="none" w:sz="0" w:space="0" w:color="auto"/>
        <w:right w:val="none" w:sz="0" w:space="0" w:color="auto"/>
      </w:divBdr>
    </w:div>
    <w:div w:id="286350083">
      <w:bodyDiv w:val="1"/>
      <w:marLeft w:val="0"/>
      <w:marRight w:val="0"/>
      <w:marTop w:val="0"/>
      <w:marBottom w:val="0"/>
      <w:divBdr>
        <w:top w:val="none" w:sz="0" w:space="0" w:color="auto"/>
        <w:left w:val="none" w:sz="0" w:space="0" w:color="auto"/>
        <w:bottom w:val="none" w:sz="0" w:space="0" w:color="auto"/>
        <w:right w:val="none" w:sz="0" w:space="0" w:color="auto"/>
      </w:divBdr>
    </w:div>
    <w:div w:id="291180817">
      <w:bodyDiv w:val="1"/>
      <w:marLeft w:val="0"/>
      <w:marRight w:val="0"/>
      <w:marTop w:val="0"/>
      <w:marBottom w:val="0"/>
      <w:divBdr>
        <w:top w:val="none" w:sz="0" w:space="0" w:color="auto"/>
        <w:left w:val="none" w:sz="0" w:space="0" w:color="auto"/>
        <w:bottom w:val="none" w:sz="0" w:space="0" w:color="auto"/>
        <w:right w:val="none" w:sz="0" w:space="0" w:color="auto"/>
      </w:divBdr>
    </w:div>
    <w:div w:id="291400096">
      <w:bodyDiv w:val="1"/>
      <w:marLeft w:val="0"/>
      <w:marRight w:val="0"/>
      <w:marTop w:val="0"/>
      <w:marBottom w:val="0"/>
      <w:divBdr>
        <w:top w:val="none" w:sz="0" w:space="0" w:color="auto"/>
        <w:left w:val="none" w:sz="0" w:space="0" w:color="auto"/>
        <w:bottom w:val="none" w:sz="0" w:space="0" w:color="auto"/>
        <w:right w:val="none" w:sz="0" w:space="0" w:color="auto"/>
      </w:divBdr>
    </w:div>
    <w:div w:id="319893371">
      <w:bodyDiv w:val="1"/>
      <w:marLeft w:val="0"/>
      <w:marRight w:val="0"/>
      <w:marTop w:val="0"/>
      <w:marBottom w:val="0"/>
      <w:divBdr>
        <w:top w:val="none" w:sz="0" w:space="0" w:color="auto"/>
        <w:left w:val="none" w:sz="0" w:space="0" w:color="auto"/>
        <w:bottom w:val="none" w:sz="0" w:space="0" w:color="auto"/>
        <w:right w:val="none" w:sz="0" w:space="0" w:color="auto"/>
      </w:divBdr>
    </w:div>
    <w:div w:id="335110090">
      <w:bodyDiv w:val="1"/>
      <w:marLeft w:val="0"/>
      <w:marRight w:val="0"/>
      <w:marTop w:val="0"/>
      <w:marBottom w:val="0"/>
      <w:divBdr>
        <w:top w:val="none" w:sz="0" w:space="0" w:color="auto"/>
        <w:left w:val="none" w:sz="0" w:space="0" w:color="auto"/>
        <w:bottom w:val="none" w:sz="0" w:space="0" w:color="auto"/>
        <w:right w:val="none" w:sz="0" w:space="0" w:color="auto"/>
      </w:divBdr>
    </w:div>
    <w:div w:id="447824281">
      <w:bodyDiv w:val="1"/>
      <w:marLeft w:val="0"/>
      <w:marRight w:val="0"/>
      <w:marTop w:val="0"/>
      <w:marBottom w:val="0"/>
      <w:divBdr>
        <w:top w:val="none" w:sz="0" w:space="0" w:color="auto"/>
        <w:left w:val="none" w:sz="0" w:space="0" w:color="auto"/>
        <w:bottom w:val="none" w:sz="0" w:space="0" w:color="auto"/>
        <w:right w:val="none" w:sz="0" w:space="0" w:color="auto"/>
      </w:divBdr>
    </w:div>
    <w:div w:id="461536428">
      <w:bodyDiv w:val="1"/>
      <w:marLeft w:val="0"/>
      <w:marRight w:val="0"/>
      <w:marTop w:val="0"/>
      <w:marBottom w:val="0"/>
      <w:divBdr>
        <w:top w:val="none" w:sz="0" w:space="0" w:color="auto"/>
        <w:left w:val="none" w:sz="0" w:space="0" w:color="auto"/>
        <w:bottom w:val="none" w:sz="0" w:space="0" w:color="auto"/>
        <w:right w:val="none" w:sz="0" w:space="0" w:color="auto"/>
      </w:divBdr>
    </w:div>
    <w:div w:id="471757878">
      <w:bodyDiv w:val="1"/>
      <w:marLeft w:val="0"/>
      <w:marRight w:val="0"/>
      <w:marTop w:val="0"/>
      <w:marBottom w:val="0"/>
      <w:divBdr>
        <w:top w:val="none" w:sz="0" w:space="0" w:color="auto"/>
        <w:left w:val="none" w:sz="0" w:space="0" w:color="auto"/>
        <w:bottom w:val="none" w:sz="0" w:space="0" w:color="auto"/>
        <w:right w:val="none" w:sz="0" w:space="0" w:color="auto"/>
      </w:divBdr>
    </w:div>
    <w:div w:id="474568893">
      <w:bodyDiv w:val="1"/>
      <w:marLeft w:val="0"/>
      <w:marRight w:val="0"/>
      <w:marTop w:val="0"/>
      <w:marBottom w:val="0"/>
      <w:divBdr>
        <w:top w:val="none" w:sz="0" w:space="0" w:color="auto"/>
        <w:left w:val="none" w:sz="0" w:space="0" w:color="auto"/>
        <w:bottom w:val="none" w:sz="0" w:space="0" w:color="auto"/>
        <w:right w:val="none" w:sz="0" w:space="0" w:color="auto"/>
      </w:divBdr>
    </w:div>
    <w:div w:id="483090870">
      <w:bodyDiv w:val="1"/>
      <w:marLeft w:val="0"/>
      <w:marRight w:val="0"/>
      <w:marTop w:val="0"/>
      <w:marBottom w:val="0"/>
      <w:divBdr>
        <w:top w:val="none" w:sz="0" w:space="0" w:color="auto"/>
        <w:left w:val="none" w:sz="0" w:space="0" w:color="auto"/>
        <w:bottom w:val="none" w:sz="0" w:space="0" w:color="auto"/>
        <w:right w:val="none" w:sz="0" w:space="0" w:color="auto"/>
      </w:divBdr>
    </w:div>
    <w:div w:id="539824917">
      <w:bodyDiv w:val="1"/>
      <w:marLeft w:val="0"/>
      <w:marRight w:val="0"/>
      <w:marTop w:val="0"/>
      <w:marBottom w:val="0"/>
      <w:divBdr>
        <w:top w:val="none" w:sz="0" w:space="0" w:color="auto"/>
        <w:left w:val="none" w:sz="0" w:space="0" w:color="auto"/>
        <w:bottom w:val="none" w:sz="0" w:space="0" w:color="auto"/>
        <w:right w:val="none" w:sz="0" w:space="0" w:color="auto"/>
      </w:divBdr>
    </w:div>
    <w:div w:id="576398866">
      <w:bodyDiv w:val="1"/>
      <w:marLeft w:val="0"/>
      <w:marRight w:val="0"/>
      <w:marTop w:val="0"/>
      <w:marBottom w:val="0"/>
      <w:divBdr>
        <w:top w:val="none" w:sz="0" w:space="0" w:color="auto"/>
        <w:left w:val="none" w:sz="0" w:space="0" w:color="auto"/>
        <w:bottom w:val="none" w:sz="0" w:space="0" w:color="auto"/>
        <w:right w:val="none" w:sz="0" w:space="0" w:color="auto"/>
      </w:divBdr>
    </w:div>
    <w:div w:id="577440356">
      <w:bodyDiv w:val="1"/>
      <w:marLeft w:val="0"/>
      <w:marRight w:val="0"/>
      <w:marTop w:val="0"/>
      <w:marBottom w:val="0"/>
      <w:divBdr>
        <w:top w:val="none" w:sz="0" w:space="0" w:color="auto"/>
        <w:left w:val="none" w:sz="0" w:space="0" w:color="auto"/>
        <w:bottom w:val="none" w:sz="0" w:space="0" w:color="auto"/>
        <w:right w:val="none" w:sz="0" w:space="0" w:color="auto"/>
      </w:divBdr>
    </w:div>
    <w:div w:id="591552905">
      <w:bodyDiv w:val="1"/>
      <w:marLeft w:val="0"/>
      <w:marRight w:val="0"/>
      <w:marTop w:val="0"/>
      <w:marBottom w:val="0"/>
      <w:divBdr>
        <w:top w:val="none" w:sz="0" w:space="0" w:color="auto"/>
        <w:left w:val="none" w:sz="0" w:space="0" w:color="auto"/>
        <w:bottom w:val="none" w:sz="0" w:space="0" w:color="auto"/>
        <w:right w:val="none" w:sz="0" w:space="0" w:color="auto"/>
      </w:divBdr>
    </w:div>
    <w:div w:id="599601417">
      <w:bodyDiv w:val="1"/>
      <w:marLeft w:val="0"/>
      <w:marRight w:val="0"/>
      <w:marTop w:val="0"/>
      <w:marBottom w:val="0"/>
      <w:divBdr>
        <w:top w:val="none" w:sz="0" w:space="0" w:color="auto"/>
        <w:left w:val="none" w:sz="0" w:space="0" w:color="auto"/>
        <w:bottom w:val="none" w:sz="0" w:space="0" w:color="auto"/>
        <w:right w:val="none" w:sz="0" w:space="0" w:color="auto"/>
      </w:divBdr>
    </w:div>
    <w:div w:id="606351710">
      <w:bodyDiv w:val="1"/>
      <w:marLeft w:val="0"/>
      <w:marRight w:val="0"/>
      <w:marTop w:val="0"/>
      <w:marBottom w:val="0"/>
      <w:divBdr>
        <w:top w:val="none" w:sz="0" w:space="0" w:color="auto"/>
        <w:left w:val="none" w:sz="0" w:space="0" w:color="auto"/>
        <w:bottom w:val="none" w:sz="0" w:space="0" w:color="auto"/>
        <w:right w:val="none" w:sz="0" w:space="0" w:color="auto"/>
      </w:divBdr>
    </w:div>
    <w:div w:id="616906899">
      <w:bodyDiv w:val="1"/>
      <w:marLeft w:val="0"/>
      <w:marRight w:val="0"/>
      <w:marTop w:val="0"/>
      <w:marBottom w:val="0"/>
      <w:divBdr>
        <w:top w:val="none" w:sz="0" w:space="0" w:color="auto"/>
        <w:left w:val="none" w:sz="0" w:space="0" w:color="auto"/>
        <w:bottom w:val="none" w:sz="0" w:space="0" w:color="auto"/>
        <w:right w:val="none" w:sz="0" w:space="0" w:color="auto"/>
      </w:divBdr>
    </w:div>
    <w:div w:id="695350653">
      <w:bodyDiv w:val="1"/>
      <w:marLeft w:val="0"/>
      <w:marRight w:val="0"/>
      <w:marTop w:val="0"/>
      <w:marBottom w:val="0"/>
      <w:divBdr>
        <w:top w:val="none" w:sz="0" w:space="0" w:color="auto"/>
        <w:left w:val="none" w:sz="0" w:space="0" w:color="auto"/>
        <w:bottom w:val="none" w:sz="0" w:space="0" w:color="auto"/>
        <w:right w:val="none" w:sz="0" w:space="0" w:color="auto"/>
      </w:divBdr>
    </w:div>
    <w:div w:id="727070667">
      <w:bodyDiv w:val="1"/>
      <w:marLeft w:val="0"/>
      <w:marRight w:val="0"/>
      <w:marTop w:val="0"/>
      <w:marBottom w:val="0"/>
      <w:divBdr>
        <w:top w:val="none" w:sz="0" w:space="0" w:color="auto"/>
        <w:left w:val="none" w:sz="0" w:space="0" w:color="auto"/>
        <w:bottom w:val="none" w:sz="0" w:space="0" w:color="auto"/>
        <w:right w:val="none" w:sz="0" w:space="0" w:color="auto"/>
      </w:divBdr>
    </w:div>
    <w:div w:id="729113059">
      <w:bodyDiv w:val="1"/>
      <w:marLeft w:val="0"/>
      <w:marRight w:val="0"/>
      <w:marTop w:val="0"/>
      <w:marBottom w:val="0"/>
      <w:divBdr>
        <w:top w:val="none" w:sz="0" w:space="0" w:color="auto"/>
        <w:left w:val="none" w:sz="0" w:space="0" w:color="auto"/>
        <w:bottom w:val="none" w:sz="0" w:space="0" w:color="auto"/>
        <w:right w:val="none" w:sz="0" w:space="0" w:color="auto"/>
      </w:divBdr>
    </w:div>
    <w:div w:id="745419781">
      <w:bodyDiv w:val="1"/>
      <w:marLeft w:val="0"/>
      <w:marRight w:val="0"/>
      <w:marTop w:val="0"/>
      <w:marBottom w:val="0"/>
      <w:divBdr>
        <w:top w:val="none" w:sz="0" w:space="0" w:color="auto"/>
        <w:left w:val="none" w:sz="0" w:space="0" w:color="auto"/>
        <w:bottom w:val="none" w:sz="0" w:space="0" w:color="auto"/>
        <w:right w:val="none" w:sz="0" w:space="0" w:color="auto"/>
      </w:divBdr>
    </w:div>
    <w:div w:id="756245690">
      <w:bodyDiv w:val="1"/>
      <w:marLeft w:val="0"/>
      <w:marRight w:val="0"/>
      <w:marTop w:val="0"/>
      <w:marBottom w:val="0"/>
      <w:divBdr>
        <w:top w:val="none" w:sz="0" w:space="0" w:color="auto"/>
        <w:left w:val="none" w:sz="0" w:space="0" w:color="auto"/>
        <w:bottom w:val="none" w:sz="0" w:space="0" w:color="auto"/>
        <w:right w:val="none" w:sz="0" w:space="0" w:color="auto"/>
      </w:divBdr>
    </w:div>
    <w:div w:id="764299956">
      <w:bodyDiv w:val="1"/>
      <w:marLeft w:val="0"/>
      <w:marRight w:val="0"/>
      <w:marTop w:val="0"/>
      <w:marBottom w:val="0"/>
      <w:divBdr>
        <w:top w:val="none" w:sz="0" w:space="0" w:color="auto"/>
        <w:left w:val="none" w:sz="0" w:space="0" w:color="auto"/>
        <w:bottom w:val="none" w:sz="0" w:space="0" w:color="auto"/>
        <w:right w:val="none" w:sz="0" w:space="0" w:color="auto"/>
      </w:divBdr>
    </w:div>
    <w:div w:id="776871171">
      <w:bodyDiv w:val="1"/>
      <w:marLeft w:val="0"/>
      <w:marRight w:val="0"/>
      <w:marTop w:val="0"/>
      <w:marBottom w:val="0"/>
      <w:divBdr>
        <w:top w:val="none" w:sz="0" w:space="0" w:color="auto"/>
        <w:left w:val="none" w:sz="0" w:space="0" w:color="auto"/>
        <w:bottom w:val="none" w:sz="0" w:space="0" w:color="auto"/>
        <w:right w:val="none" w:sz="0" w:space="0" w:color="auto"/>
      </w:divBdr>
    </w:div>
    <w:div w:id="782335958">
      <w:bodyDiv w:val="1"/>
      <w:marLeft w:val="0"/>
      <w:marRight w:val="0"/>
      <w:marTop w:val="0"/>
      <w:marBottom w:val="0"/>
      <w:divBdr>
        <w:top w:val="none" w:sz="0" w:space="0" w:color="auto"/>
        <w:left w:val="none" w:sz="0" w:space="0" w:color="auto"/>
        <w:bottom w:val="none" w:sz="0" w:space="0" w:color="auto"/>
        <w:right w:val="none" w:sz="0" w:space="0" w:color="auto"/>
      </w:divBdr>
    </w:div>
    <w:div w:id="785806764">
      <w:bodyDiv w:val="1"/>
      <w:marLeft w:val="0"/>
      <w:marRight w:val="0"/>
      <w:marTop w:val="0"/>
      <w:marBottom w:val="0"/>
      <w:divBdr>
        <w:top w:val="none" w:sz="0" w:space="0" w:color="auto"/>
        <w:left w:val="none" w:sz="0" w:space="0" w:color="auto"/>
        <w:bottom w:val="none" w:sz="0" w:space="0" w:color="auto"/>
        <w:right w:val="none" w:sz="0" w:space="0" w:color="auto"/>
      </w:divBdr>
    </w:div>
    <w:div w:id="822427657">
      <w:bodyDiv w:val="1"/>
      <w:marLeft w:val="0"/>
      <w:marRight w:val="0"/>
      <w:marTop w:val="0"/>
      <w:marBottom w:val="0"/>
      <w:divBdr>
        <w:top w:val="none" w:sz="0" w:space="0" w:color="auto"/>
        <w:left w:val="none" w:sz="0" w:space="0" w:color="auto"/>
        <w:bottom w:val="none" w:sz="0" w:space="0" w:color="auto"/>
        <w:right w:val="none" w:sz="0" w:space="0" w:color="auto"/>
      </w:divBdr>
    </w:div>
    <w:div w:id="836916594">
      <w:bodyDiv w:val="1"/>
      <w:marLeft w:val="0"/>
      <w:marRight w:val="0"/>
      <w:marTop w:val="0"/>
      <w:marBottom w:val="0"/>
      <w:divBdr>
        <w:top w:val="none" w:sz="0" w:space="0" w:color="auto"/>
        <w:left w:val="none" w:sz="0" w:space="0" w:color="auto"/>
        <w:bottom w:val="none" w:sz="0" w:space="0" w:color="auto"/>
        <w:right w:val="none" w:sz="0" w:space="0" w:color="auto"/>
      </w:divBdr>
    </w:div>
    <w:div w:id="877011880">
      <w:bodyDiv w:val="1"/>
      <w:marLeft w:val="0"/>
      <w:marRight w:val="0"/>
      <w:marTop w:val="0"/>
      <w:marBottom w:val="0"/>
      <w:divBdr>
        <w:top w:val="none" w:sz="0" w:space="0" w:color="auto"/>
        <w:left w:val="none" w:sz="0" w:space="0" w:color="auto"/>
        <w:bottom w:val="none" w:sz="0" w:space="0" w:color="auto"/>
        <w:right w:val="none" w:sz="0" w:space="0" w:color="auto"/>
      </w:divBdr>
    </w:div>
    <w:div w:id="880240832">
      <w:bodyDiv w:val="1"/>
      <w:marLeft w:val="0"/>
      <w:marRight w:val="0"/>
      <w:marTop w:val="0"/>
      <w:marBottom w:val="0"/>
      <w:divBdr>
        <w:top w:val="none" w:sz="0" w:space="0" w:color="auto"/>
        <w:left w:val="none" w:sz="0" w:space="0" w:color="auto"/>
        <w:bottom w:val="none" w:sz="0" w:space="0" w:color="auto"/>
        <w:right w:val="none" w:sz="0" w:space="0" w:color="auto"/>
      </w:divBdr>
    </w:div>
    <w:div w:id="881358837">
      <w:bodyDiv w:val="1"/>
      <w:marLeft w:val="0"/>
      <w:marRight w:val="0"/>
      <w:marTop w:val="0"/>
      <w:marBottom w:val="0"/>
      <w:divBdr>
        <w:top w:val="none" w:sz="0" w:space="0" w:color="auto"/>
        <w:left w:val="none" w:sz="0" w:space="0" w:color="auto"/>
        <w:bottom w:val="none" w:sz="0" w:space="0" w:color="auto"/>
        <w:right w:val="none" w:sz="0" w:space="0" w:color="auto"/>
      </w:divBdr>
    </w:div>
    <w:div w:id="899828549">
      <w:bodyDiv w:val="1"/>
      <w:marLeft w:val="0"/>
      <w:marRight w:val="0"/>
      <w:marTop w:val="0"/>
      <w:marBottom w:val="0"/>
      <w:divBdr>
        <w:top w:val="none" w:sz="0" w:space="0" w:color="auto"/>
        <w:left w:val="none" w:sz="0" w:space="0" w:color="auto"/>
        <w:bottom w:val="none" w:sz="0" w:space="0" w:color="auto"/>
        <w:right w:val="none" w:sz="0" w:space="0" w:color="auto"/>
      </w:divBdr>
    </w:div>
    <w:div w:id="939683874">
      <w:bodyDiv w:val="1"/>
      <w:marLeft w:val="0"/>
      <w:marRight w:val="0"/>
      <w:marTop w:val="0"/>
      <w:marBottom w:val="0"/>
      <w:divBdr>
        <w:top w:val="none" w:sz="0" w:space="0" w:color="auto"/>
        <w:left w:val="none" w:sz="0" w:space="0" w:color="auto"/>
        <w:bottom w:val="none" w:sz="0" w:space="0" w:color="auto"/>
        <w:right w:val="none" w:sz="0" w:space="0" w:color="auto"/>
      </w:divBdr>
    </w:div>
    <w:div w:id="945621089">
      <w:bodyDiv w:val="1"/>
      <w:marLeft w:val="0"/>
      <w:marRight w:val="0"/>
      <w:marTop w:val="0"/>
      <w:marBottom w:val="0"/>
      <w:divBdr>
        <w:top w:val="none" w:sz="0" w:space="0" w:color="auto"/>
        <w:left w:val="none" w:sz="0" w:space="0" w:color="auto"/>
        <w:bottom w:val="none" w:sz="0" w:space="0" w:color="auto"/>
        <w:right w:val="none" w:sz="0" w:space="0" w:color="auto"/>
      </w:divBdr>
    </w:div>
    <w:div w:id="977684937">
      <w:bodyDiv w:val="1"/>
      <w:marLeft w:val="0"/>
      <w:marRight w:val="0"/>
      <w:marTop w:val="0"/>
      <w:marBottom w:val="0"/>
      <w:divBdr>
        <w:top w:val="none" w:sz="0" w:space="0" w:color="auto"/>
        <w:left w:val="none" w:sz="0" w:space="0" w:color="auto"/>
        <w:bottom w:val="none" w:sz="0" w:space="0" w:color="auto"/>
        <w:right w:val="none" w:sz="0" w:space="0" w:color="auto"/>
      </w:divBdr>
    </w:div>
    <w:div w:id="1044872640">
      <w:bodyDiv w:val="1"/>
      <w:marLeft w:val="0"/>
      <w:marRight w:val="0"/>
      <w:marTop w:val="0"/>
      <w:marBottom w:val="0"/>
      <w:divBdr>
        <w:top w:val="none" w:sz="0" w:space="0" w:color="auto"/>
        <w:left w:val="none" w:sz="0" w:space="0" w:color="auto"/>
        <w:bottom w:val="none" w:sz="0" w:space="0" w:color="auto"/>
        <w:right w:val="none" w:sz="0" w:space="0" w:color="auto"/>
      </w:divBdr>
    </w:div>
    <w:div w:id="1087729476">
      <w:bodyDiv w:val="1"/>
      <w:marLeft w:val="0"/>
      <w:marRight w:val="0"/>
      <w:marTop w:val="0"/>
      <w:marBottom w:val="0"/>
      <w:divBdr>
        <w:top w:val="none" w:sz="0" w:space="0" w:color="auto"/>
        <w:left w:val="none" w:sz="0" w:space="0" w:color="auto"/>
        <w:bottom w:val="none" w:sz="0" w:space="0" w:color="auto"/>
        <w:right w:val="none" w:sz="0" w:space="0" w:color="auto"/>
      </w:divBdr>
    </w:div>
    <w:div w:id="1132478984">
      <w:bodyDiv w:val="1"/>
      <w:marLeft w:val="0"/>
      <w:marRight w:val="0"/>
      <w:marTop w:val="0"/>
      <w:marBottom w:val="0"/>
      <w:divBdr>
        <w:top w:val="none" w:sz="0" w:space="0" w:color="auto"/>
        <w:left w:val="none" w:sz="0" w:space="0" w:color="auto"/>
        <w:bottom w:val="none" w:sz="0" w:space="0" w:color="auto"/>
        <w:right w:val="none" w:sz="0" w:space="0" w:color="auto"/>
      </w:divBdr>
    </w:div>
    <w:div w:id="1177503103">
      <w:bodyDiv w:val="1"/>
      <w:marLeft w:val="0"/>
      <w:marRight w:val="0"/>
      <w:marTop w:val="0"/>
      <w:marBottom w:val="0"/>
      <w:divBdr>
        <w:top w:val="none" w:sz="0" w:space="0" w:color="auto"/>
        <w:left w:val="none" w:sz="0" w:space="0" w:color="auto"/>
        <w:bottom w:val="none" w:sz="0" w:space="0" w:color="auto"/>
        <w:right w:val="none" w:sz="0" w:space="0" w:color="auto"/>
      </w:divBdr>
    </w:div>
    <w:div w:id="1254516102">
      <w:bodyDiv w:val="1"/>
      <w:marLeft w:val="0"/>
      <w:marRight w:val="0"/>
      <w:marTop w:val="0"/>
      <w:marBottom w:val="0"/>
      <w:divBdr>
        <w:top w:val="none" w:sz="0" w:space="0" w:color="auto"/>
        <w:left w:val="none" w:sz="0" w:space="0" w:color="auto"/>
        <w:bottom w:val="none" w:sz="0" w:space="0" w:color="auto"/>
        <w:right w:val="none" w:sz="0" w:space="0" w:color="auto"/>
      </w:divBdr>
    </w:div>
    <w:div w:id="1261135954">
      <w:bodyDiv w:val="1"/>
      <w:marLeft w:val="0"/>
      <w:marRight w:val="0"/>
      <w:marTop w:val="0"/>
      <w:marBottom w:val="0"/>
      <w:divBdr>
        <w:top w:val="none" w:sz="0" w:space="0" w:color="auto"/>
        <w:left w:val="none" w:sz="0" w:space="0" w:color="auto"/>
        <w:bottom w:val="none" w:sz="0" w:space="0" w:color="auto"/>
        <w:right w:val="none" w:sz="0" w:space="0" w:color="auto"/>
      </w:divBdr>
    </w:div>
    <w:div w:id="1264343820">
      <w:bodyDiv w:val="1"/>
      <w:marLeft w:val="0"/>
      <w:marRight w:val="0"/>
      <w:marTop w:val="0"/>
      <w:marBottom w:val="0"/>
      <w:divBdr>
        <w:top w:val="none" w:sz="0" w:space="0" w:color="auto"/>
        <w:left w:val="none" w:sz="0" w:space="0" w:color="auto"/>
        <w:bottom w:val="none" w:sz="0" w:space="0" w:color="auto"/>
        <w:right w:val="none" w:sz="0" w:space="0" w:color="auto"/>
      </w:divBdr>
    </w:div>
    <w:div w:id="1294025021">
      <w:bodyDiv w:val="1"/>
      <w:marLeft w:val="0"/>
      <w:marRight w:val="0"/>
      <w:marTop w:val="0"/>
      <w:marBottom w:val="0"/>
      <w:divBdr>
        <w:top w:val="none" w:sz="0" w:space="0" w:color="auto"/>
        <w:left w:val="none" w:sz="0" w:space="0" w:color="auto"/>
        <w:bottom w:val="none" w:sz="0" w:space="0" w:color="auto"/>
        <w:right w:val="none" w:sz="0" w:space="0" w:color="auto"/>
      </w:divBdr>
    </w:div>
    <w:div w:id="1305701785">
      <w:bodyDiv w:val="1"/>
      <w:marLeft w:val="0"/>
      <w:marRight w:val="0"/>
      <w:marTop w:val="0"/>
      <w:marBottom w:val="0"/>
      <w:divBdr>
        <w:top w:val="none" w:sz="0" w:space="0" w:color="auto"/>
        <w:left w:val="none" w:sz="0" w:space="0" w:color="auto"/>
        <w:bottom w:val="none" w:sz="0" w:space="0" w:color="auto"/>
        <w:right w:val="none" w:sz="0" w:space="0" w:color="auto"/>
      </w:divBdr>
    </w:div>
    <w:div w:id="1328291233">
      <w:bodyDiv w:val="1"/>
      <w:marLeft w:val="0"/>
      <w:marRight w:val="0"/>
      <w:marTop w:val="0"/>
      <w:marBottom w:val="0"/>
      <w:divBdr>
        <w:top w:val="none" w:sz="0" w:space="0" w:color="auto"/>
        <w:left w:val="none" w:sz="0" w:space="0" w:color="auto"/>
        <w:bottom w:val="none" w:sz="0" w:space="0" w:color="auto"/>
        <w:right w:val="none" w:sz="0" w:space="0" w:color="auto"/>
      </w:divBdr>
    </w:div>
    <w:div w:id="1360542782">
      <w:bodyDiv w:val="1"/>
      <w:marLeft w:val="0"/>
      <w:marRight w:val="0"/>
      <w:marTop w:val="0"/>
      <w:marBottom w:val="0"/>
      <w:divBdr>
        <w:top w:val="none" w:sz="0" w:space="0" w:color="auto"/>
        <w:left w:val="none" w:sz="0" w:space="0" w:color="auto"/>
        <w:bottom w:val="none" w:sz="0" w:space="0" w:color="auto"/>
        <w:right w:val="none" w:sz="0" w:space="0" w:color="auto"/>
      </w:divBdr>
    </w:div>
    <w:div w:id="1374815382">
      <w:bodyDiv w:val="1"/>
      <w:marLeft w:val="0"/>
      <w:marRight w:val="0"/>
      <w:marTop w:val="0"/>
      <w:marBottom w:val="0"/>
      <w:divBdr>
        <w:top w:val="none" w:sz="0" w:space="0" w:color="auto"/>
        <w:left w:val="none" w:sz="0" w:space="0" w:color="auto"/>
        <w:bottom w:val="none" w:sz="0" w:space="0" w:color="auto"/>
        <w:right w:val="none" w:sz="0" w:space="0" w:color="auto"/>
      </w:divBdr>
    </w:div>
    <w:div w:id="1394935361">
      <w:bodyDiv w:val="1"/>
      <w:marLeft w:val="0"/>
      <w:marRight w:val="0"/>
      <w:marTop w:val="0"/>
      <w:marBottom w:val="0"/>
      <w:divBdr>
        <w:top w:val="none" w:sz="0" w:space="0" w:color="auto"/>
        <w:left w:val="none" w:sz="0" w:space="0" w:color="auto"/>
        <w:bottom w:val="none" w:sz="0" w:space="0" w:color="auto"/>
        <w:right w:val="none" w:sz="0" w:space="0" w:color="auto"/>
      </w:divBdr>
    </w:div>
    <w:div w:id="1398747591">
      <w:bodyDiv w:val="1"/>
      <w:marLeft w:val="0"/>
      <w:marRight w:val="0"/>
      <w:marTop w:val="0"/>
      <w:marBottom w:val="0"/>
      <w:divBdr>
        <w:top w:val="none" w:sz="0" w:space="0" w:color="auto"/>
        <w:left w:val="none" w:sz="0" w:space="0" w:color="auto"/>
        <w:bottom w:val="none" w:sz="0" w:space="0" w:color="auto"/>
        <w:right w:val="none" w:sz="0" w:space="0" w:color="auto"/>
      </w:divBdr>
    </w:div>
    <w:div w:id="1454324999">
      <w:bodyDiv w:val="1"/>
      <w:marLeft w:val="0"/>
      <w:marRight w:val="0"/>
      <w:marTop w:val="0"/>
      <w:marBottom w:val="0"/>
      <w:divBdr>
        <w:top w:val="none" w:sz="0" w:space="0" w:color="auto"/>
        <w:left w:val="none" w:sz="0" w:space="0" w:color="auto"/>
        <w:bottom w:val="none" w:sz="0" w:space="0" w:color="auto"/>
        <w:right w:val="none" w:sz="0" w:space="0" w:color="auto"/>
      </w:divBdr>
    </w:div>
    <w:div w:id="1472670028">
      <w:bodyDiv w:val="1"/>
      <w:marLeft w:val="0"/>
      <w:marRight w:val="0"/>
      <w:marTop w:val="0"/>
      <w:marBottom w:val="0"/>
      <w:divBdr>
        <w:top w:val="none" w:sz="0" w:space="0" w:color="auto"/>
        <w:left w:val="none" w:sz="0" w:space="0" w:color="auto"/>
        <w:bottom w:val="none" w:sz="0" w:space="0" w:color="auto"/>
        <w:right w:val="none" w:sz="0" w:space="0" w:color="auto"/>
      </w:divBdr>
    </w:div>
    <w:div w:id="1475178914">
      <w:bodyDiv w:val="1"/>
      <w:marLeft w:val="0"/>
      <w:marRight w:val="0"/>
      <w:marTop w:val="0"/>
      <w:marBottom w:val="0"/>
      <w:divBdr>
        <w:top w:val="none" w:sz="0" w:space="0" w:color="auto"/>
        <w:left w:val="none" w:sz="0" w:space="0" w:color="auto"/>
        <w:bottom w:val="none" w:sz="0" w:space="0" w:color="auto"/>
        <w:right w:val="none" w:sz="0" w:space="0" w:color="auto"/>
      </w:divBdr>
    </w:div>
    <w:div w:id="1497262815">
      <w:bodyDiv w:val="1"/>
      <w:marLeft w:val="0"/>
      <w:marRight w:val="0"/>
      <w:marTop w:val="0"/>
      <w:marBottom w:val="0"/>
      <w:divBdr>
        <w:top w:val="none" w:sz="0" w:space="0" w:color="auto"/>
        <w:left w:val="none" w:sz="0" w:space="0" w:color="auto"/>
        <w:bottom w:val="none" w:sz="0" w:space="0" w:color="auto"/>
        <w:right w:val="none" w:sz="0" w:space="0" w:color="auto"/>
      </w:divBdr>
    </w:div>
    <w:div w:id="1502312808">
      <w:bodyDiv w:val="1"/>
      <w:marLeft w:val="0"/>
      <w:marRight w:val="0"/>
      <w:marTop w:val="0"/>
      <w:marBottom w:val="0"/>
      <w:divBdr>
        <w:top w:val="none" w:sz="0" w:space="0" w:color="auto"/>
        <w:left w:val="none" w:sz="0" w:space="0" w:color="auto"/>
        <w:bottom w:val="none" w:sz="0" w:space="0" w:color="auto"/>
        <w:right w:val="none" w:sz="0" w:space="0" w:color="auto"/>
      </w:divBdr>
    </w:div>
    <w:div w:id="1508212393">
      <w:bodyDiv w:val="1"/>
      <w:marLeft w:val="0"/>
      <w:marRight w:val="0"/>
      <w:marTop w:val="0"/>
      <w:marBottom w:val="0"/>
      <w:divBdr>
        <w:top w:val="none" w:sz="0" w:space="0" w:color="auto"/>
        <w:left w:val="none" w:sz="0" w:space="0" w:color="auto"/>
        <w:bottom w:val="none" w:sz="0" w:space="0" w:color="auto"/>
        <w:right w:val="none" w:sz="0" w:space="0" w:color="auto"/>
      </w:divBdr>
    </w:div>
    <w:div w:id="1512915556">
      <w:bodyDiv w:val="1"/>
      <w:marLeft w:val="0"/>
      <w:marRight w:val="0"/>
      <w:marTop w:val="0"/>
      <w:marBottom w:val="0"/>
      <w:divBdr>
        <w:top w:val="none" w:sz="0" w:space="0" w:color="auto"/>
        <w:left w:val="none" w:sz="0" w:space="0" w:color="auto"/>
        <w:bottom w:val="none" w:sz="0" w:space="0" w:color="auto"/>
        <w:right w:val="none" w:sz="0" w:space="0" w:color="auto"/>
      </w:divBdr>
    </w:div>
    <w:div w:id="1525166769">
      <w:bodyDiv w:val="1"/>
      <w:marLeft w:val="0"/>
      <w:marRight w:val="0"/>
      <w:marTop w:val="0"/>
      <w:marBottom w:val="0"/>
      <w:divBdr>
        <w:top w:val="none" w:sz="0" w:space="0" w:color="auto"/>
        <w:left w:val="none" w:sz="0" w:space="0" w:color="auto"/>
        <w:bottom w:val="none" w:sz="0" w:space="0" w:color="auto"/>
        <w:right w:val="none" w:sz="0" w:space="0" w:color="auto"/>
      </w:divBdr>
    </w:div>
    <w:div w:id="1536960365">
      <w:bodyDiv w:val="1"/>
      <w:marLeft w:val="0"/>
      <w:marRight w:val="0"/>
      <w:marTop w:val="0"/>
      <w:marBottom w:val="0"/>
      <w:divBdr>
        <w:top w:val="none" w:sz="0" w:space="0" w:color="auto"/>
        <w:left w:val="none" w:sz="0" w:space="0" w:color="auto"/>
        <w:bottom w:val="none" w:sz="0" w:space="0" w:color="auto"/>
        <w:right w:val="none" w:sz="0" w:space="0" w:color="auto"/>
      </w:divBdr>
    </w:div>
    <w:div w:id="1579049865">
      <w:bodyDiv w:val="1"/>
      <w:marLeft w:val="0"/>
      <w:marRight w:val="0"/>
      <w:marTop w:val="0"/>
      <w:marBottom w:val="0"/>
      <w:divBdr>
        <w:top w:val="none" w:sz="0" w:space="0" w:color="auto"/>
        <w:left w:val="none" w:sz="0" w:space="0" w:color="auto"/>
        <w:bottom w:val="none" w:sz="0" w:space="0" w:color="auto"/>
        <w:right w:val="none" w:sz="0" w:space="0" w:color="auto"/>
      </w:divBdr>
    </w:div>
    <w:div w:id="1605184210">
      <w:bodyDiv w:val="1"/>
      <w:marLeft w:val="0"/>
      <w:marRight w:val="0"/>
      <w:marTop w:val="0"/>
      <w:marBottom w:val="0"/>
      <w:divBdr>
        <w:top w:val="none" w:sz="0" w:space="0" w:color="auto"/>
        <w:left w:val="none" w:sz="0" w:space="0" w:color="auto"/>
        <w:bottom w:val="none" w:sz="0" w:space="0" w:color="auto"/>
        <w:right w:val="none" w:sz="0" w:space="0" w:color="auto"/>
      </w:divBdr>
    </w:div>
    <w:div w:id="1611624177">
      <w:bodyDiv w:val="1"/>
      <w:marLeft w:val="0"/>
      <w:marRight w:val="0"/>
      <w:marTop w:val="0"/>
      <w:marBottom w:val="0"/>
      <w:divBdr>
        <w:top w:val="none" w:sz="0" w:space="0" w:color="auto"/>
        <w:left w:val="none" w:sz="0" w:space="0" w:color="auto"/>
        <w:bottom w:val="none" w:sz="0" w:space="0" w:color="auto"/>
        <w:right w:val="none" w:sz="0" w:space="0" w:color="auto"/>
      </w:divBdr>
    </w:div>
    <w:div w:id="1629437284">
      <w:bodyDiv w:val="1"/>
      <w:marLeft w:val="0"/>
      <w:marRight w:val="0"/>
      <w:marTop w:val="0"/>
      <w:marBottom w:val="0"/>
      <w:divBdr>
        <w:top w:val="none" w:sz="0" w:space="0" w:color="auto"/>
        <w:left w:val="none" w:sz="0" w:space="0" w:color="auto"/>
        <w:bottom w:val="none" w:sz="0" w:space="0" w:color="auto"/>
        <w:right w:val="none" w:sz="0" w:space="0" w:color="auto"/>
      </w:divBdr>
    </w:div>
    <w:div w:id="1642927756">
      <w:bodyDiv w:val="1"/>
      <w:marLeft w:val="0"/>
      <w:marRight w:val="0"/>
      <w:marTop w:val="0"/>
      <w:marBottom w:val="0"/>
      <w:divBdr>
        <w:top w:val="none" w:sz="0" w:space="0" w:color="auto"/>
        <w:left w:val="none" w:sz="0" w:space="0" w:color="auto"/>
        <w:bottom w:val="none" w:sz="0" w:space="0" w:color="auto"/>
        <w:right w:val="none" w:sz="0" w:space="0" w:color="auto"/>
      </w:divBdr>
    </w:div>
    <w:div w:id="1646472987">
      <w:bodyDiv w:val="1"/>
      <w:marLeft w:val="0"/>
      <w:marRight w:val="0"/>
      <w:marTop w:val="0"/>
      <w:marBottom w:val="0"/>
      <w:divBdr>
        <w:top w:val="none" w:sz="0" w:space="0" w:color="auto"/>
        <w:left w:val="none" w:sz="0" w:space="0" w:color="auto"/>
        <w:bottom w:val="none" w:sz="0" w:space="0" w:color="auto"/>
        <w:right w:val="none" w:sz="0" w:space="0" w:color="auto"/>
      </w:divBdr>
    </w:div>
    <w:div w:id="1748072953">
      <w:bodyDiv w:val="1"/>
      <w:marLeft w:val="0"/>
      <w:marRight w:val="0"/>
      <w:marTop w:val="0"/>
      <w:marBottom w:val="0"/>
      <w:divBdr>
        <w:top w:val="none" w:sz="0" w:space="0" w:color="auto"/>
        <w:left w:val="none" w:sz="0" w:space="0" w:color="auto"/>
        <w:bottom w:val="none" w:sz="0" w:space="0" w:color="auto"/>
        <w:right w:val="none" w:sz="0" w:space="0" w:color="auto"/>
      </w:divBdr>
    </w:div>
    <w:div w:id="1751536368">
      <w:bodyDiv w:val="1"/>
      <w:marLeft w:val="0"/>
      <w:marRight w:val="0"/>
      <w:marTop w:val="0"/>
      <w:marBottom w:val="0"/>
      <w:divBdr>
        <w:top w:val="none" w:sz="0" w:space="0" w:color="auto"/>
        <w:left w:val="none" w:sz="0" w:space="0" w:color="auto"/>
        <w:bottom w:val="none" w:sz="0" w:space="0" w:color="auto"/>
        <w:right w:val="none" w:sz="0" w:space="0" w:color="auto"/>
      </w:divBdr>
    </w:div>
    <w:div w:id="1761675798">
      <w:bodyDiv w:val="1"/>
      <w:marLeft w:val="0"/>
      <w:marRight w:val="0"/>
      <w:marTop w:val="0"/>
      <w:marBottom w:val="0"/>
      <w:divBdr>
        <w:top w:val="none" w:sz="0" w:space="0" w:color="auto"/>
        <w:left w:val="none" w:sz="0" w:space="0" w:color="auto"/>
        <w:bottom w:val="none" w:sz="0" w:space="0" w:color="auto"/>
        <w:right w:val="none" w:sz="0" w:space="0" w:color="auto"/>
      </w:divBdr>
    </w:div>
    <w:div w:id="1766681790">
      <w:bodyDiv w:val="1"/>
      <w:marLeft w:val="0"/>
      <w:marRight w:val="0"/>
      <w:marTop w:val="0"/>
      <w:marBottom w:val="0"/>
      <w:divBdr>
        <w:top w:val="none" w:sz="0" w:space="0" w:color="auto"/>
        <w:left w:val="none" w:sz="0" w:space="0" w:color="auto"/>
        <w:bottom w:val="none" w:sz="0" w:space="0" w:color="auto"/>
        <w:right w:val="none" w:sz="0" w:space="0" w:color="auto"/>
      </w:divBdr>
    </w:div>
    <w:div w:id="1766731770">
      <w:bodyDiv w:val="1"/>
      <w:marLeft w:val="0"/>
      <w:marRight w:val="0"/>
      <w:marTop w:val="0"/>
      <w:marBottom w:val="0"/>
      <w:divBdr>
        <w:top w:val="none" w:sz="0" w:space="0" w:color="auto"/>
        <w:left w:val="none" w:sz="0" w:space="0" w:color="auto"/>
        <w:bottom w:val="none" w:sz="0" w:space="0" w:color="auto"/>
        <w:right w:val="none" w:sz="0" w:space="0" w:color="auto"/>
      </w:divBdr>
    </w:div>
    <w:div w:id="1817647556">
      <w:bodyDiv w:val="1"/>
      <w:marLeft w:val="0"/>
      <w:marRight w:val="0"/>
      <w:marTop w:val="0"/>
      <w:marBottom w:val="0"/>
      <w:divBdr>
        <w:top w:val="none" w:sz="0" w:space="0" w:color="auto"/>
        <w:left w:val="none" w:sz="0" w:space="0" w:color="auto"/>
        <w:bottom w:val="none" w:sz="0" w:space="0" w:color="auto"/>
        <w:right w:val="none" w:sz="0" w:space="0" w:color="auto"/>
      </w:divBdr>
    </w:div>
    <w:div w:id="1821725928">
      <w:bodyDiv w:val="1"/>
      <w:marLeft w:val="0"/>
      <w:marRight w:val="0"/>
      <w:marTop w:val="0"/>
      <w:marBottom w:val="0"/>
      <w:divBdr>
        <w:top w:val="none" w:sz="0" w:space="0" w:color="auto"/>
        <w:left w:val="none" w:sz="0" w:space="0" w:color="auto"/>
        <w:bottom w:val="none" w:sz="0" w:space="0" w:color="auto"/>
        <w:right w:val="none" w:sz="0" w:space="0" w:color="auto"/>
      </w:divBdr>
    </w:div>
    <w:div w:id="1866021948">
      <w:bodyDiv w:val="1"/>
      <w:marLeft w:val="0"/>
      <w:marRight w:val="0"/>
      <w:marTop w:val="0"/>
      <w:marBottom w:val="0"/>
      <w:divBdr>
        <w:top w:val="none" w:sz="0" w:space="0" w:color="auto"/>
        <w:left w:val="none" w:sz="0" w:space="0" w:color="auto"/>
        <w:bottom w:val="none" w:sz="0" w:space="0" w:color="auto"/>
        <w:right w:val="none" w:sz="0" w:space="0" w:color="auto"/>
      </w:divBdr>
    </w:div>
    <w:div w:id="1924680283">
      <w:bodyDiv w:val="1"/>
      <w:marLeft w:val="0"/>
      <w:marRight w:val="0"/>
      <w:marTop w:val="0"/>
      <w:marBottom w:val="0"/>
      <w:divBdr>
        <w:top w:val="none" w:sz="0" w:space="0" w:color="auto"/>
        <w:left w:val="none" w:sz="0" w:space="0" w:color="auto"/>
        <w:bottom w:val="none" w:sz="0" w:space="0" w:color="auto"/>
        <w:right w:val="none" w:sz="0" w:space="0" w:color="auto"/>
      </w:divBdr>
    </w:div>
    <w:div w:id="1925383359">
      <w:bodyDiv w:val="1"/>
      <w:marLeft w:val="0"/>
      <w:marRight w:val="0"/>
      <w:marTop w:val="0"/>
      <w:marBottom w:val="0"/>
      <w:divBdr>
        <w:top w:val="none" w:sz="0" w:space="0" w:color="auto"/>
        <w:left w:val="none" w:sz="0" w:space="0" w:color="auto"/>
        <w:bottom w:val="none" w:sz="0" w:space="0" w:color="auto"/>
        <w:right w:val="none" w:sz="0" w:space="0" w:color="auto"/>
      </w:divBdr>
    </w:div>
    <w:div w:id="1925990869">
      <w:bodyDiv w:val="1"/>
      <w:marLeft w:val="0"/>
      <w:marRight w:val="0"/>
      <w:marTop w:val="0"/>
      <w:marBottom w:val="0"/>
      <w:divBdr>
        <w:top w:val="none" w:sz="0" w:space="0" w:color="auto"/>
        <w:left w:val="none" w:sz="0" w:space="0" w:color="auto"/>
        <w:bottom w:val="none" w:sz="0" w:space="0" w:color="auto"/>
        <w:right w:val="none" w:sz="0" w:space="0" w:color="auto"/>
      </w:divBdr>
    </w:div>
    <w:div w:id="1927377034">
      <w:bodyDiv w:val="1"/>
      <w:marLeft w:val="0"/>
      <w:marRight w:val="0"/>
      <w:marTop w:val="0"/>
      <w:marBottom w:val="0"/>
      <w:divBdr>
        <w:top w:val="none" w:sz="0" w:space="0" w:color="auto"/>
        <w:left w:val="none" w:sz="0" w:space="0" w:color="auto"/>
        <w:bottom w:val="none" w:sz="0" w:space="0" w:color="auto"/>
        <w:right w:val="none" w:sz="0" w:space="0" w:color="auto"/>
      </w:divBdr>
    </w:div>
    <w:div w:id="1981229407">
      <w:bodyDiv w:val="1"/>
      <w:marLeft w:val="0"/>
      <w:marRight w:val="0"/>
      <w:marTop w:val="0"/>
      <w:marBottom w:val="0"/>
      <w:divBdr>
        <w:top w:val="none" w:sz="0" w:space="0" w:color="auto"/>
        <w:left w:val="none" w:sz="0" w:space="0" w:color="auto"/>
        <w:bottom w:val="none" w:sz="0" w:space="0" w:color="auto"/>
        <w:right w:val="none" w:sz="0" w:space="0" w:color="auto"/>
      </w:divBdr>
    </w:div>
    <w:div w:id="2015959809">
      <w:bodyDiv w:val="1"/>
      <w:marLeft w:val="0"/>
      <w:marRight w:val="0"/>
      <w:marTop w:val="0"/>
      <w:marBottom w:val="0"/>
      <w:divBdr>
        <w:top w:val="none" w:sz="0" w:space="0" w:color="auto"/>
        <w:left w:val="none" w:sz="0" w:space="0" w:color="auto"/>
        <w:bottom w:val="none" w:sz="0" w:space="0" w:color="auto"/>
        <w:right w:val="none" w:sz="0" w:space="0" w:color="auto"/>
      </w:divBdr>
    </w:div>
    <w:div w:id="2103181694">
      <w:bodyDiv w:val="1"/>
      <w:marLeft w:val="0"/>
      <w:marRight w:val="0"/>
      <w:marTop w:val="0"/>
      <w:marBottom w:val="0"/>
      <w:divBdr>
        <w:top w:val="none" w:sz="0" w:space="0" w:color="auto"/>
        <w:left w:val="none" w:sz="0" w:space="0" w:color="auto"/>
        <w:bottom w:val="none" w:sz="0" w:space="0" w:color="auto"/>
        <w:right w:val="none" w:sz="0" w:space="0" w:color="auto"/>
      </w:divBdr>
    </w:div>
    <w:div w:id="21204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C1ED11CFBDDB4499C28C30F8C27DCD"/>
        <w:category>
          <w:name w:val="General"/>
          <w:gallery w:val="placeholder"/>
        </w:category>
        <w:types>
          <w:type w:val="bbPlcHdr"/>
        </w:types>
        <w:behaviors>
          <w:behavior w:val="content"/>
        </w:behaviors>
        <w:guid w:val="{26CAB2D7-1732-6842-BD38-B4A2129F9D7C}"/>
      </w:docPartPr>
      <w:docPartBody>
        <w:p w:rsidR="00433878" w:rsidRDefault="00525810" w:rsidP="00525810">
          <w:pPr>
            <w:pStyle w:val="47C1ED11CFBDDB4499C28C30F8C27DCD"/>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10"/>
    <w:rsid w:val="0005534D"/>
    <w:rsid w:val="000717B1"/>
    <w:rsid w:val="00073987"/>
    <w:rsid w:val="000C24D3"/>
    <w:rsid w:val="000E241D"/>
    <w:rsid w:val="00121D7C"/>
    <w:rsid w:val="00150583"/>
    <w:rsid w:val="0016555E"/>
    <w:rsid w:val="00173060"/>
    <w:rsid w:val="00214411"/>
    <w:rsid w:val="00244A06"/>
    <w:rsid w:val="00251B12"/>
    <w:rsid w:val="002C0948"/>
    <w:rsid w:val="0039493A"/>
    <w:rsid w:val="003B0C64"/>
    <w:rsid w:val="00433878"/>
    <w:rsid w:val="004400FE"/>
    <w:rsid w:val="004C1579"/>
    <w:rsid w:val="004F383C"/>
    <w:rsid w:val="00525810"/>
    <w:rsid w:val="005507F2"/>
    <w:rsid w:val="0058699A"/>
    <w:rsid w:val="005D4C4F"/>
    <w:rsid w:val="00613157"/>
    <w:rsid w:val="00650CFD"/>
    <w:rsid w:val="006806B6"/>
    <w:rsid w:val="006D69A2"/>
    <w:rsid w:val="006F52A0"/>
    <w:rsid w:val="00732811"/>
    <w:rsid w:val="007953DA"/>
    <w:rsid w:val="007A0652"/>
    <w:rsid w:val="007B3BFE"/>
    <w:rsid w:val="007C4BED"/>
    <w:rsid w:val="007E225B"/>
    <w:rsid w:val="0080561C"/>
    <w:rsid w:val="008106E3"/>
    <w:rsid w:val="0081756C"/>
    <w:rsid w:val="00844DF3"/>
    <w:rsid w:val="008768B4"/>
    <w:rsid w:val="008961F7"/>
    <w:rsid w:val="008A51A3"/>
    <w:rsid w:val="008C6583"/>
    <w:rsid w:val="008E1026"/>
    <w:rsid w:val="008F4B14"/>
    <w:rsid w:val="009032D7"/>
    <w:rsid w:val="00925885"/>
    <w:rsid w:val="009F782F"/>
    <w:rsid w:val="00A32508"/>
    <w:rsid w:val="00A577F6"/>
    <w:rsid w:val="00A62D87"/>
    <w:rsid w:val="00A71695"/>
    <w:rsid w:val="00A76CE0"/>
    <w:rsid w:val="00AA73AE"/>
    <w:rsid w:val="00AB1CC2"/>
    <w:rsid w:val="00AD07D3"/>
    <w:rsid w:val="00AD6907"/>
    <w:rsid w:val="00B04373"/>
    <w:rsid w:val="00B45764"/>
    <w:rsid w:val="00B63A2E"/>
    <w:rsid w:val="00BC5841"/>
    <w:rsid w:val="00BC7807"/>
    <w:rsid w:val="00BE6A0C"/>
    <w:rsid w:val="00C20D89"/>
    <w:rsid w:val="00C52AFE"/>
    <w:rsid w:val="00C74240"/>
    <w:rsid w:val="00C8616F"/>
    <w:rsid w:val="00C940D1"/>
    <w:rsid w:val="00CB1B20"/>
    <w:rsid w:val="00CD3B4D"/>
    <w:rsid w:val="00D36662"/>
    <w:rsid w:val="00D91CE6"/>
    <w:rsid w:val="00DC3334"/>
    <w:rsid w:val="00E06753"/>
    <w:rsid w:val="00E12A61"/>
    <w:rsid w:val="00E82437"/>
    <w:rsid w:val="00EC422C"/>
    <w:rsid w:val="00ED431F"/>
    <w:rsid w:val="00F6747E"/>
    <w:rsid w:val="00F76044"/>
    <w:rsid w:val="00F94E82"/>
    <w:rsid w:val="00FC24F3"/>
    <w:rsid w:val="00FE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C1ED11CFBDDB4499C28C30F8C27DCD">
    <w:name w:val="47C1ED11CFBDDB4499C28C30F8C27DCD"/>
    <w:rsid w:val="00525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E2BEA-5082-2C47-B495-750FAF92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9</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p:lastModifiedBy>
  <cp:revision>60</cp:revision>
  <cp:lastPrinted>2025-06-20T11:10:00Z</cp:lastPrinted>
  <dcterms:created xsi:type="dcterms:W3CDTF">2025-06-06T05:07:00Z</dcterms:created>
  <dcterms:modified xsi:type="dcterms:W3CDTF">2025-08-08T12:27:00Z</dcterms:modified>
</cp:coreProperties>
</file>