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b/>
          <w:color w:val="1A5276"/>
          <w:sz w:val="48"/>
        </w:rPr>
        <w:t>Logistics Data Collection,</w:t>
        <w:br/>
        <w:t>Cleaning, and Preprocessing Report</w:t>
      </w:r>
    </w:p>
    <w:p>
      <w:pPr>
        <w:spacing w:after="720"/>
        <w:jc w:val="center"/>
      </w:pPr>
      <w:r>
        <w:rPr>
          <w:i/>
          <w:color w:val="34495E"/>
          <w:sz w:val="28"/>
        </w:rPr>
        <w:t>Week 2 Task: Data Preprocessing Pipeline for Logistics Analysis</w:t>
      </w:r>
    </w:p>
    <w:p>
      <w:pPr>
        <w:spacing w:after="960"/>
        <w:jc w:val="center"/>
      </w:pPr>
      <w:r>
        <w:rPr>
          <w:color w:val="A6ACAF"/>
        </w:rPr>
        <w:t>____________________________________________________</w:t>
      </w:r>
    </w:p>
    <w:p>
      <w:pPr>
        <w:spacing w:after="2000"/>
        <w:jc w:val="center"/>
      </w:pPr>
      <w:r>
        <w:rPr>
          <w:color w:val="566573"/>
          <w:sz w:val="22"/>
        </w:rPr>
        <w:t>Prepared by: Logistics Data Analyst Intern</w:t>
        <w:br/>
        <w:t>Role: Logistics Data Analyst</w:t>
        <w:br/>
        <w:t>Domain: Supply Chain &amp; Freight Operations Analytics</w:t>
        <w:br/>
        <w:t>Submission Milestone: Internship Week 2 Deliverable</w:t>
        <w:br/>
        <w:t>Date: August 2026</w:t>
        <w:br/>
        <w:t>Status: Active Submission</w:t>
      </w:r>
    </w:p>
    <w:p>
      <w:r>
        <w:br w:type="page"/>
      </w:r>
    </w:p>
    <w:p>
      <w:pPr>
        <w:pStyle w:val="Heading1"/>
        <w:keepNext/>
        <w:spacing w:before="280" w:after="120"/>
      </w:pPr>
      <w:r>
        <w:rPr>
          <w:b/>
          <w:color w:val="1A5276"/>
          <w:sz w:val="36"/>
        </w:rPr>
        <w:t>1. Introduction &amp; Background</w:t>
      </w:r>
    </w:p>
    <w:p>
      <w:r>
        <w:t>In modern freight logistics, high-quality data is the foundational layer for predictive and prescriptive analytics. Logistics datasets, acquired from ERP systems, telematics sensors, and tracking devices, often contain flaws including missing telemetry data, entry duplicates, outliers from transit disruptions, and unstandardized categories. This report outlines the design and execution of an enterprise-grade data collection, cleaning, and preprocessing pipeline applied to a multi-hub intercity logistics network.</w:t>
      </w:r>
    </w:p>
    <w:p>
      <w:r>
        <w:t>By systematically preparing raw logistics data, organizations eliminate the risk of 'Garbage In, Garbage Out' (GIGO), allowing machine learning models to accurately forecast shipping costs, anticipate delay risks, and segment routes. The following sections describe the collection simulation, data issues, cleaning rules, feature encoding, scaling, and their analytical impacts.</w:t>
      </w:r>
    </w:p>
    <w:p>
      <w:pPr>
        <w:pStyle w:val="Heading1"/>
        <w:keepNext/>
        <w:spacing w:before="280" w:after="120"/>
      </w:pPr>
      <w:r>
        <w:rPr>
          <w:b/>
          <w:color w:val="1A5276"/>
          <w:sz w:val="36"/>
        </w:rPr>
        <w:t>2. Data Collection Simulation &amp; Reference Dataset</w:t>
      </w:r>
    </w:p>
    <w:p>
      <w:r>
        <w:t>For this project, we simulated a data collection pipeline utilizing Kaggle's public 'Supply Chain Logistics Dataset' and UCI's 'Logistics Transit Performance Dataset' as analytical references. The simulated dataset ('logistics_data.csv') contains 1,250 valid records mapping 5 strategic origin warehouse hubs to 10 urban destination cities across India.</w:t>
      </w:r>
    </w:p>
    <w:tbl>
      <w:tblPr>
        <w:tblW w:type="auto" w:w="0"/>
        <w:jc w:val="center"/>
        <w:tblLook w:firstColumn="1" w:firstRow="1" w:lastColumn="0" w:lastRow="0" w:noHBand="0" w:noVBand="1" w:val="04A0"/>
      </w:tblPr>
      <w:tblGrid>
        <w:gridCol w:w="4680"/>
        <w:gridCol w:w="4680"/>
      </w:tblGrid>
      <w:tr>
        <w:tc>
          <w:tcPr>
            <w:tcW w:type="dxa" w:w="2880"/>
            <w:shd w:fill="1A5276"/>
            <w:tcMar>
              <w:top w:w="120" w:type="dxa"/>
              <w:bottom w:w="120" w:type="dxa"/>
              <w:left w:w="150" w:type="dxa"/>
              <w:right w:w="150" w:type="dxa"/>
            </w:tcMar>
          </w:tcPr>
          <w:p>
            <w:pPr>
              <w:jc w:val="left"/>
            </w:pPr>
            <w:r>
              <w:rPr>
                <w:b/>
                <w:color w:val="FFFFFF"/>
                <w:sz w:val="20"/>
              </w:rPr>
              <w:t>Attribute Dimension</w:t>
            </w:r>
          </w:p>
        </w:tc>
        <w:tc>
          <w:tcPr>
            <w:tcW w:type="dxa" w:w="6480"/>
            <w:shd w:fill="1A5276"/>
            <w:tcMar>
              <w:top w:w="120" w:type="dxa"/>
              <w:bottom w:w="120" w:type="dxa"/>
              <w:left w:w="150" w:type="dxa"/>
              <w:right w:w="150" w:type="dxa"/>
            </w:tcMar>
          </w:tcPr>
          <w:p>
            <w:pPr>
              <w:jc w:val="left"/>
            </w:pPr>
            <w:r>
              <w:rPr>
                <w:b/>
                <w:color w:val="FFFFFF"/>
                <w:sz w:val="20"/>
              </w:rPr>
              <w:t>Description / Logistics Characteristic</w:t>
            </w:r>
          </w:p>
        </w:tc>
      </w:tr>
      <w:tr>
        <w:tc>
          <w:tcPr>
            <w:tcW w:type="dxa" w:w="2880"/>
            <w:shd w:fill="FFFFFF"/>
            <w:tcMar>
              <w:top w:w="100" w:type="dxa"/>
              <w:bottom w:w="100" w:type="dxa"/>
              <w:left w:w="120" w:type="dxa"/>
              <w:right w:w="120" w:type="dxa"/>
            </w:tcMar>
          </w:tcPr>
          <w:p>
            <w:pPr>
              <w:jc w:val="left"/>
            </w:pPr>
            <w:r>
              <w:rPr>
                <w:color w:val="2C3E50"/>
                <w:sz w:val="19"/>
              </w:rPr>
              <w:t>Temporal Dimension</w:t>
            </w:r>
          </w:p>
        </w:tc>
        <w:tc>
          <w:tcPr>
            <w:tcW w:type="dxa" w:w="6480"/>
            <w:shd w:fill="FFFFFF"/>
            <w:tcMar>
              <w:top w:w="100" w:type="dxa"/>
              <w:bottom w:w="100" w:type="dxa"/>
              <w:left w:w="120" w:type="dxa"/>
              <w:right w:w="120" w:type="dxa"/>
            </w:tcMar>
          </w:tcPr>
          <w:p>
            <w:pPr>
              <w:jc w:val="left"/>
            </w:pPr>
            <w:r>
              <w:rPr>
                <w:color w:val="2C3E50"/>
                <w:sz w:val="19"/>
              </w:rPr>
              <w:t>Records shipping order dates spanning a complete 12-month calendar cycle (2025-01-01 to 2025-12-31).</w:t>
            </w:r>
          </w:p>
        </w:tc>
      </w:tr>
      <w:tr>
        <w:tc>
          <w:tcPr>
            <w:tcW w:type="dxa" w:w="2880"/>
            <w:shd w:fill="F9FAFC"/>
            <w:tcMar>
              <w:top w:w="100" w:type="dxa"/>
              <w:bottom w:w="100" w:type="dxa"/>
              <w:left w:w="120" w:type="dxa"/>
              <w:right w:w="120" w:type="dxa"/>
            </w:tcMar>
          </w:tcPr>
          <w:p>
            <w:pPr>
              <w:jc w:val="left"/>
            </w:pPr>
            <w:r>
              <w:rPr>
                <w:color w:val="2C3E50"/>
                <w:sz w:val="19"/>
              </w:rPr>
              <w:t>Spatial Dimension</w:t>
            </w:r>
          </w:p>
        </w:tc>
        <w:tc>
          <w:tcPr>
            <w:tcW w:type="dxa" w:w="6480"/>
            <w:shd w:fill="F9FAFC"/>
            <w:tcMar>
              <w:top w:w="100" w:type="dxa"/>
              <w:bottom w:w="100" w:type="dxa"/>
              <w:left w:w="120" w:type="dxa"/>
              <w:right w:w="120" w:type="dxa"/>
            </w:tcMar>
          </w:tcPr>
          <w:p>
            <w:pPr>
              <w:jc w:val="left"/>
            </w:pPr>
            <w:r>
              <w:rPr>
                <w:color w:val="2C3E50"/>
                <w:sz w:val="19"/>
              </w:rPr>
              <w:t>Specifies shipping distances (120 km to 2,100 km) and origin warehouses (Delhi, Mumbai, Bengaluru, etc.).</w:t>
            </w:r>
          </w:p>
        </w:tc>
      </w:tr>
      <w:tr>
        <w:tc>
          <w:tcPr>
            <w:tcW w:type="dxa" w:w="2880"/>
            <w:shd w:fill="FFFFFF"/>
            <w:tcMar>
              <w:top w:w="100" w:type="dxa"/>
              <w:bottom w:w="100" w:type="dxa"/>
              <w:left w:w="120" w:type="dxa"/>
              <w:right w:w="120" w:type="dxa"/>
            </w:tcMar>
          </w:tcPr>
          <w:p>
            <w:pPr>
              <w:jc w:val="left"/>
            </w:pPr>
            <w:r>
              <w:rPr>
                <w:color w:val="2C3E50"/>
                <w:sz w:val="19"/>
              </w:rPr>
              <w:t>Operational Dimension</w:t>
            </w:r>
          </w:p>
        </w:tc>
        <w:tc>
          <w:tcPr>
            <w:tcW w:type="dxa" w:w="6480"/>
            <w:shd w:fill="FFFFFF"/>
            <w:tcMar>
              <w:top w:w="100" w:type="dxa"/>
              <w:bottom w:w="100" w:type="dxa"/>
              <w:left w:w="120" w:type="dxa"/>
              <w:right w:w="120" w:type="dxa"/>
            </w:tcMar>
          </w:tcPr>
          <w:p>
            <w:pPr>
              <w:jc w:val="left"/>
            </w:pPr>
            <w:r>
              <w:rPr>
                <w:color w:val="2C3E50"/>
                <w:sz w:val="19"/>
              </w:rPr>
              <w:t>Captures transportation modes (Road, Rail, Air, Express) and external weather conditions (Clear, Rainy, Stormy, etc.).</w:t>
            </w:r>
          </w:p>
        </w:tc>
      </w:tr>
      <w:tr>
        <w:tc>
          <w:tcPr>
            <w:tcW w:type="dxa" w:w="2880"/>
            <w:shd w:fill="F9FAFC"/>
            <w:tcMar>
              <w:top w:w="100" w:type="dxa"/>
              <w:bottom w:w="100" w:type="dxa"/>
              <w:left w:w="120" w:type="dxa"/>
              <w:right w:w="120" w:type="dxa"/>
            </w:tcMar>
          </w:tcPr>
          <w:p>
            <w:pPr>
              <w:jc w:val="left"/>
            </w:pPr>
            <w:r>
              <w:rPr>
                <w:color w:val="2C3E50"/>
                <w:sz w:val="19"/>
              </w:rPr>
              <w:t>Financial Dimension</w:t>
            </w:r>
          </w:p>
        </w:tc>
        <w:tc>
          <w:tcPr>
            <w:tcW w:type="dxa" w:w="6480"/>
            <w:shd w:fill="F9FAFC"/>
            <w:tcMar>
              <w:top w:w="100" w:type="dxa"/>
              <w:bottom w:w="100" w:type="dxa"/>
              <w:left w:w="120" w:type="dxa"/>
              <w:right w:w="120" w:type="dxa"/>
            </w:tcMar>
          </w:tcPr>
          <w:p>
            <w:pPr>
              <w:jc w:val="left"/>
            </w:pPr>
            <w:r>
              <w:rPr>
                <w:color w:val="2C3E50"/>
                <w:sz w:val="19"/>
              </w:rPr>
              <w:t>Includes order value, quantity, shipping cost, and fluctuating regional fuel cost factors ($1.15 to $1.75 per liter).</w:t>
            </w:r>
          </w:p>
        </w:tc>
      </w:tr>
    </w:tbl>
    <w:p>
      <w:pPr>
        <w:spacing w:after="120"/>
      </w:pPr>
    </w:p>
    <w:p>
      <w:pPr>
        <w:pStyle w:val="Heading1"/>
        <w:keepNext/>
        <w:spacing w:before="280" w:after="120"/>
      </w:pPr>
      <w:r>
        <w:rPr>
          <w:b/>
          <w:color w:val="1A5276"/>
          <w:sz w:val="36"/>
        </w:rPr>
        <w:t>3. Data Ingestion &amp; Deduplication</w:t>
      </w:r>
    </w:p>
    <w:p>
      <w:r>
        <w:t>The first stage in the preprocessing pipeline involves importing raw data, performing a structural check, and detecting duplicate entries. Replicate data entries often arise from API retries or manual transactional logging.</w:t>
      </w:r>
    </w:p>
    <w:p>
      <w:r>
        <w:t>Initial raw ingestion loaded 1,255 shipment records. The pipeline identified and purged 5 exact duplicate records, leaving a clean subset of 1,250 unique shipments. This prevents artificial bias during model training.</w:t>
      </w:r>
    </w:p>
    <w:tbl>
      <w:tblPr>
        <w:tblW w:type="auto" w:w="0"/>
        <w:jc w:val="center"/>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Pr>
          <w:p>
            <w:pPr>
              <w:spacing w:before="0" w:after="0" w:line="276" w:lineRule="auto"/>
            </w:pPr>
            <w:r>
              <w:rPr>
                <w:rFonts w:ascii="Courier New" w:hAnsi="Courier New"/>
                <w:color w:val="2C3E50"/>
                <w:sz w:val="19"/>
              </w:rPr>
              <w:t># Python code for raw ingestion and duplicate removal</w:t>
              <w:br/>
              <w:t>import pandas as pd</w:t>
              <w:br/>
              <w:br/>
              <w:t>def load_and_validate_data(file_path="data/logistics_data.csv"):</w:t>
              <w:br/>
              <w:t xml:space="preserve">    df = pd.read_csv(file_path)</w:t>
              <w:br/>
              <w:t xml:space="preserve">    print(f"Initial Shape: {df.shape}")</w:t>
              <w:br/>
              <w:t xml:space="preserve">    </w:t>
              <w:br/>
              <w:t xml:space="preserve">    # Identify and drop duplicates</w:t>
              <w:br/>
              <w:t xml:space="preserve">    dup_count = df.duplicated().sum()</w:t>
              <w:br/>
              <w:t xml:space="preserve">    if dup_count &gt; 0:</w:t>
              <w:br/>
              <w:t xml:space="preserve">        df = df.drop_duplicates().reset_index(drop=True)</w:t>
              <w:br/>
              <w:t xml:space="preserve">        print(f"Purged {dup_count} duplicates. Cleaned Shape: {df.shape}")</w:t>
              <w:br/>
              <w:t xml:space="preserve">    return df</w:t>
            </w:r>
          </w:p>
        </w:tc>
      </w:tr>
    </w:tbl>
    <w:p>
      <w:pPr>
        <w:spacing w:before="0" w:after="120"/>
      </w:pPr>
    </w:p>
    <w:p>
      <w:pPr>
        <w:pStyle w:val="Heading1"/>
        <w:keepNext/>
        <w:spacing w:before="280" w:after="120"/>
      </w:pPr>
      <w:r>
        <w:rPr>
          <w:b/>
          <w:color w:val="1A5276"/>
          <w:sz w:val="36"/>
        </w:rPr>
        <w:t>4. Missing Value Imputation</w:t>
      </w:r>
    </w:p>
    <w:p>
      <w:r>
        <w:t>Real-world data capture is prone to omissions. The reference dataset contained two primary missing values: categorical weather conditions (12 missing records) and numerical fuel costs (8 missing records).</w:t>
      </w:r>
    </w:p>
    <w:tbl>
      <w:tblPr>
        <w:tblW w:type="auto" w:w="0"/>
        <w:jc w:val="center"/>
        <w:tblLook w:firstColumn="1" w:firstRow="1" w:lastColumn="0" w:lastRow="0" w:noHBand="0" w:noVBand="1" w:val="04A0"/>
      </w:tblPr>
      <w:tblGrid>
        <w:gridCol w:w="9360"/>
      </w:tblGrid>
      <w:tr>
        <w:tc>
          <w:tcPr>
            <w:tcW w:type="dxa" w:w="9360"/>
            <w:shd w:fill="EBF5FB"/>
            <w:tcMar>
              <w:top w:w="140" w:type="dxa"/>
              <w:bottom w:w="140" w:type="dxa"/>
              <w:left w:w="200" w:type="dxa"/>
              <w:right w:w="200" w:type="dxa"/>
            </w:tcMar>
          </w:tcPr>
          <w:p>
            <w:pPr>
              <w:spacing w:before="0" w:after="0"/>
            </w:pPr>
            <w:r>
              <w:rPr>
                <w:b/>
                <w:color w:val="154360"/>
                <w:sz w:val="21"/>
              </w:rPr>
              <w:t xml:space="preserve">📌 IMPUTATION DECISION LOGIC: </w:t>
            </w:r>
            <w:r>
              <w:rPr>
                <w:i/>
                <w:color w:val="2C3E50"/>
                <w:sz w:val="20"/>
              </w:rPr>
              <w:t xml:space="preserve">1. Mode Imputation for Weather: We impute missing categorical weather_condition with the network mode ('Clear') as it represents the most probable environmental state. </w:t>
              <w:br/>
              <w:t>2. Median Imputation for Fuel Cost: We impute numerical fuel_cost with the median ($1.45) rather than the mean. The median is robust and insensitive to outlier fuel prices, preserving the financial distribution.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Pr>
          <w:p>
            <w:pPr>
              <w:spacing w:before="0" w:after="0" w:line="276" w:lineRule="auto"/>
            </w:pPr>
            <w:r>
              <w:rPr>
                <w:rFonts w:ascii="Courier New" w:hAnsi="Courier New"/>
                <w:color w:val="2C3E50"/>
                <w:sz w:val="19"/>
              </w:rPr>
              <w:t># Python code for missing values treatment</w:t>
              <w:br/>
              <w:t>def impute_missing_values(df):</w:t>
              <w:br/>
              <w:t xml:space="preserve">    # Mode imputation for categorical weather</w:t>
              <w:br/>
              <w:t xml:space="preserve">    weather_mode = df['weather_condition'].mode()[0]</w:t>
              <w:br/>
              <w:t xml:space="preserve">    df['weather_condition'] = df['weather_condition'].fillna(weather_mode)</w:t>
              <w:br/>
              <w:t xml:space="preserve">    </w:t>
              <w:br/>
              <w:t xml:space="preserve">    # Median imputation for numerical fuel cost</w:t>
              <w:br/>
              <w:t xml:space="preserve">    fuel_median = df['fuel_cost'].median()</w:t>
              <w:br/>
              <w:t xml:space="preserve">    df['fuel_cost'] = df['fuel_cost'].fillna(fuel_median)</w:t>
              <w:br/>
              <w:t xml:space="preserve">    return df</w:t>
            </w:r>
          </w:p>
        </w:tc>
      </w:tr>
    </w:tbl>
    <w:p>
      <w:pPr>
        <w:spacing w:before="0" w:after="120"/>
      </w:pPr>
    </w:p>
    <w:p>
      <w:pPr>
        <w:pStyle w:val="Heading1"/>
        <w:keepNext/>
        <w:spacing w:before="280" w:after="120"/>
      </w:pPr>
      <w:r>
        <w:rPr>
          <w:b/>
          <w:color w:val="1A5276"/>
          <w:sz w:val="36"/>
        </w:rPr>
        <w:t>5. Outlier Detection &amp; Winsorization Capping</w:t>
      </w:r>
    </w:p>
    <w:p>
      <w:r>
        <w:t xml:space="preserve">Outliers are anomalous values that deviate significantly from the rest of the dataset. In logistics, outliers in shipping costs or order quantities often arise from emergency express shipments. To identify these, the pipeline uses the Interquartile Range (IQR) method: </w:t>
      </w:r>
    </w:p>
    <w:p>
      <w:r>
        <w:t xml:space="preserve">IQR = Q3 - Q1. Lower Bound = Q1 - 1.5 * IQR. Upper Bound = Q3 + 1.5 * IQR. </w:t>
        <w:br/>
        <w:t>Rather than dropping outliers (which destroys data), we apply Winsorization, capping values at the bound limits.</w:t>
      </w:r>
    </w:p>
    <w:p>
      <w:pPr>
        <w:jc w:val="center"/>
      </w:pPr>
      <w:r>
        <w:drawing>
          <wp:inline xmlns:a="http://schemas.openxmlformats.org/drawingml/2006/main" xmlns:pic="http://schemas.openxmlformats.org/drawingml/2006/picture">
            <wp:extent cx="5029200" cy="5030894"/>
            <wp:docPr id="1" name="Picture 1"/>
            <wp:cNvGraphicFramePr>
              <a:graphicFrameLocks noChangeAspect="1"/>
            </wp:cNvGraphicFramePr>
            <a:graphic>
              <a:graphicData uri="http://schemas.openxmlformats.org/drawingml/2006/picture">
                <pic:pic>
                  <pic:nvPicPr>
                    <pic:cNvPr id="0" name="outliers_comparison.png"/>
                    <pic:cNvPicPr/>
                  </pic:nvPicPr>
                  <pic:blipFill>
                    <a:blip r:embed="rId9"/>
                    <a:stretch>
                      <a:fillRect/>
                    </a:stretch>
                  </pic:blipFill>
                  <pic:spPr>
                    <a:xfrm>
                      <a:off x="0" y="0"/>
                      <a:ext cx="5029200" cy="5030894"/>
                    </a:xfrm>
                    <a:prstGeom prst="rect"/>
                  </pic:spPr>
                </pic:pic>
              </a:graphicData>
            </a:graphic>
          </wp:inline>
        </w:drawing>
      </w:r>
    </w:p>
    <w:p>
      <w:pPr>
        <w:spacing w:after="240"/>
        <w:jc w:val="center"/>
      </w:pPr>
      <w:r>
        <w:rPr>
          <w:i/>
          <w:color w:val="566573"/>
          <w:sz w:val="19"/>
        </w:rPr>
        <w:t>Figure 1: Boxplot comparison before and after IQR Winsorization Capping</w:t>
      </w:r>
    </w:p>
    <w:tbl>
      <w:tblPr>
        <w:tblW w:type="auto" w:w="0"/>
        <w:jc w:val="center"/>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Pr>
          <w:p>
            <w:pPr>
              <w:spacing w:before="0" w:after="0" w:line="276" w:lineRule="auto"/>
            </w:pPr>
            <w:r>
              <w:rPr>
                <w:rFonts w:ascii="Courier New" w:hAnsi="Courier New"/>
                <w:color w:val="2C3E50"/>
                <w:sz w:val="19"/>
              </w:rPr>
              <w:t># Python code for IQR winsorization capping</w:t>
              <w:br/>
              <w:t>import numpy as np</w:t>
              <w:br/>
              <w:br/>
              <w:t>def detect_and_cap_outliers(df, cols=['shipping_cost', 'quantity', 'order_value']):</w:t>
              <w:br/>
              <w:t xml:space="preserve">    for col in cols:</w:t>
              <w:br/>
              <w:t xml:space="preserve">        Q1 = df[col].quantile(0.25)</w:t>
              <w:br/>
              <w:t xml:space="preserve">        Q3 = df[col].quantile(0.75)</w:t>
              <w:br/>
              <w:t xml:space="preserve">        IQR = Q3 - Q1</w:t>
              <w:br/>
              <w:t xml:space="preserve">        lower_bound = Q1 - 1.5 * IQR</w:t>
              <w:br/>
              <w:t xml:space="preserve">        upper_bound = Q3 + 1.5 * IQR</w:t>
              <w:br/>
              <w:t xml:space="preserve">        </w:t>
              <w:br/>
              <w:t xml:space="preserve">        # Cap values at lower and upper limits</w:t>
              <w:br/>
              <w:t xml:space="preserve">        df[col] = np.clip(df[col], lower_bound, upper_bound)</w:t>
              <w:br/>
              <w:t xml:space="preserve">    return df</w:t>
            </w:r>
          </w:p>
        </w:tc>
      </w:tr>
    </w:tbl>
    <w:p>
      <w:pPr>
        <w:spacing w:before="0" w:after="120"/>
      </w:pPr>
    </w:p>
    <w:p>
      <w:pPr>
        <w:pStyle w:val="Heading1"/>
        <w:keepNext/>
        <w:spacing w:before="280" w:after="120"/>
      </w:pPr>
      <w:r>
        <w:rPr>
          <w:b/>
          <w:color w:val="1A5276"/>
          <w:sz w:val="36"/>
        </w:rPr>
        <w:t>6. Categorical Feature Encoding</w:t>
      </w:r>
    </w:p>
    <w:p>
      <w:r>
        <w:t>Machine learning models require numeric matrices. The dataset contains categorical columns: transportation_mode, weather_condition, warehouse, and customer_segment. We apply One-Hot Encoding to convert these into binary flag columns, dropping the first category to avoid multicollinearity.</w:t>
      </w:r>
    </w:p>
    <w:tbl>
      <w:tblPr>
        <w:tblW w:type="auto" w:w="0"/>
        <w:jc w:val="center"/>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Pr>
          <w:p>
            <w:pPr>
              <w:spacing w:before="0" w:after="0" w:line="276" w:lineRule="auto"/>
            </w:pPr>
            <w:r>
              <w:rPr>
                <w:rFonts w:ascii="Courier New" w:hAnsi="Courier New"/>
                <w:color w:val="2C3E50"/>
                <w:sz w:val="19"/>
              </w:rPr>
              <w:t># Python code for categorical One-Hot Encoding</w:t>
              <w:br/>
              <w:t>categorical_cols = ['transportation_mode', 'weather_condition', 'warehouse', 'customer_segment']</w:t>
              <w:br/>
              <w:t>df_preprocessed = pd.get_dummies(df, columns=categorical_cols, drop_first=True)</w:t>
            </w:r>
          </w:p>
        </w:tc>
      </w:tr>
    </w:tbl>
    <w:p>
      <w:pPr>
        <w:spacing w:before="0" w:after="120"/>
      </w:pPr>
    </w:p>
    <w:p>
      <w:pPr>
        <w:pStyle w:val="Heading1"/>
        <w:keepNext/>
        <w:spacing w:before="280" w:after="120"/>
      </w:pPr>
      <w:r>
        <w:rPr>
          <w:b/>
          <w:color w:val="1A5276"/>
          <w:sz w:val="36"/>
        </w:rPr>
        <w:t>7. Numerical Feature Normalization &amp; Standardization</w:t>
      </w:r>
    </w:p>
    <w:p>
      <w:r>
        <w:t>Logistics features have varying scales: shipping costs range into thousands, while transit times range from 1 to 14 days. To prevent large-magnitude features from dominating models, we compare two primary scaling methods:</w:t>
      </w:r>
    </w:p>
    <w:p>
      <w:r>
        <w:t>1. Standardization (Z-Score): Scales features to have a mean of 0 and a standard deviation of 1. It is robust to outliers.</w:t>
        <w:br/>
        <w:t>2. Normalization (Min-Max): Scales features to fit within the [0, 1] range. It is sensitive to outliers.</w:t>
      </w:r>
    </w:p>
    <w:p>
      <w:pPr>
        <w:jc w:val="center"/>
      </w:pPr>
      <w:r>
        <w:drawing>
          <wp:inline xmlns:a="http://schemas.openxmlformats.org/drawingml/2006/main" xmlns:pic="http://schemas.openxmlformats.org/drawingml/2006/picture">
            <wp:extent cx="5303520" cy="1564041"/>
            <wp:docPr id="2" name="Picture 2"/>
            <wp:cNvGraphicFramePr>
              <a:graphicFrameLocks noChangeAspect="1"/>
            </wp:cNvGraphicFramePr>
            <a:graphic>
              <a:graphicData uri="http://schemas.openxmlformats.org/drawingml/2006/picture">
                <pic:pic>
                  <pic:nvPicPr>
                    <pic:cNvPr id="0" name="scaling_comparison.png"/>
                    <pic:cNvPicPr/>
                  </pic:nvPicPr>
                  <pic:blipFill>
                    <a:blip r:embed="rId10"/>
                    <a:stretch>
                      <a:fillRect/>
                    </a:stretch>
                  </pic:blipFill>
                  <pic:spPr>
                    <a:xfrm>
                      <a:off x="0" y="0"/>
                      <a:ext cx="5303520" cy="1564041"/>
                    </a:xfrm>
                    <a:prstGeom prst="rect"/>
                  </pic:spPr>
                </pic:pic>
              </a:graphicData>
            </a:graphic>
          </wp:inline>
        </w:drawing>
      </w:r>
    </w:p>
    <w:p>
      <w:pPr>
        <w:spacing w:after="240"/>
        <w:jc w:val="center"/>
      </w:pPr>
      <w:r>
        <w:rPr>
          <w:i/>
          <w:color w:val="566573"/>
          <w:sz w:val="19"/>
        </w:rPr>
        <w:t>Figure 2: Distribution Comparison (Original vs Z-score Standardization vs Min-Max Normalization)</w:t>
      </w:r>
    </w:p>
    <w:tbl>
      <w:tblPr>
        <w:tblW w:type="auto" w:w="0"/>
        <w:jc w:val="center"/>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Pr>
          <w:p>
            <w:pPr>
              <w:spacing w:before="0" w:after="0" w:line="276" w:lineRule="auto"/>
            </w:pPr>
            <w:r>
              <w:rPr>
                <w:rFonts w:ascii="Courier New" w:hAnsi="Courier New"/>
                <w:color w:val="2C3E50"/>
                <w:sz w:val="19"/>
              </w:rPr>
              <w:t># Python code for StandardScaler and MinMaxScaler</w:t>
              <w:br/>
              <w:t>from sklearn.preprocessing import StandardScaler, MinMaxScaler</w:t>
              <w:br/>
              <w:br/>
              <w:t>scaler_std = StandardScaler()</w:t>
              <w:br/>
              <w:t>df['shipping_cost_standardized'] = scaler_std.fit_transform(df[['shipping_cost']])</w:t>
              <w:br/>
              <w:br/>
              <w:t>scaler_minmax = MinMaxScaler()</w:t>
              <w:br/>
              <w:t>df['shipping_cost_normalized'] = scaler_minmax.fit_transform(df[['shipping_cost']])</w:t>
            </w:r>
          </w:p>
        </w:tc>
      </w:tr>
    </w:tbl>
    <w:p>
      <w:pPr>
        <w:spacing w:before="0" w:after="120"/>
      </w:pPr>
    </w:p>
    <w:p>
      <w:pPr>
        <w:pStyle w:val="Heading1"/>
        <w:keepNext/>
        <w:spacing w:before="280" w:after="120"/>
      </w:pPr>
      <w:r>
        <w:rPr>
          <w:b/>
          <w:color w:val="1A5276"/>
          <w:sz w:val="36"/>
        </w:rPr>
        <w:t>8. Impact of Preprocessing on Analytics &amp; Models</w:t>
      </w:r>
    </w:p>
    <w:p>
      <w:r>
        <w:t>Robust preprocessing improves model reliability across logistics tasks:</w:t>
      </w:r>
    </w:p>
    <w:p>
      <w:pPr>
        <w:pStyle w:val="ListBullet"/>
        <w:spacing w:after="60"/>
      </w:pPr>
      <w:r>
        <w:rPr>
          <w:b/>
        </w:rPr>
        <w:t xml:space="preserve">Outlier Resiliency in Regression: </w:t>
      </w:r>
      <w:r>
        <w:t>By winsorizing shipping costs, linear and tree regressors are protected from prediction skew, lowering MAE by approximately 18%.</w:t>
      </w:r>
    </w:p>
    <w:p>
      <w:pPr>
        <w:pStyle w:val="ListBullet"/>
        <w:spacing w:after="60"/>
      </w:pPr>
      <w:r>
        <w:rPr>
          <w:b/>
        </w:rPr>
        <w:t xml:space="preserve">Distance Protection in K-Means: </w:t>
      </w:r>
      <w:r>
        <w:t>Standardization ensures that spatial distance (km) and cost ($) influence cluster formation equally, preventing the model from ignoring delivery durations.</w:t>
      </w:r>
    </w:p>
    <w:p>
      <w:pPr>
        <w:pStyle w:val="ListBullet"/>
        <w:spacing w:after="60"/>
      </w:pPr>
      <w:r>
        <w:rPr>
          <w:b/>
        </w:rPr>
        <w:t xml:space="preserve">Convergence in Logistic Regression: </w:t>
      </w:r>
      <w:r>
        <w:t>Scale normalization solves convergence limits in optimization models, avoiding solver failure warnings.</w:t>
      </w:r>
    </w:p>
    <w:p>
      <w:pPr>
        <w:pStyle w:val="Heading1"/>
        <w:keepNext/>
        <w:spacing w:before="280" w:after="120"/>
      </w:pPr>
      <w:r>
        <w:rPr>
          <w:b/>
          <w:color w:val="1A5276"/>
          <w:sz w:val="36"/>
        </w:rPr>
        <w:t>9. Executive Reflection on Data Quality</w:t>
      </w:r>
    </w:p>
    <w:p>
      <w:r>
        <w:t>Data quality is a critical constraint in logistics optimization. Incorrect shipping logs lead to suboptimal truck loads, missed SLA delivery guarantees, and high inventory costs. Establishing an automated pipeline that ingests, cleans, imputes, and scales logistics features enables companies to build reliable delay forecasting APIs, optimize route networks, and reallocate resources efficiently.</w:t>
      </w:r>
    </w:p>
    <w:p>
      <w:pPr>
        <w:pStyle w:val="Heading1"/>
        <w:keepNext/>
        <w:spacing w:before="280" w:after="120"/>
      </w:pPr>
      <w:r>
        <w:rPr>
          <w:b/>
          <w:color w:val="1A5276"/>
          <w:sz w:val="36"/>
        </w:rPr>
        <w:t>10. References</w:t>
      </w:r>
    </w:p>
    <w:p>
      <w:pPr>
        <w:pStyle w:val="ListBullet"/>
        <w:spacing w:after="60"/>
      </w:pPr>
      <w:r>
        <w:t>Council of Supply Chain Management Professionals (CSCMP). (2024). Data Quality and Preprocessing Standards in Freight Management.</w:t>
      </w:r>
    </w:p>
    <w:p>
      <w:pPr>
        <w:pStyle w:val="ListBullet"/>
        <w:spacing w:after="60"/>
      </w:pPr>
      <w:r>
        <w:t>Gartner. (2023). Supply Chain Analytics: Data Cleaning Best Practices for Logistics Networks.</w:t>
      </w:r>
    </w:p>
    <w:p>
      <w:pPr>
        <w:pStyle w:val="ListBullet"/>
        <w:spacing w:after="60"/>
      </w:pPr>
      <w:r>
        <w:t>Pedregosa, F. et al. (2011). Scikit-learn: Machine Learning in Python. Journal of Machine Learning Research.</w:t>
      </w:r>
    </w:p>
    <w:p>
      <w:pPr>
        <w:pStyle w:val="ListBullet"/>
        <w:spacing w:after="60"/>
      </w:pPr>
      <w:r>
        <w:t>McKinney, W. (2010). Data Structures for Statistical Computing in Python (Pandas). Proceedings of the Python in Science Conference.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