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899C" w14:textId="77777777" w:rsidR="00671370" w:rsidRPr="00FD41E9" w:rsidRDefault="00671370" w:rsidP="00671370">
      <w:pPr>
        <w:pStyle w:val="Heading2"/>
        <w:rPr>
          <w:b/>
          <w:bCs w:val="0"/>
          <w:sz w:val="24"/>
          <w:szCs w:val="24"/>
        </w:rPr>
      </w:pPr>
      <w:bookmarkStart w:id="0" w:name="_Toc222490274"/>
      <w:r>
        <w:rPr>
          <w:b/>
          <w:bCs w:val="0"/>
          <w:sz w:val="24"/>
          <w:szCs w:val="24"/>
        </w:rPr>
        <w:t>B1</w:t>
      </w:r>
      <w:r w:rsidRPr="00F3711D">
        <w:rPr>
          <w:b/>
          <w:bCs w:val="0"/>
          <w:sz w:val="24"/>
          <w:szCs w:val="24"/>
        </w:rPr>
        <w:t xml:space="preserve">. </w:t>
      </w:r>
      <w:r>
        <w:rPr>
          <w:b/>
          <w:bCs w:val="0"/>
          <w:sz w:val="24"/>
          <w:szCs w:val="24"/>
        </w:rPr>
        <w:t>Questionnaire</w:t>
      </w:r>
      <w:bookmarkEnd w:id="0"/>
    </w:p>
    <w:p w14:paraId="76F4214D" w14:textId="77777777" w:rsidR="00671370" w:rsidRPr="00840551" w:rsidRDefault="00671370" w:rsidP="0067137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b/>
          <w:bCs/>
          <w:sz w:val="20"/>
          <w:szCs w:val="20"/>
        </w:rPr>
      </w:pPr>
      <w:r>
        <w:rPr>
          <w:rFonts w:ascii="Open Sans" w:hAnsi="Open Sans" w:cs="Open Sans"/>
          <w:b/>
          <w:bCs/>
          <w:sz w:val="20"/>
          <w:szCs w:val="20"/>
        </w:rPr>
        <w:t>Welcome</w:t>
      </w:r>
    </w:p>
    <w:p w14:paraId="0EAE7BF0" w14:textId="77777777" w:rsidR="00671370" w:rsidRDefault="00671370" w:rsidP="0067137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i/>
          <w:iCs/>
          <w:strike/>
          <w:sz w:val="20"/>
          <w:szCs w:val="20"/>
        </w:rPr>
      </w:pPr>
      <w:r>
        <w:rPr>
          <w:rFonts w:ascii="Open Sans" w:hAnsi="Open Sans" w:cs="Open Sans"/>
          <w:i/>
          <w:iCs/>
          <w:sz w:val="20"/>
          <w:szCs w:val="20"/>
        </w:rPr>
        <w:t xml:space="preserve">Welcome to the Research Maturity Framework Self-Evaluation Tool. This tool is intended to help TDOT’s Research and Innovation Office assess their current management capabilities and develop an implementation plan for moving to a higher level of capability. This plan development is guided by a menu ubof actions to consider based on current and desired levels of maturity. </w:t>
      </w:r>
    </w:p>
    <w:p w14:paraId="56D56E7E" w14:textId="77777777" w:rsidR="00671370" w:rsidRDefault="00671370" w:rsidP="0067137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i/>
          <w:iCs/>
          <w:strike/>
          <w:sz w:val="20"/>
          <w:szCs w:val="20"/>
        </w:rPr>
      </w:pPr>
    </w:p>
    <w:p w14:paraId="54FCBC7A" w14:textId="77777777" w:rsidR="00671370" w:rsidRPr="00B43F31" w:rsidRDefault="00671370" w:rsidP="0067137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i/>
          <w:iCs/>
          <w:sz w:val="20"/>
          <w:szCs w:val="20"/>
        </w:rPr>
      </w:pPr>
      <w:r>
        <w:rPr>
          <w:rFonts w:ascii="Open Sans" w:hAnsi="Open Sans" w:cs="Open Sans"/>
          <w:i/>
          <w:iCs/>
          <w:sz w:val="20"/>
          <w:szCs w:val="20"/>
        </w:rPr>
        <w:t xml:space="preserve">The tool assesses the research maturity in the agency across three dimensions </w:t>
      </w:r>
      <w:r w:rsidRPr="002270BF">
        <w:rPr>
          <w:rFonts w:ascii="Open Sans" w:hAnsi="Open Sans" w:cs="Open Sans"/>
          <w:bCs/>
          <w:i/>
          <w:iCs/>
          <w:sz w:val="20"/>
          <w:szCs w:val="20"/>
        </w:rPr>
        <w:t>—</w:t>
      </w:r>
      <w:r>
        <w:rPr>
          <w:rFonts w:ascii="Open Sans" w:hAnsi="Open Sans" w:cs="Open Sans"/>
          <w:bCs/>
          <w:i/>
          <w:iCs/>
          <w:sz w:val="20"/>
          <w:szCs w:val="20"/>
        </w:rPr>
        <w:t xml:space="preserve"> Project Management, Evaluation and Impact Measurement, and Invoicing Process</w:t>
      </w:r>
      <w:r>
        <w:rPr>
          <w:rFonts w:ascii="Open Sans" w:hAnsi="Open Sans" w:cs="Open Sans"/>
          <w:i/>
          <w:iCs/>
          <w:sz w:val="20"/>
          <w:szCs w:val="20"/>
        </w:rPr>
        <w:t xml:space="preserve"> </w:t>
      </w:r>
      <w:r w:rsidRPr="002270BF">
        <w:rPr>
          <w:rFonts w:ascii="Open Sans" w:hAnsi="Open Sans" w:cs="Open Sans"/>
          <w:bCs/>
          <w:i/>
          <w:iCs/>
          <w:sz w:val="20"/>
          <w:szCs w:val="20"/>
        </w:rPr>
        <w:t>—</w:t>
      </w:r>
      <w:r>
        <w:rPr>
          <w:rFonts w:ascii="Open Sans" w:hAnsi="Open Sans" w:cs="Open Sans"/>
          <w:bCs/>
          <w:i/>
          <w:iCs/>
          <w:sz w:val="20"/>
          <w:szCs w:val="20"/>
        </w:rPr>
        <w:t xml:space="preserve"> </w:t>
      </w:r>
      <w:r w:rsidRPr="002270BF">
        <w:rPr>
          <w:rFonts w:ascii="Open Sans" w:hAnsi="Open Sans" w:cs="Open Sans"/>
          <w:bCs/>
          <w:i/>
          <w:iCs/>
          <w:sz w:val="20"/>
          <w:szCs w:val="20"/>
        </w:rPr>
        <w:t>allowing TDOT to measure current practice, compare performance across organizational groups, and identify specific improvement priorities.</w:t>
      </w:r>
      <w:r>
        <w:rPr>
          <w:rFonts w:ascii="Open Sans" w:hAnsi="Open Sans" w:cs="Open Sans"/>
          <w:bCs/>
          <w:i/>
          <w:iCs/>
          <w:sz w:val="20"/>
          <w:szCs w:val="20"/>
        </w:rPr>
        <w:t xml:space="preserve"> Each question gauges at different components surrounding the practices around the domains. </w:t>
      </w:r>
      <w:r w:rsidRPr="00CE45C8">
        <w:rPr>
          <w:rFonts w:ascii="Open Sans" w:hAnsi="Open Sans" w:cs="Open Sans"/>
          <w:bCs/>
          <w:i/>
          <w:iCs/>
          <w:sz w:val="20"/>
          <w:szCs w:val="20"/>
        </w:rPr>
        <w:t>Select the option that best matches current practice. Choose based on what happens in typical projects, not best-case examples. If the item is outside your role or truly not applicable, select N/A.</w:t>
      </w:r>
      <w:r>
        <w:rPr>
          <w:rFonts w:ascii="Open Sans" w:hAnsi="Open Sans" w:cs="Open Sans"/>
          <w:bCs/>
          <w:i/>
          <w:iCs/>
          <w:sz w:val="20"/>
          <w:szCs w:val="20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71370" w:rsidRPr="00B43F31" w14:paraId="11EA6892" w14:textId="77777777" w:rsidTr="004E0ED6">
        <w:tc>
          <w:tcPr>
            <w:tcW w:w="9350" w:type="dxa"/>
          </w:tcPr>
          <w:p w14:paraId="7ED772F4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3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b/>
                <w:color w:val="auto"/>
                <w:sz w:val="20"/>
                <w:szCs w:val="20"/>
              </w:rPr>
              <w:t>Name: _______________________________________________</w:t>
            </w:r>
          </w:p>
          <w:p w14:paraId="2A61E44B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3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b/>
                <w:color w:val="auto"/>
                <w:sz w:val="20"/>
                <w:szCs w:val="20"/>
              </w:rPr>
              <w:t>Email: ________________________________________________</w:t>
            </w:r>
          </w:p>
          <w:p w14:paraId="087FC939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3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b/>
                <w:color w:val="auto"/>
                <w:sz w:val="20"/>
                <w:szCs w:val="20"/>
              </w:rPr>
              <w:t>Team: ________________________________________________</w:t>
            </w:r>
          </w:p>
          <w:p w14:paraId="2957371F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3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b/>
                <w:color w:val="auto"/>
                <w:sz w:val="20"/>
                <w:szCs w:val="20"/>
              </w:rPr>
              <w:t xml:space="preserve">Department: ________________________________________ </w:t>
            </w:r>
          </w:p>
        </w:tc>
      </w:tr>
      <w:tr w:rsidR="00671370" w:rsidRPr="00B43F31" w14:paraId="521CD2DF" w14:textId="77777777" w:rsidTr="004E0ED6">
        <w:tc>
          <w:tcPr>
            <w:tcW w:w="9350" w:type="dxa"/>
          </w:tcPr>
          <w:p w14:paraId="68BA6761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3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b/>
                <w:color w:val="auto"/>
                <w:sz w:val="20"/>
                <w:szCs w:val="20"/>
              </w:rPr>
              <w:t>State the name of your organization: __________________________________</w:t>
            </w:r>
          </w:p>
        </w:tc>
      </w:tr>
    </w:tbl>
    <w:p w14:paraId="36D29EA9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71370" w:rsidRPr="00B43F31" w14:paraId="0F4CEEF9" w14:textId="77777777" w:rsidTr="004E0ED6">
        <w:tc>
          <w:tcPr>
            <w:tcW w:w="9350" w:type="dxa"/>
          </w:tcPr>
          <w:p w14:paraId="491D9794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3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6A54E0">
              <w:rPr>
                <w:rFonts w:eastAsia="Times New Roman"/>
                <w:b/>
                <w:color w:val="auto"/>
                <w:sz w:val="20"/>
                <w:szCs w:val="20"/>
              </w:rPr>
              <w:t>Which functional area best reflects your primary responsibilities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48862788" w14:textId="77777777" w:rsidTr="004E0ED6">
        <w:tc>
          <w:tcPr>
            <w:tcW w:w="9350" w:type="dxa"/>
          </w:tcPr>
          <w:p w14:paraId="157870A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6A54E0">
              <w:rPr>
                <w:rFonts w:eastAsia="Times New Roman"/>
                <w:color w:val="auto"/>
                <w:sz w:val="20"/>
                <w:szCs w:val="20"/>
              </w:rPr>
              <w:t>Managing research projects (scope, schedule, reviews, deliverables)</w:t>
            </w:r>
            <w:r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43F31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→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Go to Block 1: </w:t>
            </w:r>
          </w:p>
        </w:tc>
      </w:tr>
      <w:tr w:rsidR="00671370" w:rsidRPr="00B43F31" w14:paraId="7BD07C1F" w14:textId="77777777" w:rsidTr="004E0ED6">
        <w:trPr>
          <w:trHeight w:val="80"/>
        </w:trPr>
        <w:tc>
          <w:tcPr>
            <w:tcW w:w="9350" w:type="dxa"/>
          </w:tcPr>
          <w:p w14:paraId="5DA7721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6A54E0">
              <w:rPr>
                <w:rFonts w:eastAsia="Times New Roman"/>
                <w:color w:val="auto"/>
                <w:sz w:val="20"/>
                <w:szCs w:val="20"/>
              </w:rPr>
              <w:t>Evaluating research outcomes, impact, or implementation</w:t>
            </w:r>
            <w:r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43F31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→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Go to Block 2</w:t>
            </w:r>
          </w:p>
        </w:tc>
      </w:tr>
      <w:tr w:rsidR="00671370" w:rsidRPr="00B43F31" w14:paraId="3559F2F2" w14:textId="77777777" w:rsidTr="004E0ED6">
        <w:tc>
          <w:tcPr>
            <w:tcW w:w="9350" w:type="dxa"/>
          </w:tcPr>
          <w:p w14:paraId="0836B211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6A54E0">
              <w:rPr>
                <w:rFonts w:eastAsia="Times New Roman"/>
                <w:color w:val="auto"/>
                <w:sz w:val="20"/>
                <w:szCs w:val="20"/>
              </w:rPr>
              <w:t>Processing invoices, payments, or administrative documentation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43F31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→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Go to Block 3</w:t>
            </w:r>
          </w:p>
        </w:tc>
      </w:tr>
    </w:tbl>
    <w:p w14:paraId="56C9ED4D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p w14:paraId="1BA19671" w14:textId="77777777" w:rsidR="00671370" w:rsidRPr="00B43F31" w:rsidRDefault="00671370" w:rsidP="00671370">
      <w:pPr>
        <w:spacing w:after="0"/>
        <w:jc w:val="left"/>
        <w:rPr>
          <w:rFonts w:eastAsia="Times New Roman"/>
          <w:b/>
          <w:color w:val="auto"/>
          <w:sz w:val="20"/>
          <w:szCs w:val="20"/>
          <w:u w:val="single"/>
        </w:rPr>
      </w:pPr>
      <w:r w:rsidRPr="00B43F31">
        <w:rPr>
          <w:rFonts w:eastAsia="Times New Roman"/>
          <w:b/>
          <w:color w:val="auto"/>
          <w:sz w:val="20"/>
          <w:szCs w:val="20"/>
          <w:highlight w:val="green"/>
          <w:u w:val="single"/>
        </w:rPr>
        <w:t>BLOCK 1: PROGRAM MANAGEMENT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71370" w:rsidRPr="00B43F31" w14:paraId="420692CB" w14:textId="77777777" w:rsidTr="004E0ED6">
        <w:tc>
          <w:tcPr>
            <w:tcW w:w="9350" w:type="dxa"/>
          </w:tcPr>
          <w:p w14:paraId="21151D02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3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are research needs converted into a set of candidate projects?</w:t>
            </w:r>
          </w:p>
        </w:tc>
      </w:tr>
      <w:tr w:rsidR="00671370" w:rsidRPr="00B43F31" w14:paraId="05429CB6" w14:textId="77777777" w:rsidTr="004E0ED6">
        <w:tc>
          <w:tcPr>
            <w:tcW w:w="9350" w:type="dxa"/>
          </w:tcPr>
          <w:p w14:paraId="113A5103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  <w:shd w:val="clear" w:color="auto" w:fill="FFFFFF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43F31">
              <w:rPr>
                <w:rFonts w:eastAsia="Times New Roman"/>
                <w:color w:val="auto"/>
                <w:sz w:val="20"/>
                <w:szCs w:val="20"/>
                <w:shd w:val="clear" w:color="auto" w:fill="FFFFFF"/>
              </w:rPr>
              <w:t>Projects originate mainly from ad hoc requests; rationale is rarely captured; the “why now” is usually undocumented.</w:t>
            </w:r>
          </w:p>
        </w:tc>
      </w:tr>
      <w:tr w:rsidR="00671370" w:rsidRPr="00B43F31" w14:paraId="19C9ED63" w14:textId="77777777" w:rsidTr="004E0ED6">
        <w:tc>
          <w:tcPr>
            <w:tcW w:w="9350" w:type="dxa"/>
          </w:tcPr>
          <w:p w14:paraId="6782A391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Needs are discussed in recurring meetings/emails, but intake is inconsistent; documentation exists for some projects, not most.</w:t>
            </w:r>
          </w:p>
        </w:tc>
      </w:tr>
      <w:tr w:rsidR="00671370" w:rsidRPr="00B43F31" w14:paraId="3054C218" w14:textId="77777777" w:rsidTr="004E0ED6">
        <w:tc>
          <w:tcPr>
            <w:tcW w:w="9350" w:type="dxa"/>
          </w:tcPr>
          <w:p w14:paraId="72A49E2B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A consistent intake mechanism exists (form/template); most project ideas include basic justification, sponsor, and intended users.</w:t>
            </w:r>
          </w:p>
        </w:tc>
      </w:tr>
      <w:tr w:rsidR="00671370" w:rsidRPr="00B43F31" w14:paraId="2574B41F" w14:textId="77777777" w:rsidTr="004E0ED6">
        <w:tc>
          <w:tcPr>
            <w:tcW w:w="9350" w:type="dxa"/>
          </w:tcPr>
          <w:p w14:paraId="3EA6F0E7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Intake includes structured fields (problems, expected use, dependencies, constraints); submissions are screened against defined criteria.</w:t>
            </w:r>
          </w:p>
        </w:tc>
      </w:tr>
      <w:tr w:rsidR="00671370" w:rsidRPr="00B43F31" w14:paraId="6566BE27" w14:textId="77777777" w:rsidTr="004E0ED6">
        <w:tc>
          <w:tcPr>
            <w:tcW w:w="9350" w:type="dxa"/>
          </w:tcPr>
          <w:p w14:paraId="092ED9D0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Intake data is analyzed over time to refine criteria and identify recurring needs; the process is periodically improved based on outcomes.</w:t>
            </w:r>
          </w:p>
        </w:tc>
      </w:tr>
      <w:tr w:rsidR="00671370" w:rsidRPr="00B43F31" w14:paraId="72FB21F6" w14:textId="77777777" w:rsidTr="004E0ED6">
        <w:tc>
          <w:tcPr>
            <w:tcW w:w="9350" w:type="dxa"/>
          </w:tcPr>
          <w:p w14:paraId="3199C3D9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2752DB2C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71370" w:rsidRPr="00B43F31" w14:paraId="40642281" w14:textId="77777777" w:rsidTr="004E0ED6">
        <w:tc>
          <w:tcPr>
            <w:tcW w:w="9350" w:type="dxa"/>
          </w:tcPr>
          <w:p w14:paraId="30AEE3C1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3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are projects prioritized when resources are limited?</w:t>
            </w:r>
          </w:p>
        </w:tc>
      </w:tr>
      <w:tr w:rsidR="00671370" w:rsidRPr="00B43F31" w14:paraId="147C890D" w14:textId="77777777" w:rsidTr="004E0ED6">
        <w:tc>
          <w:tcPr>
            <w:tcW w:w="9350" w:type="dxa"/>
          </w:tcPr>
          <w:p w14:paraId="5C8C7BF7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  <w:shd w:val="clear" w:color="auto" w:fill="FFFFFF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43F31">
              <w:rPr>
                <w:rFonts w:eastAsia="Times New Roman"/>
                <w:color w:val="auto"/>
                <w:sz w:val="20"/>
                <w:szCs w:val="20"/>
                <w:shd w:val="clear" w:color="auto" w:fill="FFFFFF"/>
              </w:rPr>
              <w:t>Prioritization is primarily judgment-based; criteria vary by decision-maker; trade-offs are not documented.</w:t>
            </w:r>
          </w:p>
        </w:tc>
      </w:tr>
      <w:tr w:rsidR="00671370" w:rsidRPr="00B43F31" w14:paraId="5B6744A5" w14:textId="77777777" w:rsidTr="004E0ED6">
        <w:tc>
          <w:tcPr>
            <w:tcW w:w="9350" w:type="dxa"/>
          </w:tcPr>
          <w:p w14:paraId="08A274CB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Informal criteria exist (urgency/visibility), but weighting is unclear; results are difficult to reproduce across cycles.</w:t>
            </w:r>
          </w:p>
        </w:tc>
      </w:tr>
      <w:tr w:rsidR="00671370" w:rsidRPr="00B43F31" w14:paraId="4A4A458D" w14:textId="77777777" w:rsidTr="004E0ED6">
        <w:tc>
          <w:tcPr>
            <w:tcW w:w="9350" w:type="dxa"/>
          </w:tcPr>
          <w:p w14:paraId="23C150EC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Documented criteria are used for most decisions; rationale is recorded (even if briefly) and can be explained after the fact.</w:t>
            </w:r>
          </w:p>
        </w:tc>
      </w:tr>
      <w:tr w:rsidR="00671370" w:rsidRPr="00B43F31" w14:paraId="253E1B3F" w14:textId="77777777" w:rsidTr="004E0ED6">
        <w:tc>
          <w:tcPr>
            <w:tcW w:w="9350" w:type="dxa"/>
          </w:tcPr>
          <w:p w14:paraId="1E5B0792" w14:textId="77777777" w:rsidR="00671370" w:rsidRPr="00B43F31" w:rsidRDefault="00671370" w:rsidP="004E0ED6">
            <w:pPr>
              <w:spacing w:after="0"/>
              <w:ind w:left="333" w:hanging="333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lastRenderedPageBreak/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Criteria include measurable considerations (impact, feasibility, alignment, staffing, timing); prioritization is consistent across groups.</w:t>
            </w:r>
          </w:p>
        </w:tc>
      </w:tr>
      <w:tr w:rsidR="00671370" w:rsidRPr="00B43F31" w14:paraId="7AAE2BBE" w14:textId="77777777" w:rsidTr="004E0ED6">
        <w:tc>
          <w:tcPr>
            <w:tcW w:w="9350" w:type="dxa"/>
          </w:tcPr>
          <w:p w14:paraId="5AA803FF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Prioritization is periodically recalibrated using results from completed projects (implementation success, delivery performance, realized value)</w:t>
            </w:r>
          </w:p>
        </w:tc>
      </w:tr>
      <w:tr w:rsidR="00671370" w:rsidRPr="00B43F31" w14:paraId="1F6A3182" w14:textId="77777777" w:rsidTr="004E0ED6">
        <w:tc>
          <w:tcPr>
            <w:tcW w:w="9350" w:type="dxa"/>
          </w:tcPr>
          <w:p w14:paraId="06D11DA0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47FA0C69" w14:textId="77777777" w:rsidR="00671370" w:rsidRPr="00B43F31" w:rsidRDefault="00671370" w:rsidP="00671370">
      <w:pPr>
        <w:spacing w:after="0"/>
        <w:rPr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46914ED2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5EBAFD39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is scope defined so expectations are stable across TDOT and contractors?</w:t>
            </w:r>
          </w:p>
        </w:tc>
      </w:tr>
      <w:tr w:rsidR="00671370" w:rsidRPr="00B43F31" w14:paraId="6E4BD3EF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4F89A35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Scope is mostly described narratively; deliverables and acceptance criteria are unclear until late.</w:t>
            </w:r>
          </w:p>
        </w:tc>
      </w:tr>
      <w:tr w:rsidR="00671370" w:rsidRPr="00B43F31" w14:paraId="3B563F58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E0E72C7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Deliverables are listed, but “done” is interpreted differently across projects; change requests are frequent.</w:t>
            </w:r>
          </w:p>
        </w:tc>
      </w:tr>
      <w:tr w:rsidR="00671370" w:rsidRPr="00B43F31" w14:paraId="136B674F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76C8E0F7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Scope includes defined deliverables, milestones, and acceptance expectations; changes are managed using a consistent approach.</w:t>
            </w:r>
          </w:p>
        </w:tc>
      </w:tr>
      <w:tr w:rsidR="00671370" w:rsidRPr="00B43F31" w14:paraId="7A9F139A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A66F3AE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Scope includes measurable requirements where appropriate (format, reporting cadence, required artifacts); dependencies and constraints are explicit.</w:t>
            </w:r>
          </w:p>
        </w:tc>
      </w:tr>
      <w:tr w:rsidR="00671370" w:rsidRPr="00B43F31" w14:paraId="37DBE980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43C0006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Scope definition is continuously improved using recurring issues (ambiguities, rework) and lessons learned; templates evolve accordingly.</w:t>
            </w:r>
          </w:p>
        </w:tc>
      </w:tr>
      <w:tr w:rsidR="00671370" w:rsidRPr="00B43F31" w14:paraId="42992B6D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0A999FEE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  <w:tr w:rsidR="00671370" w:rsidRPr="00B43F31" w14:paraId="3EF28201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0923D6C2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</w:p>
        </w:tc>
      </w:tr>
      <w:tr w:rsidR="00671370" w:rsidRPr="00B43F31" w14:paraId="518E8A4B" w14:textId="77777777" w:rsidTr="004E0E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5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78723CAC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are roles and responsibilities established and enforced?</w:t>
            </w:r>
          </w:p>
        </w:tc>
      </w:tr>
      <w:tr w:rsidR="00671370" w:rsidRPr="00B43F31" w14:paraId="4396352E" w14:textId="77777777" w:rsidTr="004E0E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645C4A2B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Roles are assumed; responsibilities shift informally; escalation paths are unclear.</w:t>
            </w:r>
          </w:p>
        </w:tc>
      </w:tr>
      <w:tr w:rsidR="00671370" w:rsidRPr="00B43F31" w14:paraId="5DACF742" w14:textId="77777777" w:rsidTr="004E0E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7482EC37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Roles are generally known but not consistently documented; accountability varies by project manager.</w:t>
            </w:r>
          </w:p>
        </w:tc>
      </w:tr>
      <w:tr w:rsidR="00671370" w:rsidRPr="00B43F31" w14:paraId="5EB08D0A" w14:textId="77777777" w:rsidTr="004E0E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4F9693CA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Roles are documented (TDOT lead, technical reviewers, administrative contacts, contractor PM); escalation paths exist and are used.</w:t>
            </w:r>
          </w:p>
        </w:tc>
      </w:tr>
      <w:tr w:rsidR="00671370" w:rsidRPr="00B43F31" w14:paraId="7614A8AD" w14:textId="77777777" w:rsidTr="004E0E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361F9E9C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Responsibilities are tied to timelines and deliverables; coordination expectations are explicit; handoffs are defined.</w:t>
            </w:r>
          </w:p>
        </w:tc>
      </w:tr>
      <w:tr w:rsidR="00671370" w:rsidRPr="00B43F31" w14:paraId="0B3F60E4" w14:textId="77777777" w:rsidTr="004E0E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1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1197E52B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Role clarity is audited through recurring issues and updated; onboarding materials maintain continuity during turnover.</w:t>
            </w:r>
          </w:p>
        </w:tc>
      </w:tr>
      <w:tr w:rsidR="00671370" w:rsidRPr="00B43F31" w14:paraId="2E622BC2" w14:textId="77777777" w:rsidTr="004E0E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1974BC22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07358F4A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61BCA8AD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2CC6CD3F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are schedules and milestones planned at project start?</w:t>
            </w:r>
          </w:p>
        </w:tc>
      </w:tr>
      <w:tr w:rsidR="00671370" w:rsidRPr="00B43F31" w14:paraId="18053963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D9FD6EE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Schedules are rough; milestones are not consistently tracked; slippage becomes visible late.</w:t>
            </w:r>
          </w:p>
        </w:tc>
      </w:tr>
      <w:tr w:rsidR="00671370" w:rsidRPr="00B43F31" w14:paraId="49A03B57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B774509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A schedule exists but varies in detail; milestone tracking depends on the project manager.</w:t>
            </w:r>
          </w:p>
        </w:tc>
      </w:tr>
      <w:tr w:rsidR="00671370" w:rsidRPr="00B43F31" w14:paraId="6DA84DA6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231166FA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Milestones and reporting dates are defined and tracked for most projects; schedule updates occur through a standard cadence.</w:t>
            </w:r>
          </w:p>
        </w:tc>
      </w:tr>
      <w:tr w:rsidR="00671370" w:rsidRPr="00B43F31" w14:paraId="6190BF75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CB7C86C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Milestones are linked to review points and decision gates; schedule performance is tracked consistently and used to manage work.</w:t>
            </w:r>
          </w:p>
        </w:tc>
      </w:tr>
      <w:tr w:rsidR="00671370" w:rsidRPr="00B43F31" w14:paraId="7429E6AB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090DDED2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Schedule planning improves over time using observed slippage patterns; milestone structures are refined to reduce late surprises.</w:t>
            </w:r>
          </w:p>
        </w:tc>
      </w:tr>
      <w:tr w:rsidR="00671370" w:rsidRPr="00B43F31" w14:paraId="6E815B55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068319CC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7399BCDE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601652A1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6BEF8D8D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is progress reporting structured during execution?</w:t>
            </w:r>
          </w:p>
        </w:tc>
      </w:tr>
      <w:tr w:rsidR="00671370" w:rsidRPr="00B43F31" w14:paraId="13DEE0B3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36CE6CB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Updates occur informally (emails/calls); status is hard to reconstruct later.</w:t>
            </w:r>
          </w:p>
        </w:tc>
      </w:tr>
      <w:tr w:rsidR="00671370" w:rsidRPr="00B43F31" w14:paraId="1F0ACE84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85EFC88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Some projects submit status reports, but format differ; key details (risks, next steps) are often missing.</w:t>
            </w:r>
          </w:p>
        </w:tc>
      </w:tr>
      <w:tr w:rsidR="00671370" w:rsidRPr="00B43F31" w14:paraId="56139FBB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7CA16103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lastRenderedPageBreak/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A standard status format exists (progress, upcoming, blockers, decision needed); reporting is through and occurs on a predictable cadence.</w:t>
            </w:r>
          </w:p>
        </w:tc>
      </w:tr>
      <w:tr w:rsidR="00671370" w:rsidRPr="00B43F31" w14:paraId="40A2ACAA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49E3BBA6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Reports include measurable progress against milestones; deviations are flagged and tracked; management actions are documented.</w:t>
            </w:r>
          </w:p>
        </w:tc>
      </w:tr>
      <w:tr w:rsidR="00671370" w:rsidRPr="00B43F31" w14:paraId="56F41CC9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3BC6DC09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Reporting is streamlined and consistently high-quality; recurring reporting issues are corrected by improving templates and guidance.</w:t>
            </w:r>
          </w:p>
        </w:tc>
      </w:tr>
      <w:tr w:rsidR="00671370" w:rsidRPr="00B43F31" w14:paraId="3DD5D340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E012ADA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4F160103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7D680B9B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1A31A3DD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are technical reviews and approvals handled for interim and final deliverables?</w:t>
            </w:r>
          </w:p>
        </w:tc>
      </w:tr>
      <w:tr w:rsidR="00671370" w:rsidRPr="00B43F31" w14:paraId="51EC1CD3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B922D9A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Revies happen inconsistently; criteria are unclear; approvals may be delayed without a clear process.</w:t>
            </w:r>
          </w:p>
        </w:tc>
      </w:tr>
      <w:tr w:rsidR="00671370" w:rsidRPr="00B43F31" w14:paraId="1B89E2EC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A1AA71D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Reviews occur but are highly variable; feedback quality depends on individuals; turnaround times vary widely.</w:t>
            </w:r>
          </w:p>
        </w:tc>
      </w:tr>
      <w:tr w:rsidR="00671370" w:rsidRPr="00B43F31" w14:paraId="287DD929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3D333FB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Review steps are defined (who reviews what, by when); deliverables are checked against documented expectations.</w:t>
            </w:r>
          </w:p>
        </w:tc>
      </w:tr>
      <w:tr w:rsidR="00671370" w:rsidRPr="00B43F31" w14:paraId="5A71EB61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7F00BD7A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Reviews use standardized checklists/rubrics; turnaround times are tracked; recurring quality issues are addressed systematically.</w:t>
            </w:r>
          </w:p>
        </w:tc>
      </w:tr>
      <w:tr w:rsidR="00671370" w:rsidRPr="00B43F31" w14:paraId="770A11EB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5F5FBE08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Review performance is continuously improved (fewer cycles, faster approvals, clearer expectations); rubrics evolve based on observed defects.</w:t>
            </w:r>
          </w:p>
        </w:tc>
      </w:tr>
      <w:tr w:rsidR="00671370" w:rsidRPr="00B43F31" w14:paraId="370EBB1E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85E5C7B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4B2D3EF8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1B2D0410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21D59E77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When issues arise (delays, missing data, contractor capacity, scope drift), how are they handled?</w:t>
            </w:r>
          </w:p>
        </w:tc>
      </w:tr>
      <w:tr w:rsidR="00671370" w:rsidRPr="00B43F31" w14:paraId="3EC67CD4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2901A292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Issues are handled case-by-case; actions are informal; the same issues recur across projects.</w:t>
            </w:r>
          </w:p>
        </w:tc>
      </w:tr>
      <w:tr w:rsidR="00671370" w:rsidRPr="00B43F31" w14:paraId="6E3DC7A1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FAF96EC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Issues are discussed and sometimes documented, but tracking is inconsistent; follow-up depends on individuals.</w:t>
            </w:r>
          </w:p>
        </w:tc>
      </w:tr>
      <w:tr w:rsidR="00671370" w:rsidRPr="00B43F31" w14:paraId="1B4C5405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3205AE8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Issues are logged, assigned, and followed through; decisions and mitigations are documented for most projects.</w:t>
            </w:r>
          </w:p>
        </w:tc>
      </w:tr>
      <w:tr w:rsidR="00671370" w:rsidRPr="00B43F31" w14:paraId="6454DA87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A40003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Issue patterns are reviewed (root causes, recurrence); mitigations are standardized where appropriate; escalation is predictable.</w:t>
            </w:r>
          </w:p>
        </w:tc>
      </w:tr>
      <w:tr w:rsidR="00671370" w:rsidRPr="00B43F31" w14:paraId="71E9F031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26504EC0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Preventive practices exist (early indicators, standard mitigations); recurring issues decline because lessons are institutionalized.</w:t>
            </w:r>
          </w:p>
        </w:tc>
      </w:tr>
      <w:tr w:rsidR="00671370" w:rsidRPr="00B43F31" w14:paraId="2BB21375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36B07CD7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69A130B0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10C704F1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67D5D130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are changes to scope, schedule, or deliverables controlled?</w:t>
            </w:r>
          </w:p>
        </w:tc>
      </w:tr>
      <w:tr w:rsidR="00671370" w:rsidRPr="00B43F31" w14:paraId="53CECF24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3E15579C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Changes happen informally; it is difficult to tell what was approved and why.</w:t>
            </w:r>
          </w:p>
        </w:tc>
      </w:tr>
      <w:tr w:rsidR="00671370" w:rsidRPr="00B43F31" w14:paraId="1537BF07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3FED7F41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Some changes are documented, but thresholds and approval roles vary; impacts are not consistently recorded.</w:t>
            </w:r>
          </w:p>
        </w:tc>
      </w:tr>
      <w:tr w:rsidR="00671370" w:rsidRPr="00B43F31" w14:paraId="4A90D148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6A81DED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A consistent change process exists (request, impact summary, approval); most changes are documented and traceable.</w:t>
            </w:r>
          </w:p>
        </w:tc>
      </w:tr>
      <w:tr w:rsidR="00671370" w:rsidRPr="00B43F31" w14:paraId="5BAB84E9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30B99C3C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Changes are evaluated using a standard impact format (cost, schedule, outcomes); approvals follow defined authority levels.</w:t>
            </w:r>
          </w:p>
        </w:tc>
      </w:tr>
      <w:tr w:rsidR="00671370" w:rsidRPr="00B43F31" w14:paraId="27F846FF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5E16B3B0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Change data is analyzed over time to reduce avoidable change drivers; templates and upfront scoping improve to lower change frequency.</w:t>
            </w:r>
          </w:p>
        </w:tc>
      </w:tr>
      <w:tr w:rsidR="00671370" w:rsidRPr="00B43F31" w14:paraId="77DFA90B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7AC8793A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5A64F851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352EA257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6E9715DD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lastRenderedPageBreak/>
              <w:t>How are project records organized so that information can be retrieved later?</w:t>
            </w:r>
          </w:p>
        </w:tc>
      </w:tr>
      <w:tr w:rsidR="00671370" w:rsidRPr="00B43F31" w14:paraId="5932074A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916C28A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Files are stored inconsistently; key decisions and versions are hard to locate.</w:t>
            </w:r>
          </w:p>
        </w:tc>
      </w:tr>
      <w:tr w:rsidR="00671370" w:rsidRPr="00B43F31" w14:paraId="34DB4C9E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F4E95F2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Some structures exist, but naming/version control varies; archives are incomplete.</w:t>
            </w:r>
          </w:p>
        </w:tc>
      </w:tr>
      <w:tr w:rsidR="00671370" w:rsidRPr="00B43F31" w14:paraId="7B2ED52E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C170BDC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A standard repository structure exists; major artifacts and decisions are stored predictably; retrieval is feasible for most projects.</w:t>
            </w:r>
          </w:p>
        </w:tc>
      </w:tr>
      <w:tr w:rsidR="00671370" w:rsidRPr="00B43F31" w14:paraId="186DD49B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4EB532E2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Records include required minimum set (scope, decisions, reviews, final deliverables); ownership for maintaining the repository is clear.</w:t>
            </w:r>
          </w:p>
        </w:tc>
      </w:tr>
      <w:tr w:rsidR="00671370" w:rsidRPr="00B43F31" w14:paraId="3EC33F8F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4882033E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The archive supports reuse (searchable, tagged, linked to outcomes); documentation standards improve based on retrieval problems.</w:t>
            </w:r>
          </w:p>
        </w:tc>
      </w:tr>
      <w:tr w:rsidR="00671370" w:rsidRPr="00B43F31" w14:paraId="7ABBFBC4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36A2937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18B697C6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2446D8DD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2FE94D4A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is vendor/contractor performance managed during the project?</w:t>
            </w:r>
          </w:p>
        </w:tc>
      </w:tr>
      <w:tr w:rsidR="00671370" w:rsidRPr="00B43F31" w14:paraId="3E3392BB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4CFA6CFA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Performance expectations are implied; issues are addressed informally; accountability is inconsistent.</w:t>
            </w:r>
          </w:p>
        </w:tc>
      </w:tr>
      <w:tr w:rsidR="00671370" w:rsidRPr="00B43F31" w14:paraId="5E8543B5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B90D697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Expectations exist but are not consistently monitored; corrective actions depend on the project manager.</w:t>
            </w:r>
          </w:p>
        </w:tc>
      </w:tr>
      <w:tr w:rsidR="00671370" w:rsidRPr="00B43F31" w14:paraId="00864890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39836353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Performance expectations are communicated and monitored; nonperformance triggers documented follow-up.</w:t>
            </w:r>
          </w:p>
        </w:tc>
      </w:tr>
      <w:tr w:rsidR="00671370" w:rsidRPr="00B43F31" w14:paraId="5282E143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3A9A74E2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Performance is tracked against schedule/deliverable quality; recurring issues are escalated through a consistent process.</w:t>
            </w:r>
          </w:p>
        </w:tc>
      </w:tr>
      <w:tr w:rsidR="00671370" w:rsidRPr="00B43F31" w14:paraId="2002548D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0208A082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Performance management is proactive (early warnings, structured feedback); lessons inform future procurement/selection and oversight practices.</w:t>
            </w:r>
          </w:p>
        </w:tc>
      </w:tr>
      <w:tr w:rsidR="00671370" w:rsidRPr="00B43F31" w14:paraId="017F96AE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47256FB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16C44D3B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674F9E19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03D396DF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are deliverable quality expectations made clear to all parties?</w:t>
            </w:r>
          </w:p>
        </w:tc>
      </w:tr>
      <w:tr w:rsidR="00671370" w:rsidRPr="00B43F31" w14:paraId="2F0B98A2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7471064C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Quality is assessed subjectively; “acceptable” varies across reviewers.</w:t>
            </w:r>
          </w:p>
        </w:tc>
      </w:tr>
      <w:tr w:rsidR="00671370" w:rsidRPr="00B43F31" w14:paraId="5DCDFCFA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AEB3E9D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Some quality expectations exist (format/content), but they’re inconsistent and often communicated late.</w:t>
            </w:r>
          </w:p>
        </w:tc>
      </w:tr>
      <w:tr w:rsidR="00671370" w:rsidRPr="00B43F31" w14:paraId="343BF83D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426EEB0C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Quality expectations are documented and shared early; reviews reference these expectations.</w:t>
            </w:r>
          </w:p>
        </w:tc>
      </w:tr>
      <w:tr w:rsidR="00671370" w:rsidRPr="00B43F31" w14:paraId="0342B9D6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7BAEFD92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Quality criteria are systematic (rubrics/checklists) and used consistently; frequent defects are tracked and corrected at the source.</w:t>
            </w:r>
          </w:p>
        </w:tc>
      </w:tr>
      <w:tr w:rsidR="00671370" w:rsidRPr="00B43F31" w14:paraId="789A877F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31DFFA8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Quality improves across cycles because criteria and guidance evolve; rework decreases due to clearer upfront expectations.</w:t>
            </w:r>
          </w:p>
        </w:tc>
      </w:tr>
      <w:tr w:rsidR="00671370" w:rsidRPr="00B43F31" w14:paraId="37D497CE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B4D1968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71D07853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044D3EB1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65A4F4B9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is project closure conducted (administrative + technical closeout)?</w:t>
            </w:r>
          </w:p>
        </w:tc>
      </w:tr>
      <w:tr w:rsidR="00671370" w:rsidRPr="00B43F31" w14:paraId="761AD224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226ACBD8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Closure varies; final documentation is inconsistent; loose ends remain common.</w:t>
            </w:r>
          </w:p>
        </w:tc>
      </w:tr>
      <w:tr w:rsidR="00671370" w:rsidRPr="00B43F31" w14:paraId="6019E348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7DFCA383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Some closeout steps exist, but completeness depends on the project team.</w:t>
            </w:r>
          </w:p>
        </w:tc>
      </w:tr>
      <w:tr w:rsidR="00671370" w:rsidRPr="00B43F31" w14:paraId="64276BD2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C312363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A defined closeout checklist exists and is usually followed; final acceptance and archiving occur reliably.</w:t>
            </w:r>
          </w:p>
        </w:tc>
      </w:tr>
      <w:tr w:rsidR="00671370" w:rsidRPr="00B43F31" w14:paraId="25CA114B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76055D8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Closeout includes verification of required artifacts and decision records; closure performance (timeliness/completeness) is tracked.</w:t>
            </w:r>
          </w:p>
        </w:tc>
      </w:tr>
      <w:tr w:rsidR="00671370" w:rsidRPr="00B43F31" w14:paraId="0BB47C9B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54062B3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Closeout is efficient and consistent; recurring closure gaps drive improvements to processes earlier in the lifecycle.</w:t>
            </w:r>
          </w:p>
        </w:tc>
      </w:tr>
      <w:tr w:rsidR="00671370" w:rsidRPr="00B43F31" w14:paraId="3EA7BCB6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261CEC73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43FF7027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40465B1D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397E606F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lastRenderedPageBreak/>
              <w:t>How are lessons learned captured and reused?</w:t>
            </w:r>
          </w:p>
        </w:tc>
      </w:tr>
      <w:tr w:rsidR="00671370" w:rsidRPr="00B43F31" w14:paraId="4C9A2161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6224ABD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Lessons learned are rarely documented; knowledge remains with individuals.</w:t>
            </w:r>
          </w:p>
        </w:tc>
      </w:tr>
      <w:tr w:rsidR="00671370" w:rsidRPr="00B43F31" w14:paraId="164EABD3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4FFF759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Lessons are captured occasionally, but there is no consistent method to reuse them.</w:t>
            </w:r>
          </w:p>
        </w:tc>
      </w:tr>
      <w:tr w:rsidR="00671370" w:rsidRPr="00B43F31" w14:paraId="3C43A62F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3227732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Lessons learned are captured using a standard format; they are accessible for future teams.</w:t>
            </w:r>
          </w:p>
        </w:tc>
      </w:tr>
      <w:tr w:rsidR="00671370" w:rsidRPr="00B43F31" w14:paraId="039399AC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0A4B3DEE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Lessons learned are reviewed and used to update templates, review criteria, and oversight practices.</w:t>
            </w:r>
          </w:p>
        </w:tc>
      </w:tr>
      <w:tr w:rsidR="00671370" w:rsidRPr="00B43F31" w14:paraId="1D1C17FB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507B1687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Learning is institutionalized (systematic reuse); repeated problems decline because improvements are embedded into standard practice.</w:t>
            </w:r>
          </w:p>
        </w:tc>
      </w:tr>
      <w:tr w:rsidR="00671370" w:rsidRPr="00B43F31" w14:paraId="36225AE3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9D0B0FA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5F0577CD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60FD2DDE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6FD1DC4B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consistent are these project management practices across organizational groups?</w:t>
            </w:r>
          </w:p>
        </w:tc>
      </w:tr>
      <w:tr w:rsidR="00671370" w:rsidRPr="00B43F31" w14:paraId="7A412674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BD58AF7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Practices differ widely; outcomes depend heavily on who is involved.</w:t>
            </w:r>
          </w:p>
        </w:tc>
      </w:tr>
      <w:tr w:rsidR="00671370" w:rsidRPr="00B43F31" w14:paraId="68406D93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306D32BE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Some shared practices exist, but variability remains significant across units or project types.</w:t>
            </w:r>
          </w:p>
        </w:tc>
      </w:tr>
      <w:tr w:rsidR="00671370" w:rsidRPr="00B43F31" w14:paraId="666C5DB2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0AB89658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Many practices are consistent across groups; differences are the exception, not the rule.</w:t>
            </w:r>
          </w:p>
        </w:tc>
      </w:tr>
      <w:tr w:rsidR="00671370" w:rsidRPr="00B43F31" w14:paraId="292B8ADA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6536A8D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Practices are broadly standardized across most groups; deviations are documented and justified.</w:t>
            </w:r>
          </w:p>
        </w:tc>
      </w:tr>
      <w:tr w:rsidR="00671370" w:rsidRPr="00B43F31" w14:paraId="25DAAA52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067A88B1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Organization-wide consistency is strong; standard practice is resilient to turnover and project variability.</w:t>
            </w:r>
          </w:p>
        </w:tc>
      </w:tr>
      <w:tr w:rsidR="00671370" w:rsidRPr="00B43F31" w14:paraId="29C1A4A8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0C4D239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04D6939B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p w14:paraId="36E95B3B" w14:textId="77777777" w:rsidR="00671370" w:rsidRPr="00B43F31" w:rsidRDefault="00671370" w:rsidP="00671370">
      <w:pPr>
        <w:spacing w:after="0"/>
        <w:jc w:val="left"/>
        <w:rPr>
          <w:rFonts w:eastAsia="Times New Roman"/>
          <w:b/>
          <w:color w:val="auto"/>
          <w:sz w:val="20"/>
          <w:szCs w:val="20"/>
          <w:u w:val="single"/>
        </w:rPr>
      </w:pPr>
      <w:r w:rsidRPr="00B43F31">
        <w:rPr>
          <w:rFonts w:eastAsia="Times New Roman"/>
          <w:b/>
          <w:color w:val="auto"/>
          <w:sz w:val="20"/>
          <w:szCs w:val="20"/>
          <w:highlight w:val="green"/>
          <w:u w:val="single"/>
        </w:rPr>
        <w:t>BLOCK 2: EVALUATION AND IMPACT MEASUREMENT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71370" w:rsidRPr="00B43F31" w14:paraId="713F1649" w14:textId="77777777" w:rsidTr="004E0ED6">
        <w:tc>
          <w:tcPr>
            <w:tcW w:w="9350" w:type="dxa"/>
          </w:tcPr>
          <w:p w14:paraId="315DA992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3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are expected results defined before project work begins?</w:t>
            </w:r>
          </w:p>
        </w:tc>
      </w:tr>
      <w:tr w:rsidR="00671370" w:rsidRPr="00B43F31" w14:paraId="6597BFAD" w14:textId="77777777" w:rsidTr="004E0ED6">
        <w:tc>
          <w:tcPr>
            <w:tcW w:w="9350" w:type="dxa"/>
          </w:tcPr>
          <w:p w14:paraId="1C46DCF7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  <w:shd w:val="clear" w:color="auto" w:fill="FFFFFF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43F31">
              <w:rPr>
                <w:rFonts w:eastAsia="Times New Roman"/>
                <w:color w:val="auto"/>
                <w:sz w:val="20"/>
                <w:szCs w:val="20"/>
                <w:shd w:val="clear" w:color="auto" w:fill="FFFFFF"/>
              </w:rPr>
              <w:t>Projects usually start with broad intentions or problem statements. Expected results are described generally (e.g., “improve operations”) and different stakeholders often interpret success differently later.</w:t>
            </w:r>
          </w:p>
        </w:tc>
      </w:tr>
      <w:tr w:rsidR="00671370" w:rsidRPr="00B43F31" w14:paraId="0B7200F1" w14:textId="77777777" w:rsidTr="004E0ED6">
        <w:tc>
          <w:tcPr>
            <w:tcW w:w="9350" w:type="dxa"/>
          </w:tcPr>
          <w:p w14:paraId="09A148C9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Expected results are sometimes written into project scopes, but detail varies widely; some projects define outcomes clearly while others rely on informal understanding.</w:t>
            </w:r>
          </w:p>
        </w:tc>
      </w:tr>
      <w:tr w:rsidR="00671370" w:rsidRPr="00B43F31" w14:paraId="63AA902F" w14:textId="77777777" w:rsidTr="004E0ED6">
        <w:tc>
          <w:tcPr>
            <w:tcW w:w="9350" w:type="dxa"/>
          </w:tcPr>
          <w:p w14:paraId="2F9AE0B0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Projects typically document expected outcomes and intended users at project initiation. Outcomes are described clearly enough to guide deliverable development.</w:t>
            </w:r>
          </w:p>
        </w:tc>
      </w:tr>
      <w:tr w:rsidR="00671370" w:rsidRPr="00B43F31" w14:paraId="0593431E" w14:textId="77777777" w:rsidTr="004E0ED6">
        <w:tc>
          <w:tcPr>
            <w:tcW w:w="9350" w:type="dxa"/>
          </w:tcPr>
          <w:p w14:paraId="216A498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Expected results include measurable or observable indicators (what change, where, and for whom). Reviewers can trace deliverables back to defined outcomes.</w:t>
            </w:r>
          </w:p>
        </w:tc>
      </w:tr>
      <w:tr w:rsidR="00671370" w:rsidRPr="00B43F31" w14:paraId="166F3BEF" w14:textId="77777777" w:rsidTr="004E0ED6">
        <w:tc>
          <w:tcPr>
            <w:tcW w:w="9350" w:type="dxa"/>
          </w:tcPr>
          <w:p w14:paraId="7D829A88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Outcome definitions are continuously refined using lessons from previous projects, including implementation experience and evaluation results.</w:t>
            </w:r>
          </w:p>
        </w:tc>
      </w:tr>
      <w:tr w:rsidR="00671370" w:rsidRPr="00B43F31" w14:paraId="727388C7" w14:textId="77777777" w:rsidTr="004E0ED6">
        <w:tc>
          <w:tcPr>
            <w:tcW w:w="9350" w:type="dxa"/>
          </w:tcPr>
          <w:p w14:paraId="445B0249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55532776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71370" w:rsidRPr="00B43F31" w14:paraId="7C440D3A" w14:textId="77777777" w:rsidTr="004E0ED6">
        <w:tc>
          <w:tcPr>
            <w:tcW w:w="9350" w:type="dxa"/>
          </w:tcPr>
          <w:p w14:paraId="721DCCBB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3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After project completion, how is usefulness of the research actually judged?</w:t>
            </w:r>
          </w:p>
        </w:tc>
      </w:tr>
      <w:tr w:rsidR="00671370" w:rsidRPr="00B43F31" w14:paraId="2CE6C9F0" w14:textId="77777777" w:rsidTr="004E0ED6">
        <w:tc>
          <w:tcPr>
            <w:tcW w:w="9350" w:type="dxa"/>
          </w:tcPr>
          <w:p w14:paraId="59BC6E78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  <w:shd w:val="clear" w:color="auto" w:fill="FFFFFF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43F31">
              <w:rPr>
                <w:rFonts w:eastAsia="Times New Roman"/>
                <w:color w:val="auto"/>
                <w:sz w:val="20"/>
                <w:szCs w:val="20"/>
                <w:shd w:val="clear" w:color="auto" w:fill="FFFFFF"/>
              </w:rPr>
              <w:t>Completion of deliverables is treated as the primary indicator of success; whether outputs are used or useful is rarely examined.</w:t>
            </w:r>
          </w:p>
        </w:tc>
      </w:tr>
      <w:tr w:rsidR="00671370" w:rsidRPr="00B43F31" w14:paraId="508BF436" w14:textId="77777777" w:rsidTr="004E0ED6">
        <w:tc>
          <w:tcPr>
            <w:tcW w:w="9350" w:type="dxa"/>
          </w:tcPr>
          <w:p w14:paraId="2CDDB596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Usefulness is discussed informally during closeout or follow-up conversations but evaluations are inconsistent and not documented.</w:t>
            </w:r>
          </w:p>
        </w:tc>
      </w:tr>
      <w:tr w:rsidR="00671370" w:rsidRPr="00B43F31" w14:paraId="2D6939F1" w14:textId="77777777" w:rsidTr="004E0ED6">
        <w:tc>
          <w:tcPr>
            <w:tcW w:w="9350" w:type="dxa"/>
          </w:tcPr>
          <w:p w14:paraId="2424A8B7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Projects are reviewed using defined evaluation criteria (clarity, usability, relevance). Evaluations are documented but may vary in depth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1AB31300" w14:textId="77777777" w:rsidTr="004E0ED6">
        <w:tc>
          <w:tcPr>
            <w:tcW w:w="9350" w:type="dxa"/>
          </w:tcPr>
          <w:p w14:paraId="38E094A3" w14:textId="77777777" w:rsidR="00671370" w:rsidRPr="00B43F31" w:rsidRDefault="00671370" w:rsidP="004E0ED6">
            <w:pPr>
              <w:spacing w:after="0"/>
              <w:ind w:left="333" w:hanging="333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Evaluation includes structured criteria tied to intended outcomes, implementation readiness, and stakeholder usefulness; results are comparable across projects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2A2B6947" w14:textId="77777777" w:rsidTr="004E0ED6">
        <w:tc>
          <w:tcPr>
            <w:tcW w:w="9350" w:type="dxa"/>
          </w:tcPr>
          <w:p w14:paraId="62EC9C0C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Evaluation results are tracked over time and influence how new projects are designed, scoped, and reviewed</w:t>
            </w:r>
          </w:p>
        </w:tc>
      </w:tr>
      <w:tr w:rsidR="00671370" w:rsidRPr="00B43F31" w14:paraId="6D4C243D" w14:textId="77777777" w:rsidTr="004E0ED6">
        <w:tc>
          <w:tcPr>
            <w:tcW w:w="9350" w:type="dxa"/>
          </w:tcPr>
          <w:p w14:paraId="5E72985E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lastRenderedPageBreak/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1D172D0D" w14:textId="77777777" w:rsidR="00671370" w:rsidRPr="00B43F31" w:rsidRDefault="00671370" w:rsidP="00671370">
      <w:pPr>
        <w:spacing w:after="0"/>
        <w:rPr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24870168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1D280CFD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55DE6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are research results translated into something operational staff can actually use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4137B4E8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A4DAECC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Most outputs remain technical or research-focused; operational guidance depends on individual interpretation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2BF6C202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123F83C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Some projects produce summaries or recommendations, but practical guidance varies significantly in quality and detail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4DBD2371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347D80A6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Projects routinely include implementation-oriented outputs (summary documents, guidance sections, practical recommendations)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2898300E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C05764C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Outputs are intentionally designed for specific user groups and include clear steps, assumptions, and application context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30FC80D7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71785908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Usability of outputs is validated with end users and refined based on real-world feedback and implementation experience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0CD3B735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1E79889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  <w:tr w:rsidR="00671370" w:rsidRPr="00B43F31" w14:paraId="6E69B72B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31283443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</w:p>
        </w:tc>
      </w:tr>
      <w:tr w:rsidR="00671370" w:rsidRPr="00B43F31" w14:paraId="178EC9E3" w14:textId="77777777" w:rsidTr="004E0E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5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68A4DBBD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55DE6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is implementation of research outcomes tracked once a project is closed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4EA2AF61" w14:textId="77777777" w:rsidTr="004E0E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5BE3D657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Implementation status is generally unknown after final delivery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71ED690B" w14:textId="77777777" w:rsidTr="004E0E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522F0C08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Implementation information is collected occasionally when stakeholders report back, but tracking is inconsistent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2A2B758E" w14:textId="77777777" w:rsidTr="004E0E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3BE3B88B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A defined follow-up mechanism exists (e.g., check-ins or tracking fields) for determining whether outcomes were adopted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7EBBDCE3" w14:textId="77777777" w:rsidTr="004E0E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60497FE2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Implementation status is systematically monitored and documented across projects using consistent tracking practices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49ED2241" w14:textId="77777777" w:rsidTr="004E0E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1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0815DDDD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Implementation tracking is integrated into portfolio management and directly influences future prioritization and project design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47BEE40C" w14:textId="77777777" w:rsidTr="004E0E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2947EF9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013F6DB1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6901122D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795FBDCB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55DE6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When projects fail to be implemented or adopted, how are causes handled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05FFC4CD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923304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Reasons are usually unknown or assumed; lessons are rarely captured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302D4CA9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402D9802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Barriers are discussed informally but documentation is incomplete or inconsistent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17B6FDDB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4E2B141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Common barriers are recorded during project closeout and stored with project documentation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38E1C8E3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2357BF8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Barrier information is analyzed across projects to identify recurring patterns and systemic issues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020CAF7F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48E4869A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Recurring barriers lead to proactive changes in project planning, scoping, or stakeholder engagement strategies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330C0BF0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3BB53DAE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7032CADB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108D82FE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679D1723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55DE6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consistent is project reporting quality across different projects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7CCF52D7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FE7059E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Reports vary significantly in structure and depth; reviewers must adapt expectations each time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6B7B15CA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38A9F72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Templates exist but are used inconsistently, leading to uneven reporting quality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4F8C24DD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BFFCDEE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Standard templates and minimum requirements are generally followed, resulting in comparable reports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13708D7A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4E6F006F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Report quality is actively reviewed against defined standards; feedback improves consistency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1BB09899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5FF02B0E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Reporting standards evolve based on recurring deficiencies and stakeholder feedback, producing consistently high-quality outputs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4680E93A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0DAD742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5A801F46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32A05C17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003CAC08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B55DE6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are evaluation findings communicated internally within TDOT after project completion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20677564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4CF9A623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Evaluation outcomes remain within the project team and are not broadly shared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3222CEB8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3C0F4DA7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Findings are occasionally shared through informal emails or presentations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3828BDB1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7C61348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Evaluation summaries are distributed through defined channels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7B14EA90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0E01EE0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Communication is tailored for different audiences (leadership, technical staff, operational users)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421E1FFA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6C7791B8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B55DE6">
              <w:rPr>
                <w:rFonts w:eastAsia="Times New Roman"/>
                <w:color w:val="auto"/>
                <w:sz w:val="20"/>
                <w:szCs w:val="20"/>
              </w:rPr>
              <w:t>Communication effectiveness is monitored and improved based on audience response and usage</w:t>
            </w:r>
          </w:p>
        </w:tc>
      </w:tr>
      <w:tr w:rsidR="00671370" w:rsidRPr="00B43F31" w14:paraId="3C1B88F7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8BD9576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07622EF2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5A370B86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5CAFAAC4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FC4BE6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are stakeholders involved in judging project outcomes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0B0EC776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0CC20A38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Stakeholder involvement usually ends once project scope is approved; final evaluation is performed internally with little or no external input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0751C4DC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106A76C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Stakeholders are occasionally asked for opinions near project completion, but participation depends on individual project managers and is not consistent across projects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1DB69E4E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6F9F19A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Stakeholders are included at predefined points (e.g., draft review or closeout meetings); feedback is documented but may vary in depth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1A1869DE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01E3C56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Stakeholder perspectives are systematically incorporated into evaluation conclusions; feedback influences recommendations and identified next steps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292447B4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35A229A4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Stakeholder engagement is structured throughout project execution and evaluation; stakeholder feedback is tracked across projects and actively used to reshape future project design and evaluation criteria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6FB21B85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FDF9709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1ED6A2D9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3BAD2A18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2B32171B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FC4BE6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is feedback collected after deliverables are used or tested in real settings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6AA65C1E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7D34B8E6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Feedback is rarely collected after delivery; once reports are submitted, follow-up is minimal or absent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3A6BA627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0B28E1D0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Feedback occurs only when problems or complaints emerge; collection is reactive and undocumented in many cases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6B1D49F6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4ED20BD8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Projects use defined mechanisms (follow-up calls, surveys, review meetings) to gather post-delivery feedback for most projects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13084BC1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DAB632B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Feedback results are summarized and reviewed to identify recurring strengths, weaknesses, or usability issues across multiple projects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2E8723F7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404EEA81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Feedback collection is systematic and linked to improvement actions; findings directly drive updates to templates, evaluation methods, and future project expectations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4C785CCA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17B910D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408C8CA5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72B7CD8C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6AFC78EB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FC4BE6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are evaluation results connected to agency priorities or strategic objectives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38A5E352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0556F92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Project evaluations focus mainly on technical completion; connections to agency priorities are rarely documented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7C189DA2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4F0E8BDE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Alignment with agency priorities is discussed during evaluation but depends on individual interpretation and is inconsistently recorded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3F3D50CD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76455D2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Evaluation summaries explicitly describe how project results support documented agency goals or program objectives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0B2BDB7D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2E519773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lastRenderedPageBreak/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Strategic alignment is reviewed as a formal part of evaluation; alignment influences judgments about project success and value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2E4A79C3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2C90138B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Evaluation results are aggregated across projects to inform portfolio-level planning, funding decisions, and strategic research direction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529613A2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7A2E0581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627C0BBC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2FCD99F2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4BDB1BFD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FC4BE6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are evaluation records organized so information can be retrieved and reused later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3B3C3B21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7D979501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Evaluation materials are stored inconsistently; locating prior reviews or conclusions requires significant effort or personal knowledge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118800BF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0B52CE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Some centralized storage exists, but file naming, version tracking, and completeness vary, making comparison difficult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46F6BC07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299151AA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A consistent repository structure exists; evaluation reports, review comments, and decisions are stored predictably and can be located for most projects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22227EAD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02982726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Records include a required minimum set (evaluation criteria, conclusions, reviewer comments, implementation notes); ownership for maintaining documentation is clear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7A91E019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20626A39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Evaluation records are searchable and structured for reuse; tagging and linkage to outcomes allow comparisons across projects and drive improvements to documentation standards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7C645A32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494F25A7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30E52AE6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68907A66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62AB8169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FC4BE6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is long-term impact of research projects assessed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6F61D3E8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09B4926B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Long-term outcomes are generally unknown after project closeout; no follow-up activities are conducted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2A38DC0A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70B5E99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Long-term impact is occasionally discussed or assumed, but no structured process exists to confirm results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5393BC09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25E37E8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Follow-up checks are conducted for selected projects to determine whether outcomes were implemented or maintained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02116A44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5A18FAA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Long-term impact measures (e.g., operational changes, adoption level, performance improvement) are consistently applied where applicable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6A97D3F5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71266FB1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Long-term impact findings are tracked across projects and used to shape research investment priorities and future project selection criteria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11F96C8D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DAB5C1B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28C6108D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2BABFCA3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5175B4F5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FC4BE6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consistent are evaluation practices across organizational groups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455E4719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0007C6B2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Evaluation methods differ widely by team or project manager; criteria and expectations vary from project to project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6F91A70D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4CDA58E8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Some shared evaluation practices exist, but differences remain significant depending on who leads the project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6142C980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41C297B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Common evaluation procedures and documentation standards are used across many groups, resulting in generally comparable evaluations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5EF47866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A393008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Evaluation practices are standardized across most organizational units; reviewers apply similar expectations and decision criteria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3570842E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63BBC48F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Evaluation consistency is sustained regardless of staffing or organizational changes due to established institutional practices and clear governance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630E343A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388BB792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32F68D42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0B702C8A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3795DDF1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FC4BE6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are evaluation processes improved over time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0839525E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969504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lastRenderedPageBreak/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Evaluation approaches remain largely unchanged; updates occur only when major issues arise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62E22B8E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A1997D3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Improvements happen occasionally after problems are identified, but updates are informal and not consistently documented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3993A915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9ADBF61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Evaluation practices are reviewed periodically, and updates are introduced when clear needs are identified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1C91C2E5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70CA50FC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Performance data, recurring reviewer comments, and stakeholder feedback are used to refine evaluation practices in a structured manner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3E0B3CF7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1EEE7BAC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FC4BE6">
              <w:rPr>
                <w:rFonts w:eastAsia="Times New Roman"/>
                <w:color w:val="auto"/>
                <w:sz w:val="20"/>
                <w:szCs w:val="20"/>
              </w:rPr>
              <w:t>Continuous improvement is embedded; evaluation methods are proactively adjusted based on trends, evidence, and lessons learned across multiple projects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2ACFC4D5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02EB482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7FBEDE8A" w14:textId="77777777" w:rsidR="00671370" w:rsidRPr="00B43F31" w:rsidRDefault="00671370" w:rsidP="00671370">
      <w:pPr>
        <w:spacing w:after="0"/>
        <w:jc w:val="left"/>
        <w:rPr>
          <w:rFonts w:eastAsia="Times New Roman"/>
          <w:b/>
          <w:color w:val="auto"/>
          <w:sz w:val="20"/>
          <w:szCs w:val="20"/>
          <w:u w:val="single"/>
        </w:rPr>
      </w:pPr>
      <w:r w:rsidRPr="00B43F31">
        <w:rPr>
          <w:rFonts w:eastAsia="Times New Roman"/>
          <w:b/>
          <w:color w:val="auto"/>
          <w:sz w:val="20"/>
          <w:szCs w:val="20"/>
          <w:highlight w:val="green"/>
          <w:u w:val="single"/>
        </w:rPr>
        <w:t xml:space="preserve">BLOCK </w:t>
      </w:r>
      <w:r>
        <w:rPr>
          <w:rFonts w:eastAsia="Times New Roman"/>
          <w:b/>
          <w:color w:val="auto"/>
          <w:sz w:val="20"/>
          <w:szCs w:val="20"/>
          <w:highlight w:val="green"/>
          <w:u w:val="single"/>
        </w:rPr>
        <w:t>3</w:t>
      </w:r>
      <w:r w:rsidRPr="00E00DCB">
        <w:rPr>
          <w:rFonts w:eastAsia="Times New Roman"/>
          <w:b/>
          <w:color w:val="auto"/>
          <w:sz w:val="20"/>
          <w:szCs w:val="20"/>
          <w:highlight w:val="green"/>
          <w:u w:val="single"/>
        </w:rPr>
        <w:t>: INVOICING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71370" w:rsidRPr="00B43F31" w14:paraId="4FA150EA" w14:textId="77777777" w:rsidTr="004E0ED6">
        <w:tc>
          <w:tcPr>
            <w:tcW w:w="9350" w:type="dxa"/>
          </w:tcPr>
          <w:p w14:paraId="586C590E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3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9E226D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are invoice submission requirements communicated to contractors or project teams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6964A1D5" w14:textId="77777777" w:rsidTr="004E0ED6">
        <w:tc>
          <w:tcPr>
            <w:tcW w:w="9350" w:type="dxa"/>
          </w:tcPr>
          <w:p w14:paraId="7AAA113F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  <w:shd w:val="clear" w:color="auto" w:fill="FFFFFF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9E226D">
              <w:rPr>
                <w:rFonts w:eastAsia="Times New Roman"/>
                <w:color w:val="auto"/>
                <w:sz w:val="20"/>
                <w:szCs w:val="20"/>
                <w:shd w:val="clear" w:color="auto" w:fill="FFFFFF"/>
              </w:rPr>
              <w:t>Submission expectations are communicated informally; requirements are often clarified after invoices are submitted, leading to frequent revisions</w:t>
            </w:r>
            <w:r w:rsidRPr="00B43F31">
              <w:rPr>
                <w:rFonts w:eastAsia="Times New Roman"/>
                <w:color w:val="auto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671370" w:rsidRPr="00B43F31" w14:paraId="4E783656" w14:textId="77777777" w:rsidTr="004E0ED6">
        <w:tc>
          <w:tcPr>
            <w:tcW w:w="9350" w:type="dxa"/>
          </w:tcPr>
          <w:p w14:paraId="54A163A3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9E226D">
              <w:rPr>
                <w:rFonts w:eastAsia="Times New Roman"/>
                <w:color w:val="auto"/>
                <w:sz w:val="20"/>
                <w:szCs w:val="20"/>
              </w:rPr>
              <w:t xml:space="preserve">General </w:t>
            </w:r>
            <w:r>
              <w:rPr>
                <w:rFonts w:eastAsia="Times New Roman"/>
                <w:color w:val="auto"/>
                <w:sz w:val="20"/>
                <w:szCs w:val="20"/>
              </w:rPr>
              <w:t>guidelines</w:t>
            </w:r>
            <w:r w:rsidRPr="009E226D">
              <w:rPr>
                <w:rFonts w:eastAsia="Times New Roman"/>
                <w:color w:val="auto"/>
                <w:sz w:val="20"/>
                <w:szCs w:val="20"/>
              </w:rPr>
              <w:t xml:space="preserve"> exists, but required documentation and formatting expectations vary across projects or managers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6C2B0120" w14:textId="77777777" w:rsidTr="004E0ED6">
        <w:tc>
          <w:tcPr>
            <w:tcW w:w="9350" w:type="dxa"/>
          </w:tcPr>
          <w:p w14:paraId="74C95E13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9E226D">
              <w:rPr>
                <w:rFonts w:eastAsia="Times New Roman"/>
                <w:color w:val="auto"/>
                <w:sz w:val="20"/>
                <w:szCs w:val="20"/>
              </w:rPr>
              <w:t>Standard submission instructions and templates are provided at project initiation; most invoices follow a recognizable structure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7F85B2EF" w14:textId="77777777" w:rsidTr="004E0ED6">
        <w:tc>
          <w:tcPr>
            <w:tcW w:w="9350" w:type="dxa"/>
          </w:tcPr>
          <w:p w14:paraId="48D71D23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9E226D">
              <w:rPr>
                <w:rFonts w:eastAsia="Times New Roman"/>
                <w:color w:val="auto"/>
                <w:sz w:val="20"/>
                <w:szCs w:val="20"/>
              </w:rPr>
              <w:t>Submission requirements include clear checklists or examples; reviewers receive mostly complete invoices with fewer clarification requests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5CC83226" w14:textId="77777777" w:rsidTr="004E0ED6">
        <w:tc>
          <w:tcPr>
            <w:tcW w:w="9350" w:type="dxa"/>
          </w:tcPr>
          <w:p w14:paraId="472E7841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9E226D">
              <w:rPr>
                <w:rFonts w:eastAsia="Times New Roman"/>
                <w:color w:val="auto"/>
                <w:sz w:val="20"/>
                <w:szCs w:val="20"/>
              </w:rPr>
              <w:t>Guidance is routinely updated using recurring submission issues; onboarding materials and examples prevent common mistakes before submission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277D5705" w14:textId="77777777" w:rsidTr="004E0ED6">
        <w:tc>
          <w:tcPr>
            <w:tcW w:w="9350" w:type="dxa"/>
          </w:tcPr>
          <w:p w14:paraId="0738C229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0E80102B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71370" w:rsidRPr="00B43F31" w14:paraId="28C27C07" w14:textId="77777777" w:rsidTr="004E0ED6">
        <w:tc>
          <w:tcPr>
            <w:tcW w:w="9350" w:type="dxa"/>
          </w:tcPr>
          <w:p w14:paraId="61F901AF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3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9E226D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consistent are invoice packages when received for review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19352F28" w14:textId="77777777" w:rsidTr="004E0ED6">
        <w:tc>
          <w:tcPr>
            <w:tcW w:w="9350" w:type="dxa"/>
          </w:tcPr>
          <w:p w14:paraId="481CF022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  <w:shd w:val="clear" w:color="auto" w:fill="FFFFFF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9E226D">
              <w:rPr>
                <w:rFonts w:eastAsia="Times New Roman"/>
                <w:color w:val="auto"/>
                <w:sz w:val="20"/>
                <w:szCs w:val="20"/>
                <w:shd w:val="clear" w:color="auto" w:fill="FFFFFF"/>
              </w:rPr>
              <w:t>Invoice formats and supporting documents vary significantly; reviewers spend time determining what is missing or required</w:t>
            </w:r>
            <w:r w:rsidRPr="00B43F31">
              <w:rPr>
                <w:rFonts w:eastAsia="Times New Roman"/>
                <w:color w:val="auto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671370" w:rsidRPr="00B43F31" w14:paraId="57EF216E" w14:textId="77777777" w:rsidTr="004E0ED6">
        <w:tc>
          <w:tcPr>
            <w:tcW w:w="9350" w:type="dxa"/>
          </w:tcPr>
          <w:p w14:paraId="285ECD1A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9E226D">
              <w:rPr>
                <w:rFonts w:eastAsia="Times New Roman"/>
                <w:color w:val="auto"/>
                <w:sz w:val="20"/>
                <w:szCs w:val="20"/>
              </w:rPr>
              <w:t>Some common structure exists, but supporting documents and calculations are inconsistent across projects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06C87A8B" w14:textId="77777777" w:rsidTr="004E0ED6">
        <w:tc>
          <w:tcPr>
            <w:tcW w:w="9350" w:type="dxa"/>
          </w:tcPr>
          <w:p w14:paraId="0BE261A4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9E226D">
              <w:rPr>
                <w:rFonts w:eastAsia="Times New Roman"/>
                <w:color w:val="auto"/>
                <w:sz w:val="20"/>
                <w:szCs w:val="20"/>
              </w:rPr>
              <w:t>Most invoices follow standard templates; required supporting materials are usually included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4A4609C0" w14:textId="77777777" w:rsidTr="004E0ED6">
        <w:tc>
          <w:tcPr>
            <w:tcW w:w="9350" w:type="dxa"/>
          </w:tcPr>
          <w:p w14:paraId="5411CF2E" w14:textId="77777777" w:rsidR="00671370" w:rsidRPr="00B43F31" w:rsidRDefault="00671370" w:rsidP="004E0ED6">
            <w:pPr>
              <w:spacing w:after="0"/>
              <w:ind w:left="333" w:hanging="333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9E226D">
              <w:rPr>
                <w:rFonts w:eastAsia="Times New Roman"/>
                <w:color w:val="auto"/>
                <w:sz w:val="20"/>
                <w:szCs w:val="20"/>
              </w:rPr>
              <w:t>Submission packages contain a consistent minimum documentation set; missing elements are uncommon and quickly identified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661EE843" w14:textId="77777777" w:rsidTr="004E0ED6">
        <w:tc>
          <w:tcPr>
            <w:tcW w:w="9350" w:type="dxa"/>
          </w:tcPr>
          <w:p w14:paraId="7BF0F61E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9E226D">
              <w:rPr>
                <w:rFonts w:eastAsia="Times New Roman"/>
                <w:color w:val="auto"/>
                <w:sz w:val="20"/>
                <w:szCs w:val="20"/>
              </w:rPr>
              <w:t>Invoice packages are standardized and predictable; consistency allows faster review and easier auditing across projects</w:t>
            </w:r>
          </w:p>
        </w:tc>
      </w:tr>
      <w:tr w:rsidR="00671370" w:rsidRPr="00B43F31" w14:paraId="74ADF9FE" w14:textId="77777777" w:rsidTr="004E0ED6">
        <w:tc>
          <w:tcPr>
            <w:tcW w:w="9350" w:type="dxa"/>
          </w:tcPr>
          <w:p w14:paraId="4AC14CD9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 </w:t>
            </w: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515C8B52" w14:textId="77777777" w:rsidR="00671370" w:rsidRPr="00B43F31" w:rsidRDefault="00671370" w:rsidP="00671370">
      <w:pPr>
        <w:spacing w:after="0"/>
        <w:rPr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17818F02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6659A0FA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9E226D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are invoices reviewed after submission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2B1F4C49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05800B0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9E226D">
              <w:rPr>
                <w:rFonts w:eastAsia="Times New Roman"/>
                <w:color w:val="auto"/>
                <w:sz w:val="20"/>
                <w:szCs w:val="20"/>
              </w:rPr>
              <w:t>Review steps depend on individual reviewers; evaluation criteria differ from one project to another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236A001E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ABE590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9E226D">
              <w:rPr>
                <w:rFonts w:eastAsia="Times New Roman"/>
                <w:color w:val="auto"/>
                <w:sz w:val="20"/>
                <w:szCs w:val="20"/>
              </w:rPr>
              <w:t>Basic review expectations exist, but reviewers interpret requirements differently; approval decisions may vary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0EA1574F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34933692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9E226D">
              <w:rPr>
                <w:rFonts w:eastAsia="Times New Roman"/>
                <w:color w:val="auto"/>
                <w:sz w:val="20"/>
                <w:szCs w:val="20"/>
              </w:rPr>
              <w:t>Review follows a consistent sequence with defined checks (accuracy, eligibility, supporting documents)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1A39C2D5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E9F2420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9E226D">
              <w:rPr>
                <w:rFonts w:eastAsia="Times New Roman"/>
                <w:color w:val="auto"/>
                <w:sz w:val="20"/>
                <w:szCs w:val="20"/>
              </w:rPr>
              <w:t>Review uses structured checklists or criteria; reviewer decisions are more consistent and easier to explain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163EBAA5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34F42BBD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lastRenderedPageBreak/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9E226D">
              <w:rPr>
                <w:rFonts w:eastAsia="Times New Roman"/>
                <w:color w:val="auto"/>
                <w:sz w:val="20"/>
                <w:szCs w:val="20"/>
              </w:rPr>
              <w:t>Review performance is monitored; recurring review delays or issues are analyzed and process improvements are introduced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11FCC2FA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7F8AFC44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  <w:tr w:rsidR="00671370" w:rsidRPr="00B43F31" w14:paraId="6A1BA82C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28D0B77B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</w:p>
        </w:tc>
      </w:tr>
      <w:tr w:rsidR="00671370" w:rsidRPr="00B43F31" w14:paraId="699004FE" w14:textId="77777777" w:rsidTr="004E0E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5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420F8C8E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546605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are approval responsibilities defined and managed during invoice processing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3D16C76A" w14:textId="77777777" w:rsidTr="004E0E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551C633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Approval authority is unclear; invoices may move between staff informally before approval, and delays occur because responsibilities are not clearly assigned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776E07F4" w14:textId="77777777" w:rsidTr="004E0E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2DECFB36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Approval roles exist, but responsibilities sometimes shift depending on workload or personnel availability; submitters may not know who currently owns the approval step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0D9C2792" w14:textId="77777777" w:rsidTr="004E0E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53340477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Approval responsibilities are documented and generally followed; invoices move through a predictable sequence of reviewers for most projects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283F3173" w14:textId="77777777" w:rsidTr="004E0E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3AA6B374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Approval workflows include defined escalation paths when approvals stall, with clear expectations for response times and accountability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37DBA889" w14:textId="77777777" w:rsidTr="004E0E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1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1B58C71F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Approval responsibilities remain stable regardless of staffing changes; workflow continuity is maintained through documented procedures, role definitions, and consistent oversight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45C81E45" w14:textId="77777777" w:rsidTr="004E0E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00DD530F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293E2345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42AFDD34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4FDBEA14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546605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predictable is invoice processing time from submission to final approval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16831904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FC5E8DB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Processing times vary significantly; stakeholders often cannot estimate when payment will be completed, and delays are discovered only after follow-up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05887AF2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3E6360E1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Typical processing timelines exist but depend heavily on reviewer workload; similar invoices may experience very different turnaround times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639DB268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FE15C4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Processing timelines are generally predictable for most invoices; stakeholders have reasonable expectations for approval duration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2374BDA7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33D23CD6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Processing durations are tracked and reviewed; delays are identified early and corrective actions are taken when timelines are missed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1D743302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509C7653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Historical processing data is analyzed to improve workflow efficiency; timeline variability decreases as process bottlenecks are systematically addressed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567F473B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0DD599F0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6BDC815E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2E9FEE8D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055BD250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546605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are incomplete or incorrect invoices managed once problems are identified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405BF6B8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488F667F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Corrections occur through informal back-and-forth communication; expectations vary by reviewer and repeated errors are common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7076C452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2314CFDB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Errors are identified and communicated, but feedback quality differs between reviewers and similar mistakes recur across submissions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69BC8728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7566DBC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Correction requests follow a consistent process; required fixes are documented and tracked until resolution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2E82F958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0099FCC6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Common submission errors are identified and proactively communicated to submitters, reducing repeated correction cycles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4C2C24B2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71A46E66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Error trends are analyzed across multiple projects; templates, guidance, and reviewer instructions are updated to prevent recurring issues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17069F43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488969B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741896D7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69F899D3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6E5FBD93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546605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is communication maintained with submitters during invoice review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7B83C6AE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01322360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Status updates are informal; submitters typically follow up manually through email or calls to understand progress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409775E2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0969F2E2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lastRenderedPageBreak/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Status updates occur occasionally but are inconsistent, resulting in uncertainty about invoice location in the review process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3D856863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0D92384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Defined communication points exist (e.g., received, under review, approved, returned for corrections); submitters receive updates at key stages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7378CE7B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4202761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Status updates are systematic and predictable; stakeholders can reasonably track invoice progress without repeated follow-ups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28C14E1D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7C963021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Workflow transparency is high; invoice status is clearly visible and communication processes minimize manual inquiry or confusion</w:t>
            </w:r>
            <w:r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6103D785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ADE6636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6B6FE21B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0660A4D1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3E420904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546605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are invoicing records organized for future reference, audits, or issue resolution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37461330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449F888B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Records are stored inconsistently; locating previous invoices, approvals, or supporting documentation requires significant manual effort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3AF634FD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65AF859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Some centralized storage exists, but naming conventions and record completeness vary; historical records are difficult to compare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62E5CF69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25BB2C4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A consistent repository structure exists; invoices and approval documentation are stored predictably for most projects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75179027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2552D08E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Records include required supporting documentation and approval history; ownership for maintaining record completeness is clearly defined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029FAD28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24022DB1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Records are searchable and linked to project information; documentation standards evolve based on audit findings or retrieval challenges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3AC64FA3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42C28071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64E9EFDD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102FF6BD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7DA3CE58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546605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are recurring invoicing issues identified and addressed across projects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3A458BD1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B197260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Issues are treated individually; repeated problems are not recognized as systemic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53640ECF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9119A9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Times New Roman"/>
                <w:color w:val="auto"/>
                <w:sz w:val="20"/>
                <w:szCs w:val="20"/>
              </w:rPr>
              <w:t>R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ecurring problems are noticed informally but rarely documented or reviewed collectively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481705A1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4098FC62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Common issues are documented and occasionally reviewed to inform process adjustments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4B0E88AB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363FDD03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Recurring issues are analyzed across projects to identify underlying workflow weaknesses and process gaps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4CDBC418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079DD407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Trend analysis drives preventive improvements; recurring problems decline because systemic causes are addressed proactively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351A8FB1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25FEA55C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570747E6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31905C8B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4D5E3126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546605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is coordination managed between administrative and technical reviewers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140479BE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0A3AFCE4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Coordination depends heavily on informal communication; responsibilities may overlap and duplicate review effort occurs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62A2CF97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0ABF295F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Review coordination exists but roles are not always clearly separated; handoffs may cause delays or repeated requests for information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54E1C864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B02C8E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Roles and responsibilities are generally defined, reducing duplication and clarifying who reviews what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23D969AF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74D17DF1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Coordination follows a structured workflow with clear handoffs between technical and administrative review stages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406539B4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66B81E09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Coordination practices are optimized; handoffs are efficient, review overlap is minimized, and delays caused by miscommunication are rare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3248DE4C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06638097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3084E15A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6C30743A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74C60811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546605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lastRenderedPageBreak/>
              <w:t>How are changes to invoicing requirements or procedures communicated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6AA09632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9E7BF3F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Changes are communicated informally; some reviewers or contractors may continue using outdated requirements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2BA7643F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2DAEF2DA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Updates are communicated, but supporting documents or templates are not always updated at the same time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365FCFB0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4FBD9090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Requirement changes are formally documented and distributed to relevant stakeholders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24D96EE9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4AF5195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Updates include clear implementation timelines, examples, or transition guidance to reduce confusion during changeover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196519E3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4480B9CF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Requirement updates follow a structured review cycle; changes are driven by recurring issues and process performance data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24E6EE33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69ECB37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4A4CDF9C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529B3CF7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022B4FA6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546605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consistent are invoicing practices across projects or organizational groups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1E30AF3C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287EA946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Invoicing practices differ widely between projects; submission formats, review expectations, and approval steps depend heavily on who manages the work, causing confusion for contractors and reviewers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61B65713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4CBF4B3E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Some common expectations exist, but teams still use different workflows, documentation requirements, or approval approaches; stakeholders must adjust depending on the project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03AB63D4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2B374DAB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546605">
              <w:rPr>
                <w:rFonts w:eastAsia="Times New Roman"/>
                <w:color w:val="auto"/>
                <w:sz w:val="20"/>
                <w:szCs w:val="20"/>
              </w:rPr>
              <w:t>Most projects follow similar invoicing procedures and documentation requirements; differences exist but do not significantly affect processing or review consistency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5B4BE01B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61217329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C53517">
              <w:rPr>
                <w:rFonts w:eastAsia="Times New Roman"/>
                <w:color w:val="auto"/>
                <w:sz w:val="20"/>
                <w:szCs w:val="20"/>
              </w:rPr>
              <w:t>Invoicing workflows are standardized across organizational units; submission, review, and approval follow a predictable sequence regardless of project or reviewer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496432FF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08E16173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C53517">
              <w:rPr>
                <w:rFonts w:eastAsia="Times New Roman"/>
                <w:color w:val="auto"/>
                <w:sz w:val="20"/>
                <w:szCs w:val="20"/>
              </w:rPr>
              <w:t>Invoicing practices remain consistent even during staff turnover or organizational change because procedures are institutionalized, documented, and routinely reinforced through training or oversight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78678311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24053FA6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361C131F" w14:textId="77777777" w:rsidR="00671370" w:rsidRPr="00B43F31" w:rsidRDefault="00671370" w:rsidP="00671370">
      <w:pPr>
        <w:spacing w:after="0"/>
        <w:jc w:val="left"/>
        <w:rPr>
          <w:rFonts w:eastAsia="Times New Roman"/>
          <w:bCs w:val="0"/>
          <w:color w:val="auto"/>
          <w:sz w:val="20"/>
          <w:szCs w:val="2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71370" w:rsidRPr="00B43F31" w14:paraId="68BFEE80" w14:textId="77777777" w:rsidTr="004E0ED6">
        <w:trPr>
          <w:trHeight w:val="335"/>
        </w:trPr>
        <w:tc>
          <w:tcPr>
            <w:tcW w:w="9355" w:type="dxa"/>
            <w:vAlign w:val="center"/>
          </w:tcPr>
          <w:p w14:paraId="6E164E1F" w14:textId="77777777" w:rsidR="00671370" w:rsidRPr="00B43F31" w:rsidRDefault="00671370" w:rsidP="004E0ED6">
            <w:pPr>
              <w:numPr>
                <w:ilvl w:val="0"/>
                <w:numId w:val="24"/>
              </w:numPr>
              <w:spacing w:after="0" w:line="276" w:lineRule="auto"/>
              <w:ind w:left="337"/>
              <w:jc w:val="left"/>
              <w:rPr>
                <w:rFonts w:eastAsia="Times New Roman"/>
                <w:b/>
                <w:color w:val="auto"/>
                <w:sz w:val="20"/>
                <w:szCs w:val="20"/>
              </w:rPr>
            </w:pPr>
            <w:r w:rsidRPr="00C53517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How is the invoicing process improved over time</w:t>
            </w:r>
            <w:r w:rsidRPr="00B43F31">
              <w:rPr>
                <w:rFonts w:eastAsia="Times New Roman"/>
                <w:b/>
                <w:color w:val="auto"/>
                <w:sz w:val="20"/>
                <w:szCs w:val="20"/>
                <w:shd w:val="clear" w:color="auto" w:fill="FFFFFF"/>
              </w:rPr>
              <w:t>?</w:t>
            </w:r>
          </w:p>
        </w:tc>
      </w:tr>
      <w:tr w:rsidR="00671370" w:rsidRPr="00B43F31" w14:paraId="3C7108F7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262D8C6D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C53517">
              <w:rPr>
                <w:rFonts w:eastAsia="Times New Roman"/>
                <w:color w:val="auto"/>
                <w:sz w:val="20"/>
                <w:szCs w:val="20"/>
              </w:rPr>
              <w:t>Process changes occur only when major problems or complaints arise; improvements are reactive and rarely documented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4184916B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5771BDA0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C53517">
              <w:rPr>
                <w:rFonts w:eastAsia="Times New Roman"/>
                <w:color w:val="auto"/>
                <w:sz w:val="20"/>
                <w:szCs w:val="20"/>
              </w:rPr>
              <w:t>Adjustments are occasionally made based on individual experience, but changes are not tracked and similar issues tend to reappear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3F7CF1F5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15CB9E19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C53517">
              <w:rPr>
                <w:rFonts w:eastAsia="Times New Roman"/>
                <w:color w:val="auto"/>
                <w:sz w:val="20"/>
                <w:szCs w:val="20"/>
              </w:rPr>
              <w:t>Process reviews occur periodically; workflow updates or template adjustments are introduced based on observed issues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3FAB6116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375B2BC8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C53517">
              <w:rPr>
                <w:rFonts w:eastAsia="Times New Roman"/>
                <w:color w:val="auto"/>
                <w:sz w:val="20"/>
                <w:szCs w:val="20"/>
              </w:rPr>
              <w:t>Performance measures and recurring problems are reviewed systematically; improvements are implemented with clear rationale and communicated to stakeholders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38BFD689" w14:textId="77777777" w:rsidTr="004E0ED6">
        <w:trPr>
          <w:trHeight w:val="271"/>
        </w:trPr>
        <w:tc>
          <w:tcPr>
            <w:tcW w:w="9355" w:type="dxa"/>
            <w:vAlign w:val="center"/>
          </w:tcPr>
          <w:p w14:paraId="2CB86322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</w:t>
            </w:r>
            <w:r w:rsidRPr="00C53517">
              <w:rPr>
                <w:rFonts w:eastAsia="Times New Roman"/>
                <w:color w:val="auto"/>
                <w:sz w:val="20"/>
                <w:szCs w:val="20"/>
              </w:rPr>
              <w:t>Process improvement is continuous and evidence-driven; changes are piloted, monitored for effectiveness, and refined using operational data, review outcomes, and feedback trends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</w:tr>
      <w:tr w:rsidR="00671370" w:rsidRPr="00B43F31" w14:paraId="41BDD292" w14:textId="77777777" w:rsidTr="004E0ED6">
        <w:trPr>
          <w:trHeight w:val="287"/>
        </w:trPr>
        <w:tc>
          <w:tcPr>
            <w:tcW w:w="9355" w:type="dxa"/>
            <w:vAlign w:val="center"/>
          </w:tcPr>
          <w:p w14:paraId="32960EAD" w14:textId="77777777" w:rsidR="00671370" w:rsidRPr="00B43F31" w:rsidRDefault="00671370" w:rsidP="004E0ED6">
            <w:pPr>
              <w:spacing w:after="0"/>
              <w:jc w:val="left"/>
              <w:rPr>
                <w:rFonts w:eastAsia="Times New Roman"/>
                <w:color w:val="auto"/>
                <w:sz w:val="20"/>
                <w:szCs w:val="20"/>
              </w:rPr>
            </w:pPr>
            <w:r w:rsidRPr="00B43F31">
              <w:rPr>
                <w:rFonts w:ascii="Wingdings 2" w:eastAsia="Wingdings 2" w:hAnsi="Wingdings 2" w:cs="Wingdings 2"/>
                <w:color w:val="auto"/>
                <w:sz w:val="20"/>
                <w:szCs w:val="20"/>
              </w:rPr>
              <w:t>£</w:t>
            </w:r>
            <w:r w:rsidRPr="00B43F31">
              <w:rPr>
                <w:rFonts w:eastAsia="Times New Roman"/>
                <w:color w:val="auto"/>
                <w:sz w:val="20"/>
                <w:szCs w:val="20"/>
              </w:rPr>
              <w:t xml:space="preserve"> N/A</w:t>
            </w:r>
          </w:p>
        </w:tc>
      </w:tr>
    </w:tbl>
    <w:p w14:paraId="2E6BCB7A" w14:textId="77777777" w:rsidR="00B51950" w:rsidRDefault="00B51950"/>
    <w:sectPr w:rsidR="00B51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1143"/>
    <w:multiLevelType w:val="hybridMultilevel"/>
    <w:tmpl w:val="D1CE430E"/>
    <w:lvl w:ilvl="0" w:tplc="D522F3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D6B818">
      <w:numFmt w:val="decimal"/>
      <w:lvlText w:val=""/>
      <w:lvlJc w:val="left"/>
    </w:lvl>
    <w:lvl w:ilvl="2" w:tplc="FE2EDED8">
      <w:numFmt w:val="decimal"/>
      <w:lvlText w:val=""/>
      <w:lvlJc w:val="left"/>
    </w:lvl>
    <w:lvl w:ilvl="3" w:tplc="A0102174">
      <w:numFmt w:val="decimal"/>
      <w:lvlText w:val=""/>
      <w:lvlJc w:val="left"/>
    </w:lvl>
    <w:lvl w:ilvl="4" w:tplc="A2925502">
      <w:numFmt w:val="decimal"/>
      <w:lvlText w:val=""/>
      <w:lvlJc w:val="left"/>
    </w:lvl>
    <w:lvl w:ilvl="5" w:tplc="BF5CE188">
      <w:numFmt w:val="decimal"/>
      <w:lvlText w:val=""/>
      <w:lvlJc w:val="left"/>
    </w:lvl>
    <w:lvl w:ilvl="6" w:tplc="AA6461BE">
      <w:numFmt w:val="decimal"/>
      <w:lvlText w:val=""/>
      <w:lvlJc w:val="left"/>
    </w:lvl>
    <w:lvl w:ilvl="7" w:tplc="454A82DA">
      <w:numFmt w:val="decimal"/>
      <w:lvlText w:val=""/>
      <w:lvlJc w:val="left"/>
    </w:lvl>
    <w:lvl w:ilvl="8" w:tplc="4B2AD874">
      <w:numFmt w:val="decimal"/>
      <w:lvlText w:val=""/>
      <w:lvlJc w:val="left"/>
    </w:lvl>
  </w:abstractNum>
  <w:abstractNum w:abstractNumId="1" w15:restartNumberingAfterBreak="0">
    <w:nsid w:val="0C610CEB"/>
    <w:multiLevelType w:val="hybridMultilevel"/>
    <w:tmpl w:val="921E2A22"/>
    <w:lvl w:ilvl="0" w:tplc="D4C89C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2B649A8">
      <w:numFmt w:val="decimal"/>
      <w:lvlText w:val=""/>
      <w:lvlJc w:val="left"/>
    </w:lvl>
    <w:lvl w:ilvl="2" w:tplc="0D5A8756">
      <w:numFmt w:val="decimal"/>
      <w:lvlText w:val=""/>
      <w:lvlJc w:val="left"/>
    </w:lvl>
    <w:lvl w:ilvl="3" w:tplc="65AC04A4">
      <w:numFmt w:val="decimal"/>
      <w:lvlText w:val=""/>
      <w:lvlJc w:val="left"/>
    </w:lvl>
    <w:lvl w:ilvl="4" w:tplc="47C81FB6">
      <w:numFmt w:val="decimal"/>
      <w:lvlText w:val=""/>
      <w:lvlJc w:val="left"/>
    </w:lvl>
    <w:lvl w:ilvl="5" w:tplc="0F8CD4B4">
      <w:numFmt w:val="decimal"/>
      <w:lvlText w:val=""/>
      <w:lvlJc w:val="left"/>
    </w:lvl>
    <w:lvl w:ilvl="6" w:tplc="901E7B7A">
      <w:numFmt w:val="decimal"/>
      <w:lvlText w:val=""/>
      <w:lvlJc w:val="left"/>
    </w:lvl>
    <w:lvl w:ilvl="7" w:tplc="60FC2522">
      <w:numFmt w:val="decimal"/>
      <w:lvlText w:val=""/>
      <w:lvlJc w:val="left"/>
    </w:lvl>
    <w:lvl w:ilvl="8" w:tplc="D060A8BC">
      <w:numFmt w:val="decimal"/>
      <w:lvlText w:val=""/>
      <w:lvlJc w:val="left"/>
    </w:lvl>
  </w:abstractNum>
  <w:abstractNum w:abstractNumId="2" w15:restartNumberingAfterBreak="0">
    <w:nsid w:val="0CBA5C8C"/>
    <w:multiLevelType w:val="hybridMultilevel"/>
    <w:tmpl w:val="4EEE8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F27B1"/>
    <w:multiLevelType w:val="hybridMultilevel"/>
    <w:tmpl w:val="D0C25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86CD7"/>
    <w:multiLevelType w:val="hybridMultilevel"/>
    <w:tmpl w:val="B046F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36258"/>
    <w:multiLevelType w:val="hybridMultilevel"/>
    <w:tmpl w:val="1A12A972"/>
    <w:lvl w:ilvl="0" w:tplc="2CB8FAF4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F0E8A31E">
      <w:numFmt w:val="decimal"/>
      <w:lvlText w:val=""/>
      <w:lvlJc w:val="left"/>
    </w:lvl>
    <w:lvl w:ilvl="2" w:tplc="58869A40">
      <w:numFmt w:val="decimal"/>
      <w:lvlText w:val=""/>
      <w:lvlJc w:val="left"/>
    </w:lvl>
    <w:lvl w:ilvl="3" w:tplc="001EDE38">
      <w:numFmt w:val="decimal"/>
      <w:lvlText w:val=""/>
      <w:lvlJc w:val="left"/>
    </w:lvl>
    <w:lvl w:ilvl="4" w:tplc="8820B848">
      <w:numFmt w:val="decimal"/>
      <w:lvlText w:val=""/>
      <w:lvlJc w:val="left"/>
    </w:lvl>
    <w:lvl w:ilvl="5" w:tplc="43101F34">
      <w:numFmt w:val="decimal"/>
      <w:lvlText w:val=""/>
      <w:lvlJc w:val="left"/>
    </w:lvl>
    <w:lvl w:ilvl="6" w:tplc="636821E8">
      <w:numFmt w:val="decimal"/>
      <w:lvlText w:val=""/>
      <w:lvlJc w:val="left"/>
    </w:lvl>
    <w:lvl w:ilvl="7" w:tplc="3A5C3DA4">
      <w:numFmt w:val="decimal"/>
      <w:lvlText w:val=""/>
      <w:lvlJc w:val="left"/>
    </w:lvl>
    <w:lvl w:ilvl="8" w:tplc="4246DD9C">
      <w:numFmt w:val="decimal"/>
      <w:lvlText w:val=""/>
      <w:lvlJc w:val="left"/>
    </w:lvl>
  </w:abstractNum>
  <w:abstractNum w:abstractNumId="6" w15:restartNumberingAfterBreak="0">
    <w:nsid w:val="2C5444A7"/>
    <w:multiLevelType w:val="hybridMultilevel"/>
    <w:tmpl w:val="2FB80C1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EDE3734"/>
    <w:multiLevelType w:val="hybridMultilevel"/>
    <w:tmpl w:val="66ECC852"/>
    <w:lvl w:ilvl="0" w:tplc="29CCBC0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FD3A3C42">
      <w:numFmt w:val="decimal"/>
      <w:lvlText w:val=""/>
      <w:lvlJc w:val="left"/>
    </w:lvl>
    <w:lvl w:ilvl="2" w:tplc="0C1256F0">
      <w:numFmt w:val="decimal"/>
      <w:lvlText w:val=""/>
      <w:lvlJc w:val="left"/>
    </w:lvl>
    <w:lvl w:ilvl="3" w:tplc="C644C0FC">
      <w:numFmt w:val="decimal"/>
      <w:lvlText w:val=""/>
      <w:lvlJc w:val="left"/>
    </w:lvl>
    <w:lvl w:ilvl="4" w:tplc="16C4BC6A">
      <w:numFmt w:val="decimal"/>
      <w:lvlText w:val=""/>
      <w:lvlJc w:val="left"/>
    </w:lvl>
    <w:lvl w:ilvl="5" w:tplc="DB805D28">
      <w:numFmt w:val="decimal"/>
      <w:lvlText w:val=""/>
      <w:lvlJc w:val="left"/>
    </w:lvl>
    <w:lvl w:ilvl="6" w:tplc="3A5C4726">
      <w:numFmt w:val="decimal"/>
      <w:lvlText w:val=""/>
      <w:lvlJc w:val="left"/>
    </w:lvl>
    <w:lvl w:ilvl="7" w:tplc="EC0C1C18">
      <w:numFmt w:val="decimal"/>
      <w:lvlText w:val=""/>
      <w:lvlJc w:val="left"/>
    </w:lvl>
    <w:lvl w:ilvl="8" w:tplc="3A3EDFE4">
      <w:numFmt w:val="decimal"/>
      <w:lvlText w:val=""/>
      <w:lvlJc w:val="left"/>
    </w:lvl>
  </w:abstractNum>
  <w:abstractNum w:abstractNumId="8" w15:restartNumberingAfterBreak="0">
    <w:nsid w:val="31C87A35"/>
    <w:multiLevelType w:val="hybridMultilevel"/>
    <w:tmpl w:val="A574D10C"/>
    <w:lvl w:ilvl="0" w:tplc="6DA27554">
      <w:start w:val="1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5F56C3"/>
    <w:multiLevelType w:val="hybridMultilevel"/>
    <w:tmpl w:val="0AE43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5272BA"/>
    <w:multiLevelType w:val="hybridMultilevel"/>
    <w:tmpl w:val="4982861E"/>
    <w:lvl w:ilvl="0" w:tplc="8D6024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11A7B48">
      <w:numFmt w:val="decimal"/>
      <w:lvlText w:val=""/>
      <w:lvlJc w:val="left"/>
    </w:lvl>
    <w:lvl w:ilvl="2" w:tplc="12849C7C">
      <w:numFmt w:val="decimal"/>
      <w:lvlText w:val=""/>
      <w:lvlJc w:val="left"/>
    </w:lvl>
    <w:lvl w:ilvl="3" w:tplc="EACE9FBE">
      <w:numFmt w:val="decimal"/>
      <w:lvlText w:val=""/>
      <w:lvlJc w:val="left"/>
    </w:lvl>
    <w:lvl w:ilvl="4" w:tplc="ADA07260">
      <w:numFmt w:val="decimal"/>
      <w:lvlText w:val=""/>
      <w:lvlJc w:val="left"/>
    </w:lvl>
    <w:lvl w:ilvl="5" w:tplc="2E7CAE44">
      <w:numFmt w:val="decimal"/>
      <w:lvlText w:val=""/>
      <w:lvlJc w:val="left"/>
    </w:lvl>
    <w:lvl w:ilvl="6" w:tplc="D8A2697A">
      <w:numFmt w:val="decimal"/>
      <w:lvlText w:val=""/>
      <w:lvlJc w:val="left"/>
    </w:lvl>
    <w:lvl w:ilvl="7" w:tplc="08A4EA8A">
      <w:numFmt w:val="decimal"/>
      <w:lvlText w:val=""/>
      <w:lvlJc w:val="left"/>
    </w:lvl>
    <w:lvl w:ilvl="8" w:tplc="734468FA">
      <w:numFmt w:val="decimal"/>
      <w:lvlText w:val=""/>
      <w:lvlJc w:val="left"/>
    </w:lvl>
  </w:abstractNum>
  <w:abstractNum w:abstractNumId="11" w15:restartNumberingAfterBreak="0">
    <w:nsid w:val="439F6D1E"/>
    <w:multiLevelType w:val="hybridMultilevel"/>
    <w:tmpl w:val="B0EAB0BA"/>
    <w:lvl w:ilvl="0" w:tplc="81F663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50C816">
      <w:numFmt w:val="decimal"/>
      <w:lvlText w:val=""/>
      <w:lvlJc w:val="left"/>
    </w:lvl>
    <w:lvl w:ilvl="2" w:tplc="8684EFD0">
      <w:numFmt w:val="decimal"/>
      <w:lvlText w:val=""/>
      <w:lvlJc w:val="left"/>
    </w:lvl>
    <w:lvl w:ilvl="3" w:tplc="7CB23680">
      <w:numFmt w:val="decimal"/>
      <w:lvlText w:val=""/>
      <w:lvlJc w:val="left"/>
    </w:lvl>
    <w:lvl w:ilvl="4" w:tplc="24F66112">
      <w:numFmt w:val="decimal"/>
      <w:lvlText w:val=""/>
      <w:lvlJc w:val="left"/>
    </w:lvl>
    <w:lvl w:ilvl="5" w:tplc="737A8680">
      <w:numFmt w:val="decimal"/>
      <w:lvlText w:val=""/>
      <w:lvlJc w:val="left"/>
    </w:lvl>
    <w:lvl w:ilvl="6" w:tplc="807EEC3E">
      <w:numFmt w:val="decimal"/>
      <w:lvlText w:val=""/>
      <w:lvlJc w:val="left"/>
    </w:lvl>
    <w:lvl w:ilvl="7" w:tplc="888E3C7A">
      <w:numFmt w:val="decimal"/>
      <w:lvlText w:val=""/>
      <w:lvlJc w:val="left"/>
    </w:lvl>
    <w:lvl w:ilvl="8" w:tplc="7774FAF6">
      <w:numFmt w:val="decimal"/>
      <w:lvlText w:val=""/>
      <w:lvlJc w:val="left"/>
    </w:lvl>
  </w:abstractNum>
  <w:abstractNum w:abstractNumId="12" w15:restartNumberingAfterBreak="0">
    <w:nsid w:val="43E55AA3"/>
    <w:multiLevelType w:val="hybridMultilevel"/>
    <w:tmpl w:val="CD7A60FA"/>
    <w:lvl w:ilvl="0" w:tplc="E5A6A3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9C4B82">
      <w:numFmt w:val="decimal"/>
      <w:lvlText w:val=""/>
      <w:lvlJc w:val="left"/>
    </w:lvl>
    <w:lvl w:ilvl="2" w:tplc="2C76FA26">
      <w:numFmt w:val="decimal"/>
      <w:lvlText w:val=""/>
      <w:lvlJc w:val="left"/>
    </w:lvl>
    <w:lvl w:ilvl="3" w:tplc="319CBCEC">
      <w:numFmt w:val="decimal"/>
      <w:lvlText w:val=""/>
      <w:lvlJc w:val="left"/>
    </w:lvl>
    <w:lvl w:ilvl="4" w:tplc="38A0D776">
      <w:numFmt w:val="decimal"/>
      <w:lvlText w:val=""/>
      <w:lvlJc w:val="left"/>
    </w:lvl>
    <w:lvl w:ilvl="5" w:tplc="614ACD6A">
      <w:numFmt w:val="decimal"/>
      <w:lvlText w:val=""/>
      <w:lvlJc w:val="left"/>
    </w:lvl>
    <w:lvl w:ilvl="6" w:tplc="0484BBE0">
      <w:numFmt w:val="decimal"/>
      <w:lvlText w:val=""/>
      <w:lvlJc w:val="left"/>
    </w:lvl>
    <w:lvl w:ilvl="7" w:tplc="3424ADAE">
      <w:numFmt w:val="decimal"/>
      <w:lvlText w:val=""/>
      <w:lvlJc w:val="left"/>
    </w:lvl>
    <w:lvl w:ilvl="8" w:tplc="8D7A13B6">
      <w:numFmt w:val="decimal"/>
      <w:lvlText w:val=""/>
      <w:lvlJc w:val="left"/>
    </w:lvl>
  </w:abstractNum>
  <w:abstractNum w:abstractNumId="13" w15:restartNumberingAfterBreak="0">
    <w:nsid w:val="49477C6C"/>
    <w:multiLevelType w:val="hybridMultilevel"/>
    <w:tmpl w:val="1CFE9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95019F"/>
    <w:multiLevelType w:val="hybridMultilevel"/>
    <w:tmpl w:val="0CCA1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F41E39"/>
    <w:multiLevelType w:val="hybridMultilevel"/>
    <w:tmpl w:val="53EA9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BB5823"/>
    <w:multiLevelType w:val="hybridMultilevel"/>
    <w:tmpl w:val="DF52F60C"/>
    <w:lvl w:ilvl="0" w:tplc="F266F14E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D5EAE97A">
      <w:numFmt w:val="decimal"/>
      <w:lvlText w:val=""/>
      <w:lvlJc w:val="left"/>
    </w:lvl>
    <w:lvl w:ilvl="2" w:tplc="94527756">
      <w:numFmt w:val="decimal"/>
      <w:lvlText w:val=""/>
      <w:lvlJc w:val="left"/>
    </w:lvl>
    <w:lvl w:ilvl="3" w:tplc="822E9A0C">
      <w:numFmt w:val="decimal"/>
      <w:lvlText w:val=""/>
      <w:lvlJc w:val="left"/>
    </w:lvl>
    <w:lvl w:ilvl="4" w:tplc="5592176E">
      <w:numFmt w:val="decimal"/>
      <w:lvlText w:val=""/>
      <w:lvlJc w:val="left"/>
    </w:lvl>
    <w:lvl w:ilvl="5" w:tplc="1982D754">
      <w:numFmt w:val="decimal"/>
      <w:lvlText w:val=""/>
      <w:lvlJc w:val="left"/>
    </w:lvl>
    <w:lvl w:ilvl="6" w:tplc="286E6B16">
      <w:numFmt w:val="decimal"/>
      <w:lvlText w:val=""/>
      <w:lvlJc w:val="left"/>
    </w:lvl>
    <w:lvl w:ilvl="7" w:tplc="8996C88A">
      <w:numFmt w:val="decimal"/>
      <w:lvlText w:val=""/>
      <w:lvlJc w:val="left"/>
    </w:lvl>
    <w:lvl w:ilvl="8" w:tplc="023C2C80">
      <w:numFmt w:val="decimal"/>
      <w:lvlText w:val=""/>
      <w:lvlJc w:val="left"/>
    </w:lvl>
  </w:abstractNum>
  <w:abstractNum w:abstractNumId="17" w15:restartNumberingAfterBreak="0">
    <w:nsid w:val="5B44028C"/>
    <w:multiLevelType w:val="hybridMultilevel"/>
    <w:tmpl w:val="D2220CCE"/>
    <w:lvl w:ilvl="0" w:tplc="BAA025B6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166C757C">
      <w:numFmt w:val="decimal"/>
      <w:lvlText w:val=""/>
      <w:lvlJc w:val="left"/>
    </w:lvl>
    <w:lvl w:ilvl="2" w:tplc="89EC9AE4">
      <w:numFmt w:val="decimal"/>
      <w:lvlText w:val=""/>
      <w:lvlJc w:val="left"/>
    </w:lvl>
    <w:lvl w:ilvl="3" w:tplc="9A6A8488">
      <w:numFmt w:val="decimal"/>
      <w:lvlText w:val=""/>
      <w:lvlJc w:val="left"/>
    </w:lvl>
    <w:lvl w:ilvl="4" w:tplc="D9369DFE">
      <w:numFmt w:val="decimal"/>
      <w:lvlText w:val=""/>
      <w:lvlJc w:val="left"/>
    </w:lvl>
    <w:lvl w:ilvl="5" w:tplc="8FD68BFA">
      <w:numFmt w:val="decimal"/>
      <w:lvlText w:val=""/>
      <w:lvlJc w:val="left"/>
    </w:lvl>
    <w:lvl w:ilvl="6" w:tplc="8054B64E">
      <w:numFmt w:val="decimal"/>
      <w:lvlText w:val=""/>
      <w:lvlJc w:val="left"/>
    </w:lvl>
    <w:lvl w:ilvl="7" w:tplc="44420A7E">
      <w:numFmt w:val="decimal"/>
      <w:lvlText w:val=""/>
      <w:lvlJc w:val="left"/>
    </w:lvl>
    <w:lvl w:ilvl="8" w:tplc="E7C03A04">
      <w:numFmt w:val="decimal"/>
      <w:lvlText w:val=""/>
      <w:lvlJc w:val="left"/>
    </w:lvl>
  </w:abstractNum>
  <w:abstractNum w:abstractNumId="18" w15:restartNumberingAfterBreak="0">
    <w:nsid w:val="5C0D223F"/>
    <w:multiLevelType w:val="hybridMultilevel"/>
    <w:tmpl w:val="0A38833E"/>
    <w:lvl w:ilvl="0" w:tplc="60B43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F7A6934">
      <w:numFmt w:val="decimal"/>
      <w:lvlText w:val=""/>
      <w:lvlJc w:val="left"/>
    </w:lvl>
    <w:lvl w:ilvl="2" w:tplc="5668503E">
      <w:numFmt w:val="decimal"/>
      <w:lvlText w:val=""/>
      <w:lvlJc w:val="left"/>
    </w:lvl>
    <w:lvl w:ilvl="3" w:tplc="C36A3526">
      <w:numFmt w:val="decimal"/>
      <w:lvlText w:val=""/>
      <w:lvlJc w:val="left"/>
    </w:lvl>
    <w:lvl w:ilvl="4" w:tplc="60C01718">
      <w:numFmt w:val="decimal"/>
      <w:lvlText w:val=""/>
      <w:lvlJc w:val="left"/>
    </w:lvl>
    <w:lvl w:ilvl="5" w:tplc="75D02A12">
      <w:numFmt w:val="decimal"/>
      <w:lvlText w:val=""/>
      <w:lvlJc w:val="left"/>
    </w:lvl>
    <w:lvl w:ilvl="6" w:tplc="80F24C6C">
      <w:numFmt w:val="decimal"/>
      <w:lvlText w:val=""/>
      <w:lvlJc w:val="left"/>
    </w:lvl>
    <w:lvl w:ilvl="7" w:tplc="19682F58">
      <w:numFmt w:val="decimal"/>
      <w:lvlText w:val=""/>
      <w:lvlJc w:val="left"/>
    </w:lvl>
    <w:lvl w:ilvl="8" w:tplc="9A2635CA">
      <w:numFmt w:val="decimal"/>
      <w:lvlText w:val=""/>
      <w:lvlJc w:val="left"/>
    </w:lvl>
  </w:abstractNum>
  <w:abstractNum w:abstractNumId="19" w15:restartNumberingAfterBreak="0">
    <w:nsid w:val="5D990EA0"/>
    <w:multiLevelType w:val="hybridMultilevel"/>
    <w:tmpl w:val="9AB8251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3102293"/>
    <w:multiLevelType w:val="hybridMultilevel"/>
    <w:tmpl w:val="25D48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A6416B"/>
    <w:multiLevelType w:val="hybridMultilevel"/>
    <w:tmpl w:val="B2365A18"/>
    <w:lvl w:ilvl="0" w:tplc="C4EC4268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2432E32A">
      <w:numFmt w:val="decimal"/>
      <w:lvlText w:val=""/>
      <w:lvlJc w:val="left"/>
    </w:lvl>
    <w:lvl w:ilvl="2" w:tplc="65144B44">
      <w:numFmt w:val="decimal"/>
      <w:lvlText w:val=""/>
      <w:lvlJc w:val="left"/>
    </w:lvl>
    <w:lvl w:ilvl="3" w:tplc="E0A83AC2">
      <w:numFmt w:val="decimal"/>
      <w:lvlText w:val=""/>
      <w:lvlJc w:val="left"/>
    </w:lvl>
    <w:lvl w:ilvl="4" w:tplc="B0CE76B6">
      <w:numFmt w:val="decimal"/>
      <w:lvlText w:val=""/>
      <w:lvlJc w:val="left"/>
    </w:lvl>
    <w:lvl w:ilvl="5" w:tplc="A666483A">
      <w:numFmt w:val="decimal"/>
      <w:lvlText w:val=""/>
      <w:lvlJc w:val="left"/>
    </w:lvl>
    <w:lvl w:ilvl="6" w:tplc="68760346">
      <w:numFmt w:val="decimal"/>
      <w:lvlText w:val=""/>
      <w:lvlJc w:val="left"/>
    </w:lvl>
    <w:lvl w:ilvl="7" w:tplc="F27C29AA">
      <w:numFmt w:val="decimal"/>
      <w:lvlText w:val=""/>
      <w:lvlJc w:val="left"/>
    </w:lvl>
    <w:lvl w:ilvl="8" w:tplc="A82AF142">
      <w:numFmt w:val="decimal"/>
      <w:lvlText w:val=""/>
      <w:lvlJc w:val="left"/>
    </w:lvl>
  </w:abstractNum>
  <w:abstractNum w:abstractNumId="22" w15:restartNumberingAfterBreak="0">
    <w:nsid w:val="718C59D8"/>
    <w:multiLevelType w:val="hybridMultilevel"/>
    <w:tmpl w:val="F0467530"/>
    <w:lvl w:ilvl="0" w:tplc="F8BA93EA">
      <w:start w:val="2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7B4107"/>
    <w:multiLevelType w:val="hybridMultilevel"/>
    <w:tmpl w:val="B25AB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6556DD"/>
    <w:multiLevelType w:val="hybridMultilevel"/>
    <w:tmpl w:val="6A70A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E50C0E"/>
    <w:multiLevelType w:val="hybridMultilevel"/>
    <w:tmpl w:val="61985F88"/>
    <w:lvl w:ilvl="0" w:tplc="3F3EC33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A4CEFA72">
      <w:numFmt w:val="decimal"/>
      <w:lvlText w:val=""/>
      <w:lvlJc w:val="left"/>
    </w:lvl>
    <w:lvl w:ilvl="2" w:tplc="A3CEA4C0">
      <w:numFmt w:val="decimal"/>
      <w:lvlText w:val=""/>
      <w:lvlJc w:val="left"/>
    </w:lvl>
    <w:lvl w:ilvl="3" w:tplc="0186C99A">
      <w:numFmt w:val="decimal"/>
      <w:lvlText w:val=""/>
      <w:lvlJc w:val="left"/>
    </w:lvl>
    <w:lvl w:ilvl="4" w:tplc="D4ECE5E4">
      <w:numFmt w:val="decimal"/>
      <w:lvlText w:val=""/>
      <w:lvlJc w:val="left"/>
    </w:lvl>
    <w:lvl w:ilvl="5" w:tplc="E7ECD5D6">
      <w:numFmt w:val="decimal"/>
      <w:lvlText w:val=""/>
      <w:lvlJc w:val="left"/>
    </w:lvl>
    <w:lvl w:ilvl="6" w:tplc="258CD1D4">
      <w:numFmt w:val="decimal"/>
      <w:lvlText w:val=""/>
      <w:lvlJc w:val="left"/>
    </w:lvl>
    <w:lvl w:ilvl="7" w:tplc="441A1250">
      <w:numFmt w:val="decimal"/>
      <w:lvlText w:val=""/>
      <w:lvlJc w:val="left"/>
    </w:lvl>
    <w:lvl w:ilvl="8" w:tplc="D95297E4">
      <w:numFmt w:val="decimal"/>
      <w:lvlText w:val=""/>
      <w:lvlJc w:val="left"/>
    </w:lvl>
  </w:abstractNum>
  <w:abstractNum w:abstractNumId="26" w15:restartNumberingAfterBreak="0">
    <w:nsid w:val="7A637582"/>
    <w:multiLevelType w:val="hybridMultilevel"/>
    <w:tmpl w:val="BFF81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E44A37"/>
    <w:multiLevelType w:val="hybridMultilevel"/>
    <w:tmpl w:val="C23E4554"/>
    <w:lvl w:ilvl="0" w:tplc="0422CE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B2E37C4">
      <w:numFmt w:val="decimal"/>
      <w:lvlText w:val=""/>
      <w:lvlJc w:val="left"/>
    </w:lvl>
    <w:lvl w:ilvl="2" w:tplc="ADF6379E">
      <w:numFmt w:val="decimal"/>
      <w:lvlText w:val=""/>
      <w:lvlJc w:val="left"/>
    </w:lvl>
    <w:lvl w:ilvl="3" w:tplc="3830E59C">
      <w:numFmt w:val="decimal"/>
      <w:lvlText w:val=""/>
      <w:lvlJc w:val="left"/>
    </w:lvl>
    <w:lvl w:ilvl="4" w:tplc="243A3550">
      <w:numFmt w:val="decimal"/>
      <w:lvlText w:val=""/>
      <w:lvlJc w:val="left"/>
    </w:lvl>
    <w:lvl w:ilvl="5" w:tplc="9AAA0C76">
      <w:numFmt w:val="decimal"/>
      <w:lvlText w:val=""/>
      <w:lvlJc w:val="left"/>
    </w:lvl>
    <w:lvl w:ilvl="6" w:tplc="71AC34A2">
      <w:numFmt w:val="decimal"/>
      <w:lvlText w:val=""/>
      <w:lvlJc w:val="left"/>
    </w:lvl>
    <w:lvl w:ilvl="7" w:tplc="93F0F2C6">
      <w:numFmt w:val="decimal"/>
      <w:lvlText w:val=""/>
      <w:lvlJc w:val="left"/>
    </w:lvl>
    <w:lvl w:ilvl="8" w:tplc="2D383F54">
      <w:numFmt w:val="decimal"/>
      <w:lvlText w:val=""/>
      <w:lvlJc w:val="left"/>
    </w:lvl>
  </w:abstractNum>
  <w:abstractNum w:abstractNumId="28" w15:restartNumberingAfterBreak="0">
    <w:nsid w:val="7C36739C"/>
    <w:multiLevelType w:val="hybridMultilevel"/>
    <w:tmpl w:val="0FBC0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347272">
    <w:abstractNumId w:val="19"/>
  </w:num>
  <w:num w:numId="2" w16cid:durableId="369493529">
    <w:abstractNumId w:val="7"/>
  </w:num>
  <w:num w:numId="3" w16cid:durableId="1390373841">
    <w:abstractNumId w:val="17"/>
  </w:num>
  <w:num w:numId="4" w16cid:durableId="1331757892">
    <w:abstractNumId w:val="10"/>
  </w:num>
  <w:num w:numId="5" w16cid:durableId="1170097342">
    <w:abstractNumId w:val="25"/>
  </w:num>
  <w:num w:numId="6" w16cid:durableId="762263899">
    <w:abstractNumId w:val="5"/>
  </w:num>
  <w:num w:numId="7" w16cid:durableId="1720737640">
    <w:abstractNumId w:val="12"/>
  </w:num>
  <w:num w:numId="8" w16cid:durableId="1472821777">
    <w:abstractNumId w:val="16"/>
  </w:num>
  <w:num w:numId="9" w16cid:durableId="1003049307">
    <w:abstractNumId w:val="21"/>
  </w:num>
  <w:num w:numId="10" w16cid:durableId="425923808">
    <w:abstractNumId w:val="0"/>
  </w:num>
  <w:num w:numId="11" w16cid:durableId="1345739816">
    <w:abstractNumId w:val="11"/>
  </w:num>
  <w:num w:numId="12" w16cid:durableId="1304699493">
    <w:abstractNumId w:val="18"/>
  </w:num>
  <w:num w:numId="13" w16cid:durableId="122114783">
    <w:abstractNumId w:val="1"/>
  </w:num>
  <w:num w:numId="14" w16cid:durableId="1963993351">
    <w:abstractNumId w:val="27"/>
  </w:num>
  <w:num w:numId="15" w16cid:durableId="1445811746">
    <w:abstractNumId w:val="6"/>
  </w:num>
  <w:num w:numId="16" w16cid:durableId="629281801">
    <w:abstractNumId w:val="15"/>
  </w:num>
  <w:num w:numId="17" w16cid:durableId="185602945">
    <w:abstractNumId w:val="28"/>
  </w:num>
  <w:num w:numId="18" w16cid:durableId="155270051">
    <w:abstractNumId w:val="3"/>
  </w:num>
  <w:num w:numId="19" w16cid:durableId="2052726238">
    <w:abstractNumId w:val="24"/>
  </w:num>
  <w:num w:numId="20" w16cid:durableId="733702577">
    <w:abstractNumId w:val="23"/>
  </w:num>
  <w:num w:numId="21" w16cid:durableId="1201818197">
    <w:abstractNumId w:val="20"/>
  </w:num>
  <w:num w:numId="22" w16cid:durableId="1032996094">
    <w:abstractNumId w:val="26"/>
  </w:num>
  <w:num w:numId="23" w16cid:durableId="210264118">
    <w:abstractNumId w:val="13"/>
  </w:num>
  <w:num w:numId="24" w16cid:durableId="545530877">
    <w:abstractNumId w:val="4"/>
  </w:num>
  <w:num w:numId="25" w16cid:durableId="1496604301">
    <w:abstractNumId w:val="2"/>
  </w:num>
  <w:num w:numId="26" w16cid:durableId="1598558458">
    <w:abstractNumId w:val="22"/>
  </w:num>
  <w:num w:numId="27" w16cid:durableId="132530206">
    <w:abstractNumId w:val="14"/>
  </w:num>
  <w:num w:numId="28" w16cid:durableId="507057748">
    <w:abstractNumId w:val="8"/>
  </w:num>
  <w:num w:numId="29" w16cid:durableId="1419724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70"/>
    <w:rsid w:val="003D6F1B"/>
    <w:rsid w:val="004F6095"/>
    <w:rsid w:val="00671370"/>
    <w:rsid w:val="00A50CC7"/>
    <w:rsid w:val="00B5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22FDA"/>
  <w15:chartTrackingRefBased/>
  <w15:docId w15:val="{EDCE8FD8-55B8-488E-B388-41D06E963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370"/>
    <w:pPr>
      <w:spacing w:after="120" w:line="240" w:lineRule="auto"/>
      <w:jc w:val="both"/>
    </w:pPr>
    <w:rPr>
      <w:rFonts w:ascii="Open Sans" w:hAnsi="Open Sans" w:cs="Open Sans"/>
      <w:bCs/>
      <w:color w:val="1D1F2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1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1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1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1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3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3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137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71370"/>
    <w:rPr>
      <w:rFonts w:ascii="Open Sans" w:hAnsi="Open Sans" w:cs="Open Sans"/>
      <w:bCs/>
      <w:color w:val="1D1F2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137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71370"/>
    <w:rPr>
      <w:rFonts w:ascii="Open Sans" w:hAnsi="Open Sans" w:cs="Open Sans"/>
      <w:bCs/>
      <w:color w:val="1D1F2A"/>
      <w:kern w:val="0"/>
      <w:sz w:val="21"/>
      <w:szCs w:val="21"/>
      <w14:ligatures w14:val="none"/>
    </w:rPr>
  </w:style>
  <w:style w:type="character" w:styleId="Hyperlink">
    <w:name w:val="Hyperlink"/>
    <w:basedOn w:val="DefaultParagraphFont"/>
    <w:uiPriority w:val="99"/>
    <w:unhideWhenUsed/>
    <w:rsid w:val="00671370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71370"/>
    <w:pPr>
      <w:tabs>
        <w:tab w:val="right" w:leader="dot" w:pos="9350"/>
      </w:tabs>
      <w:spacing w:after="100"/>
    </w:pPr>
  </w:style>
  <w:style w:type="table" w:styleId="TableGrid">
    <w:name w:val="Table Grid"/>
    <w:basedOn w:val="TableNormal"/>
    <w:uiPriority w:val="39"/>
    <w:rsid w:val="00671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4">
    <w:name w:val="List Table 3 Accent 4"/>
    <w:basedOn w:val="TableNormal"/>
    <w:uiPriority w:val="48"/>
    <w:rsid w:val="0067137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67137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67137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671370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5Dark-Accent2">
    <w:name w:val="Grid Table 5 Dark Accent 2"/>
    <w:basedOn w:val="TableNormal"/>
    <w:uiPriority w:val="50"/>
    <w:rsid w:val="006713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6713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ListTable5Dark-Accent2">
    <w:name w:val="List Table 5 Dark Accent 2"/>
    <w:basedOn w:val="TableNormal"/>
    <w:uiPriority w:val="50"/>
    <w:rsid w:val="006713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3-Accent2">
    <w:name w:val="Grid Table 3 Accent 2"/>
    <w:basedOn w:val="TableNormal"/>
    <w:uiPriority w:val="48"/>
    <w:rsid w:val="00671370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2-Accent2">
    <w:name w:val="Grid Table 2 Accent 2"/>
    <w:basedOn w:val="TableNormal"/>
    <w:uiPriority w:val="47"/>
    <w:rsid w:val="00671370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67137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71370"/>
    <w:rPr>
      <w:b/>
      <w:bCs/>
    </w:rPr>
  </w:style>
  <w:style w:type="table" w:styleId="GridTable4-Accent2">
    <w:name w:val="Grid Table 4 Accent 2"/>
    <w:basedOn w:val="TableNormal"/>
    <w:uiPriority w:val="49"/>
    <w:rsid w:val="00671370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5Dark-Accent4">
    <w:name w:val="Grid Table 5 Dark Accent 4"/>
    <w:basedOn w:val="TableNormal"/>
    <w:uiPriority w:val="50"/>
    <w:rsid w:val="006713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ListTable7Colorful-Accent2">
    <w:name w:val="List Table 7 Colorful Accent 2"/>
    <w:basedOn w:val="TableNormal"/>
    <w:uiPriority w:val="52"/>
    <w:rsid w:val="00671370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671370"/>
    <w:pPr>
      <w:spacing w:after="100"/>
      <w:ind w:left="210"/>
    </w:pPr>
  </w:style>
  <w:style w:type="paragraph" w:styleId="NormalWeb">
    <w:name w:val="Normal (Web)"/>
    <w:basedOn w:val="Normal"/>
    <w:uiPriority w:val="99"/>
    <w:unhideWhenUsed/>
    <w:rsid w:val="0067137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671370"/>
    <w:pPr>
      <w:spacing w:after="100"/>
      <w:ind w:left="420"/>
    </w:pPr>
  </w:style>
  <w:style w:type="character" w:styleId="CommentReference">
    <w:name w:val="annotation reference"/>
    <w:basedOn w:val="DefaultParagraphFont"/>
    <w:uiPriority w:val="99"/>
    <w:semiHidden/>
    <w:unhideWhenUsed/>
    <w:rsid w:val="006713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137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71370"/>
    <w:rPr>
      <w:rFonts w:ascii="Open Sans" w:hAnsi="Open Sans" w:cs="Open Sans"/>
      <w:bCs/>
      <w:color w:val="1D1F2A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1370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1370"/>
    <w:rPr>
      <w:rFonts w:ascii="Open Sans" w:hAnsi="Open Sans" w:cs="Open Sans"/>
      <w:b/>
      <w:bCs/>
      <w:color w:val="1D1F2A"/>
      <w:kern w:val="0"/>
      <w:sz w:val="20"/>
      <w:szCs w:val="20"/>
      <w14:ligatures w14:val="none"/>
    </w:rPr>
  </w:style>
  <w:style w:type="character" w:styleId="Mention">
    <w:name w:val="Mention"/>
    <w:basedOn w:val="DefaultParagraphFont"/>
    <w:uiPriority w:val="99"/>
    <w:unhideWhenUsed/>
    <w:rsid w:val="00671370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1370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671370"/>
    <w:pPr>
      <w:spacing w:after="0" w:line="240" w:lineRule="auto"/>
    </w:pPr>
    <w:rPr>
      <w:rFonts w:ascii="Open Sans" w:hAnsi="Open Sans" w:cs="Open Sans"/>
      <w:bCs/>
      <w:color w:val="1D1F2A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4081</Words>
  <Characters>27387</Characters>
  <Application>Microsoft Office Word</Application>
  <DocSecurity>0</DocSecurity>
  <Lines>1141</Lines>
  <Paragraphs>515</Paragraphs>
  <ScaleCrop>false</ScaleCrop>
  <Company/>
  <LinksUpToDate>false</LinksUpToDate>
  <CharactersWithSpaces>30953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Agrawal (agrawal2)</dc:creator>
  <cp:keywords/>
  <dc:description/>
  <cp:lastModifiedBy>Aman Agrawal (agrawal2)</cp:lastModifiedBy>
  <cp:revision>1</cp:revision>
  <dcterms:created xsi:type="dcterms:W3CDTF">2026-02-20T22:11:00Z</dcterms:created>
  <dcterms:modified xsi:type="dcterms:W3CDTF">2026-02-20T22:12:00Z</dcterms:modified>
</cp:coreProperties>
</file>