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97BE3" w:rsidRDefault="00000000" w:rsidP="00442791">
      <w:pPr>
        <w:pStyle w:val="Title"/>
        <w:jc w:val="center"/>
      </w:pPr>
      <w:r>
        <w:t xml:space="preserve">IFRS 9 Week </w:t>
      </w:r>
      <w:r w:rsidR="00820FCC">
        <w:t>4 Notes</w:t>
      </w:r>
    </w:p>
    <w:p w:rsidR="00F97BE3" w:rsidRDefault="00000000">
      <w:r>
        <w:rPr>
          <w:b/>
        </w:rPr>
        <w:t xml:space="preserve">Week </w:t>
      </w:r>
      <w:r w:rsidR="00820FCC">
        <w:rPr>
          <w:b/>
        </w:rPr>
        <w:t>4</w:t>
      </w:r>
      <w:r>
        <w:rPr>
          <w:b/>
        </w:rPr>
        <w:t xml:space="preserve"> focus: </w:t>
      </w:r>
      <w:r>
        <w:t>staging, significant increase in credit risk (SICR), acquisition vs behavior PD, month on books, point-in-time PD, through-the-cycle PD, and the ECL formula.</w:t>
      </w:r>
    </w:p>
    <w:p w:rsidR="00F97BE3" w:rsidRDefault="00F97BE3">
      <w:pPr>
        <w:pStyle w:val="Heading1"/>
        <w:spacing w:before="200" w:after="80"/>
      </w:pPr>
    </w:p>
    <w:p w:rsidR="00F97BE3" w:rsidRDefault="00000000">
      <w:r>
        <w:t>IFRS 9 is the accounting framework for provisioning. It answers a simple question: how much expected credit loss should the bank recognise now? Basel serves a different purpose. It is about capital adequacy and holding capital for unexpected losses.</w:t>
      </w:r>
    </w:p>
    <w:p w:rsidR="00F97BE3" w:rsidRDefault="00000000">
      <w:r>
        <w:t>The week’s discussion stays close to the borrower journey: delinquency, sustained delinquency, default, staging, and then expected credit loss.</w:t>
      </w:r>
    </w:p>
    <w:tbl>
      <w:tblPr>
        <w:tblStyle w:val="TableGrid"/>
        <w:tblW w:w="0" w:type="auto"/>
        <w:tblLook w:val="04A0" w:firstRow="1" w:lastRow="0" w:firstColumn="1" w:lastColumn="0" w:noHBand="0" w:noVBand="1"/>
      </w:tblPr>
      <w:tblGrid>
        <w:gridCol w:w="3213"/>
        <w:gridCol w:w="3213"/>
        <w:gridCol w:w="3213"/>
      </w:tblGrid>
      <w:tr w:rsidR="00F97BE3">
        <w:tc>
          <w:tcPr>
            <w:tcW w:w="3213" w:type="dxa"/>
            <w:shd w:val="clear" w:color="auto" w:fill="DCE6F1"/>
            <w:vAlign w:val="center"/>
          </w:tcPr>
          <w:p w:rsidR="00F97BE3" w:rsidRDefault="00000000">
            <w:r>
              <w:rPr>
                <w:b/>
                <w:sz w:val="21"/>
              </w:rPr>
              <w:t>Framework</w:t>
            </w:r>
          </w:p>
        </w:tc>
        <w:tc>
          <w:tcPr>
            <w:tcW w:w="3213" w:type="dxa"/>
            <w:shd w:val="clear" w:color="auto" w:fill="DCE6F1"/>
            <w:vAlign w:val="center"/>
          </w:tcPr>
          <w:p w:rsidR="00F97BE3" w:rsidRDefault="00000000">
            <w:r>
              <w:rPr>
                <w:b/>
                <w:sz w:val="21"/>
              </w:rPr>
              <w:t>Main job</w:t>
            </w:r>
          </w:p>
        </w:tc>
        <w:tc>
          <w:tcPr>
            <w:tcW w:w="3213" w:type="dxa"/>
            <w:shd w:val="clear" w:color="auto" w:fill="DCE6F1"/>
            <w:vAlign w:val="center"/>
          </w:tcPr>
          <w:p w:rsidR="00F97BE3" w:rsidRDefault="00000000">
            <w:r>
              <w:rPr>
                <w:b/>
                <w:sz w:val="21"/>
              </w:rPr>
              <w:t>Simple meaning</w:t>
            </w:r>
          </w:p>
        </w:tc>
      </w:tr>
      <w:tr w:rsidR="00F97BE3">
        <w:tc>
          <w:tcPr>
            <w:tcW w:w="3213" w:type="dxa"/>
            <w:vAlign w:val="center"/>
          </w:tcPr>
          <w:p w:rsidR="00F97BE3" w:rsidRDefault="00000000">
            <w:r>
              <w:rPr>
                <w:sz w:val="21"/>
              </w:rPr>
              <w:t>Basel</w:t>
            </w:r>
          </w:p>
        </w:tc>
        <w:tc>
          <w:tcPr>
            <w:tcW w:w="3213" w:type="dxa"/>
            <w:vAlign w:val="center"/>
          </w:tcPr>
          <w:p w:rsidR="00F97BE3" w:rsidRDefault="00000000">
            <w:r>
              <w:rPr>
                <w:sz w:val="21"/>
              </w:rPr>
              <w:t>Capital adequacy</w:t>
            </w:r>
          </w:p>
        </w:tc>
        <w:tc>
          <w:tcPr>
            <w:tcW w:w="3213" w:type="dxa"/>
            <w:vAlign w:val="center"/>
          </w:tcPr>
          <w:p w:rsidR="00F97BE3" w:rsidRDefault="00000000">
            <w:r>
              <w:rPr>
                <w:sz w:val="21"/>
              </w:rPr>
              <w:t>How much capital should be held for unexpected loss?</w:t>
            </w:r>
          </w:p>
        </w:tc>
      </w:tr>
      <w:tr w:rsidR="00F97BE3">
        <w:tc>
          <w:tcPr>
            <w:tcW w:w="3213" w:type="dxa"/>
            <w:vAlign w:val="center"/>
          </w:tcPr>
          <w:p w:rsidR="00F97BE3" w:rsidRDefault="00000000">
            <w:r>
              <w:rPr>
                <w:sz w:val="21"/>
              </w:rPr>
              <w:t>IFRS 9</w:t>
            </w:r>
          </w:p>
        </w:tc>
        <w:tc>
          <w:tcPr>
            <w:tcW w:w="3213" w:type="dxa"/>
            <w:vAlign w:val="center"/>
          </w:tcPr>
          <w:p w:rsidR="00F97BE3" w:rsidRDefault="00000000">
            <w:r>
              <w:rPr>
                <w:sz w:val="21"/>
              </w:rPr>
              <w:t>Provisioning</w:t>
            </w:r>
          </w:p>
        </w:tc>
        <w:tc>
          <w:tcPr>
            <w:tcW w:w="3213" w:type="dxa"/>
            <w:vAlign w:val="center"/>
          </w:tcPr>
          <w:p w:rsidR="00F97BE3" w:rsidRDefault="00000000">
            <w:r>
              <w:rPr>
                <w:sz w:val="21"/>
              </w:rPr>
              <w:t>How much expected credit loss should be booked now?</w:t>
            </w:r>
          </w:p>
        </w:tc>
      </w:tr>
      <w:tr w:rsidR="00F97BE3">
        <w:tc>
          <w:tcPr>
            <w:tcW w:w="3213" w:type="dxa"/>
            <w:vAlign w:val="center"/>
          </w:tcPr>
          <w:p w:rsidR="00F97BE3" w:rsidRDefault="00000000">
            <w:r>
              <w:rPr>
                <w:sz w:val="21"/>
              </w:rPr>
              <w:t>CECL</w:t>
            </w:r>
          </w:p>
        </w:tc>
        <w:tc>
          <w:tcPr>
            <w:tcW w:w="3213" w:type="dxa"/>
            <w:vAlign w:val="center"/>
          </w:tcPr>
          <w:p w:rsidR="00F97BE3" w:rsidRDefault="00000000">
            <w:r>
              <w:rPr>
                <w:sz w:val="21"/>
              </w:rPr>
              <w:t>US expected-loss provisioning</w:t>
            </w:r>
          </w:p>
        </w:tc>
        <w:tc>
          <w:tcPr>
            <w:tcW w:w="3213" w:type="dxa"/>
            <w:vAlign w:val="center"/>
          </w:tcPr>
          <w:p w:rsidR="00F97BE3" w:rsidRDefault="00000000">
            <w:r>
              <w:rPr>
                <w:sz w:val="21"/>
              </w:rPr>
              <w:t>The US counterpart in the expected-loss world.</w:t>
            </w:r>
          </w:p>
        </w:tc>
      </w:tr>
    </w:tbl>
    <w:p w:rsidR="00F97BE3" w:rsidRDefault="00000000">
      <w:r>
        <w:t>Analogy: Basel is the safety wall, IFRS 9 is the rainy-day fund, and CECL is the US version of the same loss-recognition logic.</w:t>
      </w:r>
    </w:p>
    <w:p w:rsidR="00F97BE3" w:rsidRDefault="00F97BE3"/>
    <w:p w:rsidR="00F97BE3" w:rsidRDefault="00000000">
      <w:pPr>
        <w:jc w:val="center"/>
      </w:pPr>
      <w:r>
        <w:rPr>
          <w:noProof/>
        </w:rPr>
        <w:drawing>
          <wp:inline distT="0" distB="0" distL="0" distR="0">
            <wp:extent cx="6217920" cy="1109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6"/>
                    <a:stretch>
                      <a:fillRect/>
                    </a:stretch>
                  </pic:blipFill>
                  <pic:spPr>
                    <a:xfrm>
                      <a:off x="0" y="0"/>
                      <a:ext cx="6217920" cy="1109051"/>
                    </a:xfrm>
                    <a:prstGeom prst="rect">
                      <a:avLst/>
                    </a:prstGeom>
                  </pic:spPr>
                </pic:pic>
              </a:graphicData>
            </a:graphic>
          </wp:inline>
        </w:drawing>
      </w:r>
    </w:p>
    <w:p w:rsidR="00F97BE3" w:rsidRDefault="00000000">
      <w:pPr>
        <w:jc w:val="center"/>
      </w:pPr>
      <w:r>
        <w:rPr>
          <w:i/>
          <w:sz w:val="18"/>
        </w:rPr>
        <w:t>Figure 1. End-to-end IFRS 9 logic from risk information to provision.</w:t>
      </w:r>
    </w:p>
    <w:p w:rsidR="00F97BE3" w:rsidRDefault="00F97BE3">
      <w:pPr>
        <w:pStyle w:val="Heading1"/>
        <w:spacing w:before="200" w:after="80"/>
      </w:pPr>
    </w:p>
    <w:p w:rsidR="00F97BE3" w:rsidRDefault="00000000">
      <w:r>
        <w:t>Delinquency starts when a borrower misses a payment date. Default is a more serious failure point. Impairment is the accounting conclusion that the exposure has become credit impaired and needs stronger provisioning.</w:t>
      </w:r>
    </w:p>
    <w:tbl>
      <w:tblPr>
        <w:tblStyle w:val="TableGrid"/>
        <w:tblW w:w="0" w:type="auto"/>
        <w:tblLook w:val="04A0" w:firstRow="1" w:lastRow="0" w:firstColumn="1" w:lastColumn="0" w:noHBand="0" w:noVBand="1"/>
      </w:tblPr>
      <w:tblGrid>
        <w:gridCol w:w="3213"/>
        <w:gridCol w:w="3213"/>
        <w:gridCol w:w="3213"/>
      </w:tblGrid>
      <w:tr w:rsidR="00F97BE3">
        <w:tc>
          <w:tcPr>
            <w:tcW w:w="3213" w:type="dxa"/>
            <w:shd w:val="clear" w:color="auto" w:fill="DCE6F1"/>
            <w:vAlign w:val="center"/>
          </w:tcPr>
          <w:p w:rsidR="00F97BE3" w:rsidRDefault="00000000">
            <w:r>
              <w:rPr>
                <w:b/>
                <w:sz w:val="21"/>
              </w:rPr>
              <w:t>Term</w:t>
            </w:r>
          </w:p>
        </w:tc>
        <w:tc>
          <w:tcPr>
            <w:tcW w:w="3213" w:type="dxa"/>
            <w:shd w:val="clear" w:color="auto" w:fill="DCE6F1"/>
            <w:vAlign w:val="center"/>
          </w:tcPr>
          <w:p w:rsidR="00F97BE3" w:rsidRDefault="00000000">
            <w:r>
              <w:rPr>
                <w:b/>
                <w:sz w:val="21"/>
              </w:rPr>
              <w:t>Plain meaning</w:t>
            </w:r>
          </w:p>
        </w:tc>
        <w:tc>
          <w:tcPr>
            <w:tcW w:w="3213" w:type="dxa"/>
            <w:shd w:val="clear" w:color="auto" w:fill="DCE6F1"/>
            <w:vAlign w:val="center"/>
          </w:tcPr>
          <w:p w:rsidR="00F97BE3" w:rsidRDefault="00000000">
            <w:r>
              <w:rPr>
                <w:b/>
                <w:sz w:val="21"/>
              </w:rPr>
              <w:t>Credit-risk implication</w:t>
            </w:r>
          </w:p>
        </w:tc>
      </w:tr>
      <w:tr w:rsidR="00F97BE3">
        <w:tc>
          <w:tcPr>
            <w:tcW w:w="3213" w:type="dxa"/>
            <w:vAlign w:val="center"/>
          </w:tcPr>
          <w:p w:rsidR="00F97BE3" w:rsidRDefault="00000000">
            <w:r>
              <w:rPr>
                <w:sz w:val="21"/>
              </w:rPr>
              <w:t>Delinquency</w:t>
            </w:r>
          </w:p>
        </w:tc>
        <w:tc>
          <w:tcPr>
            <w:tcW w:w="3213" w:type="dxa"/>
            <w:vAlign w:val="center"/>
          </w:tcPr>
          <w:p w:rsidR="00F97BE3" w:rsidRDefault="00000000">
            <w:r>
              <w:rPr>
                <w:sz w:val="21"/>
              </w:rPr>
              <w:t>A payment is missed</w:t>
            </w:r>
          </w:p>
        </w:tc>
        <w:tc>
          <w:tcPr>
            <w:tcW w:w="3213" w:type="dxa"/>
            <w:vAlign w:val="center"/>
          </w:tcPr>
          <w:p w:rsidR="00F97BE3" w:rsidRDefault="00000000">
            <w:r>
              <w:rPr>
                <w:sz w:val="21"/>
              </w:rPr>
              <w:t>The borrower may still cure</w:t>
            </w:r>
          </w:p>
        </w:tc>
      </w:tr>
      <w:tr w:rsidR="00F97BE3">
        <w:tc>
          <w:tcPr>
            <w:tcW w:w="3213" w:type="dxa"/>
            <w:vAlign w:val="center"/>
          </w:tcPr>
          <w:p w:rsidR="00F97BE3" w:rsidRDefault="00000000">
            <w:r>
              <w:rPr>
                <w:sz w:val="21"/>
              </w:rPr>
              <w:t>Default</w:t>
            </w:r>
          </w:p>
        </w:tc>
        <w:tc>
          <w:tcPr>
            <w:tcW w:w="3213" w:type="dxa"/>
            <w:vAlign w:val="center"/>
          </w:tcPr>
          <w:p w:rsidR="00F97BE3" w:rsidRDefault="00000000">
            <w:r>
              <w:rPr>
                <w:sz w:val="21"/>
              </w:rPr>
              <w:t>Serious credit failure</w:t>
            </w:r>
          </w:p>
        </w:tc>
        <w:tc>
          <w:tcPr>
            <w:tcW w:w="3213" w:type="dxa"/>
            <w:vAlign w:val="center"/>
          </w:tcPr>
          <w:p w:rsidR="00F97BE3" w:rsidRDefault="00000000">
            <w:r>
              <w:rPr>
                <w:sz w:val="21"/>
              </w:rPr>
              <w:t>Recovery becomes uncertain</w:t>
            </w:r>
          </w:p>
        </w:tc>
      </w:tr>
      <w:tr w:rsidR="00F97BE3">
        <w:tc>
          <w:tcPr>
            <w:tcW w:w="3213" w:type="dxa"/>
            <w:vAlign w:val="center"/>
          </w:tcPr>
          <w:p w:rsidR="00F97BE3" w:rsidRDefault="00000000">
            <w:r>
              <w:rPr>
                <w:sz w:val="21"/>
              </w:rPr>
              <w:t>Impairment</w:t>
            </w:r>
          </w:p>
        </w:tc>
        <w:tc>
          <w:tcPr>
            <w:tcW w:w="3213" w:type="dxa"/>
            <w:vAlign w:val="center"/>
          </w:tcPr>
          <w:p w:rsidR="00F97BE3" w:rsidRDefault="00000000">
            <w:r>
              <w:rPr>
                <w:sz w:val="21"/>
              </w:rPr>
              <w:t>Expected loss is now material</w:t>
            </w:r>
          </w:p>
        </w:tc>
        <w:tc>
          <w:tcPr>
            <w:tcW w:w="3213" w:type="dxa"/>
            <w:vAlign w:val="center"/>
          </w:tcPr>
          <w:p w:rsidR="00F97BE3" w:rsidRDefault="00000000">
            <w:r>
              <w:rPr>
                <w:sz w:val="21"/>
              </w:rPr>
              <w:t>Provisioning becomes more conservative</w:t>
            </w:r>
          </w:p>
        </w:tc>
      </w:tr>
      <w:tr w:rsidR="00F97BE3">
        <w:tc>
          <w:tcPr>
            <w:tcW w:w="3213" w:type="dxa"/>
            <w:vAlign w:val="center"/>
          </w:tcPr>
          <w:p w:rsidR="00F97BE3" w:rsidRDefault="00000000">
            <w:r>
              <w:rPr>
                <w:sz w:val="21"/>
              </w:rPr>
              <w:t>Charge-off</w:t>
            </w:r>
          </w:p>
        </w:tc>
        <w:tc>
          <w:tcPr>
            <w:tcW w:w="3213" w:type="dxa"/>
            <w:vAlign w:val="center"/>
          </w:tcPr>
          <w:p w:rsidR="00F97BE3" w:rsidRDefault="00000000">
            <w:r>
              <w:rPr>
                <w:sz w:val="21"/>
              </w:rPr>
              <w:t>Policy-driven removal from active book</w:t>
            </w:r>
          </w:p>
        </w:tc>
        <w:tc>
          <w:tcPr>
            <w:tcW w:w="3213" w:type="dxa"/>
            <w:vAlign w:val="center"/>
          </w:tcPr>
          <w:p w:rsidR="00F97BE3" w:rsidRDefault="00000000">
            <w:r>
              <w:rPr>
                <w:sz w:val="21"/>
              </w:rPr>
              <w:t>Collections or recovery may continue</w:t>
            </w:r>
          </w:p>
        </w:tc>
      </w:tr>
    </w:tbl>
    <w:p w:rsidR="00F97BE3" w:rsidRDefault="00000000">
      <w:r>
        <w:t>The simple difference matters: delinquency is being late, default is a deeper failure, and impairment is the accounting view of that failure.</w:t>
      </w:r>
    </w:p>
    <w:p w:rsidR="00F97BE3" w:rsidRDefault="00F97BE3">
      <w:pPr>
        <w:pStyle w:val="Heading1"/>
        <w:spacing w:before="200" w:after="80"/>
      </w:pPr>
    </w:p>
    <w:p w:rsidR="00F97BE3" w:rsidRDefault="00000000">
      <w:r>
        <w:t>Staging is the engine of IFRS 9. Stage 1 covers normal performing accounts. Stage 2 covers accounts with a significant increase in credit risk. Stage 3 covers impaired or default-like accounts.</w:t>
      </w:r>
    </w:p>
    <w:tbl>
      <w:tblPr>
        <w:tblStyle w:val="TableGrid"/>
        <w:tblW w:w="0" w:type="auto"/>
        <w:tblLook w:val="04A0" w:firstRow="1" w:lastRow="0" w:firstColumn="1" w:lastColumn="0" w:noHBand="0" w:noVBand="1"/>
      </w:tblPr>
      <w:tblGrid>
        <w:gridCol w:w="3213"/>
        <w:gridCol w:w="3213"/>
        <w:gridCol w:w="3213"/>
      </w:tblGrid>
      <w:tr w:rsidR="00F97BE3">
        <w:tc>
          <w:tcPr>
            <w:tcW w:w="3213" w:type="dxa"/>
            <w:shd w:val="clear" w:color="auto" w:fill="DCE6F1"/>
            <w:vAlign w:val="center"/>
          </w:tcPr>
          <w:p w:rsidR="00F97BE3" w:rsidRDefault="00000000">
            <w:r>
              <w:rPr>
                <w:b/>
                <w:sz w:val="21"/>
              </w:rPr>
              <w:t>Stage</w:t>
            </w:r>
          </w:p>
        </w:tc>
        <w:tc>
          <w:tcPr>
            <w:tcW w:w="3213" w:type="dxa"/>
            <w:shd w:val="clear" w:color="auto" w:fill="DCE6F1"/>
            <w:vAlign w:val="center"/>
          </w:tcPr>
          <w:p w:rsidR="00F97BE3" w:rsidRDefault="00000000">
            <w:r>
              <w:rPr>
                <w:b/>
                <w:sz w:val="21"/>
              </w:rPr>
              <w:t>Meaning</w:t>
            </w:r>
          </w:p>
        </w:tc>
        <w:tc>
          <w:tcPr>
            <w:tcW w:w="3213" w:type="dxa"/>
            <w:shd w:val="clear" w:color="auto" w:fill="DCE6F1"/>
            <w:vAlign w:val="center"/>
          </w:tcPr>
          <w:p w:rsidR="00F97BE3" w:rsidRDefault="00000000">
            <w:r>
              <w:rPr>
                <w:b/>
                <w:sz w:val="21"/>
              </w:rPr>
              <w:t>ECL horizon</w:t>
            </w:r>
          </w:p>
        </w:tc>
      </w:tr>
      <w:tr w:rsidR="00F97BE3">
        <w:tc>
          <w:tcPr>
            <w:tcW w:w="3213" w:type="dxa"/>
            <w:vAlign w:val="center"/>
          </w:tcPr>
          <w:p w:rsidR="00F97BE3" w:rsidRDefault="00000000">
            <w:r>
              <w:rPr>
                <w:sz w:val="21"/>
              </w:rPr>
              <w:t>Stage 1</w:t>
            </w:r>
          </w:p>
        </w:tc>
        <w:tc>
          <w:tcPr>
            <w:tcW w:w="3213" w:type="dxa"/>
            <w:vAlign w:val="center"/>
          </w:tcPr>
          <w:p w:rsidR="00F97BE3" w:rsidRDefault="00000000">
            <w:r>
              <w:rPr>
                <w:sz w:val="21"/>
              </w:rPr>
              <w:t>No significant increase in credit risk</w:t>
            </w:r>
          </w:p>
        </w:tc>
        <w:tc>
          <w:tcPr>
            <w:tcW w:w="3213" w:type="dxa"/>
            <w:vAlign w:val="center"/>
          </w:tcPr>
          <w:p w:rsidR="00F97BE3" w:rsidRDefault="00000000">
            <w:r>
              <w:rPr>
                <w:sz w:val="21"/>
              </w:rPr>
              <w:t>12-month ECL</w:t>
            </w:r>
          </w:p>
        </w:tc>
      </w:tr>
      <w:tr w:rsidR="00F97BE3">
        <w:tc>
          <w:tcPr>
            <w:tcW w:w="3213" w:type="dxa"/>
            <w:vAlign w:val="center"/>
          </w:tcPr>
          <w:p w:rsidR="00F97BE3" w:rsidRDefault="00000000">
            <w:r>
              <w:rPr>
                <w:sz w:val="21"/>
              </w:rPr>
              <w:t>Stage 2</w:t>
            </w:r>
          </w:p>
        </w:tc>
        <w:tc>
          <w:tcPr>
            <w:tcW w:w="3213" w:type="dxa"/>
            <w:vAlign w:val="center"/>
          </w:tcPr>
          <w:p w:rsidR="00F97BE3" w:rsidRDefault="00000000">
            <w:r>
              <w:rPr>
                <w:sz w:val="21"/>
              </w:rPr>
              <w:t>SICR triggered</w:t>
            </w:r>
          </w:p>
        </w:tc>
        <w:tc>
          <w:tcPr>
            <w:tcW w:w="3213" w:type="dxa"/>
            <w:vAlign w:val="center"/>
          </w:tcPr>
          <w:p w:rsidR="00F97BE3" w:rsidRDefault="00000000">
            <w:r>
              <w:rPr>
                <w:sz w:val="21"/>
              </w:rPr>
              <w:t>Lifetime ECL</w:t>
            </w:r>
          </w:p>
        </w:tc>
      </w:tr>
      <w:tr w:rsidR="00F97BE3">
        <w:tc>
          <w:tcPr>
            <w:tcW w:w="3213" w:type="dxa"/>
            <w:vAlign w:val="center"/>
          </w:tcPr>
          <w:p w:rsidR="00F97BE3" w:rsidRDefault="00000000">
            <w:r>
              <w:rPr>
                <w:sz w:val="21"/>
              </w:rPr>
              <w:t>Stage 3</w:t>
            </w:r>
          </w:p>
        </w:tc>
        <w:tc>
          <w:tcPr>
            <w:tcW w:w="3213" w:type="dxa"/>
            <w:vAlign w:val="center"/>
          </w:tcPr>
          <w:p w:rsidR="00F97BE3" w:rsidRDefault="00000000">
            <w:r>
              <w:rPr>
                <w:sz w:val="21"/>
              </w:rPr>
              <w:t>Impaired / default-like</w:t>
            </w:r>
          </w:p>
        </w:tc>
        <w:tc>
          <w:tcPr>
            <w:tcW w:w="3213" w:type="dxa"/>
            <w:vAlign w:val="center"/>
          </w:tcPr>
          <w:p w:rsidR="00F97BE3" w:rsidRDefault="00000000">
            <w:r>
              <w:rPr>
                <w:sz w:val="21"/>
              </w:rPr>
              <w:t>Lifetime ECL with impairment focus</w:t>
            </w:r>
          </w:p>
        </w:tc>
      </w:tr>
    </w:tbl>
    <w:p w:rsidR="00F97BE3" w:rsidRDefault="00000000">
      <w:r>
        <w:t>Stage 1 = healthy borrower. Stage 2 = warning signs. Stage 3 = default-like situation.</w:t>
      </w:r>
    </w:p>
    <w:p w:rsidR="00F97BE3" w:rsidRDefault="00000000">
      <w:pPr>
        <w:jc w:val="center"/>
      </w:pPr>
      <w:r>
        <w:rPr>
          <w:noProof/>
        </w:rPr>
        <w:drawing>
          <wp:inline distT="0" distB="0" distL="0" distR="0">
            <wp:extent cx="6217920" cy="1880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png"/>
                    <pic:cNvPicPr/>
                  </pic:nvPicPr>
                  <pic:blipFill>
                    <a:blip r:embed="rId7"/>
                    <a:stretch>
                      <a:fillRect/>
                    </a:stretch>
                  </pic:blipFill>
                  <pic:spPr>
                    <a:xfrm>
                      <a:off x="0" y="0"/>
                      <a:ext cx="6217920" cy="1880565"/>
                    </a:xfrm>
                    <a:prstGeom prst="rect">
                      <a:avLst/>
                    </a:prstGeom>
                  </pic:spPr>
                </pic:pic>
              </a:graphicData>
            </a:graphic>
          </wp:inline>
        </w:drawing>
      </w:r>
    </w:p>
    <w:p w:rsidR="00F97BE3" w:rsidRDefault="00000000">
      <w:pPr>
        <w:jc w:val="center"/>
      </w:pPr>
      <w:r>
        <w:rPr>
          <w:i/>
          <w:sz w:val="18"/>
        </w:rPr>
        <w:t>Figure 2. Why acquisition PD and behavior PD need a bridge before they can be compared.</w:t>
      </w:r>
    </w:p>
    <w:p w:rsidR="00F97BE3" w:rsidRDefault="00F97BE3">
      <w:pPr>
        <w:pStyle w:val="Heading1"/>
        <w:spacing w:before="200" w:after="80"/>
      </w:pPr>
    </w:p>
    <w:p w:rsidR="00F97BE3" w:rsidRDefault="00000000">
      <w:r>
        <w:t>The idea is to compare the borrower’s credit position at origination with the current position. If the current position is materially worse, Stage 1 may move to Stage 2.</w:t>
      </w:r>
    </w:p>
    <w:tbl>
      <w:tblPr>
        <w:tblStyle w:val="TableGrid"/>
        <w:tblW w:w="0" w:type="auto"/>
        <w:tblLook w:val="04A0" w:firstRow="1" w:lastRow="0" w:firstColumn="1" w:lastColumn="0" w:noHBand="0" w:noVBand="1"/>
      </w:tblPr>
      <w:tblGrid>
        <w:gridCol w:w="3213"/>
        <w:gridCol w:w="3213"/>
        <w:gridCol w:w="3213"/>
      </w:tblGrid>
      <w:tr w:rsidR="00F97BE3">
        <w:tc>
          <w:tcPr>
            <w:tcW w:w="3213" w:type="dxa"/>
            <w:shd w:val="clear" w:color="auto" w:fill="DCE6F1"/>
            <w:vAlign w:val="center"/>
          </w:tcPr>
          <w:p w:rsidR="00F97BE3" w:rsidRDefault="00000000">
            <w:r>
              <w:rPr>
                <w:b/>
                <w:sz w:val="21"/>
              </w:rPr>
              <w:t>SICR lens</w:t>
            </w:r>
          </w:p>
        </w:tc>
        <w:tc>
          <w:tcPr>
            <w:tcW w:w="3213" w:type="dxa"/>
            <w:shd w:val="clear" w:color="auto" w:fill="DCE6F1"/>
            <w:vAlign w:val="center"/>
          </w:tcPr>
          <w:p w:rsidR="00F97BE3" w:rsidRDefault="00000000">
            <w:r>
              <w:rPr>
                <w:b/>
                <w:sz w:val="21"/>
              </w:rPr>
              <w:t>What it asks</w:t>
            </w:r>
          </w:p>
        </w:tc>
        <w:tc>
          <w:tcPr>
            <w:tcW w:w="3213" w:type="dxa"/>
            <w:shd w:val="clear" w:color="auto" w:fill="DCE6F1"/>
            <w:vAlign w:val="center"/>
          </w:tcPr>
          <w:p w:rsidR="00F97BE3" w:rsidRDefault="00000000">
            <w:r>
              <w:rPr>
                <w:b/>
                <w:sz w:val="21"/>
              </w:rPr>
              <w:t>Why it matters</w:t>
            </w:r>
          </w:p>
        </w:tc>
      </w:tr>
      <w:tr w:rsidR="00F97BE3">
        <w:tc>
          <w:tcPr>
            <w:tcW w:w="3213" w:type="dxa"/>
            <w:vAlign w:val="center"/>
          </w:tcPr>
          <w:p w:rsidR="00F97BE3" w:rsidRDefault="00000000">
            <w:r>
              <w:rPr>
                <w:sz w:val="21"/>
              </w:rPr>
              <w:t>Relative threshold</w:t>
            </w:r>
          </w:p>
        </w:tc>
        <w:tc>
          <w:tcPr>
            <w:tcW w:w="3213" w:type="dxa"/>
            <w:vAlign w:val="center"/>
          </w:tcPr>
          <w:p w:rsidR="00F97BE3" w:rsidRDefault="00000000">
            <w:r>
              <w:rPr>
                <w:sz w:val="21"/>
              </w:rPr>
              <w:t>Has PD moved by a meaningful percentage?</w:t>
            </w:r>
          </w:p>
        </w:tc>
        <w:tc>
          <w:tcPr>
            <w:tcW w:w="3213" w:type="dxa"/>
            <w:vAlign w:val="center"/>
          </w:tcPr>
          <w:p w:rsidR="00F97BE3" w:rsidRDefault="00000000">
            <w:r>
              <w:rPr>
                <w:sz w:val="21"/>
              </w:rPr>
              <w:t>Useful when starting PDs vary a lot</w:t>
            </w:r>
          </w:p>
        </w:tc>
      </w:tr>
      <w:tr w:rsidR="00F97BE3">
        <w:tc>
          <w:tcPr>
            <w:tcW w:w="3213" w:type="dxa"/>
            <w:vAlign w:val="center"/>
          </w:tcPr>
          <w:p w:rsidR="00F97BE3" w:rsidRDefault="00000000">
            <w:r>
              <w:rPr>
                <w:sz w:val="21"/>
              </w:rPr>
              <w:t>Hard backstop</w:t>
            </w:r>
          </w:p>
        </w:tc>
        <w:tc>
          <w:tcPr>
            <w:tcW w:w="3213" w:type="dxa"/>
            <w:vAlign w:val="center"/>
          </w:tcPr>
          <w:p w:rsidR="00F97BE3" w:rsidRDefault="00000000">
            <w:r>
              <w:rPr>
                <w:sz w:val="21"/>
              </w:rPr>
              <w:t>Has the borrower crossed a warning rule?</w:t>
            </w:r>
          </w:p>
        </w:tc>
        <w:tc>
          <w:tcPr>
            <w:tcW w:w="3213" w:type="dxa"/>
            <w:vAlign w:val="center"/>
          </w:tcPr>
          <w:p w:rsidR="00F97BE3" w:rsidRDefault="00000000">
            <w:r>
              <w:rPr>
                <w:sz w:val="21"/>
              </w:rPr>
              <w:t>Prevents obvious stress from being missed</w:t>
            </w:r>
          </w:p>
        </w:tc>
      </w:tr>
      <w:tr w:rsidR="00F97BE3">
        <w:tc>
          <w:tcPr>
            <w:tcW w:w="3213" w:type="dxa"/>
            <w:vAlign w:val="center"/>
          </w:tcPr>
          <w:p w:rsidR="00F97BE3" w:rsidRDefault="00000000">
            <w:r>
              <w:rPr>
                <w:sz w:val="21"/>
              </w:rPr>
              <w:t>Rating migration</w:t>
            </w:r>
          </w:p>
        </w:tc>
        <w:tc>
          <w:tcPr>
            <w:tcW w:w="3213" w:type="dxa"/>
            <w:vAlign w:val="center"/>
          </w:tcPr>
          <w:p w:rsidR="00F97BE3" w:rsidRDefault="00000000">
            <w:r>
              <w:rPr>
                <w:sz w:val="21"/>
              </w:rPr>
              <w:t>Has the internal view deteriorated?</w:t>
            </w:r>
          </w:p>
        </w:tc>
        <w:tc>
          <w:tcPr>
            <w:tcW w:w="3213" w:type="dxa"/>
            <w:vAlign w:val="center"/>
          </w:tcPr>
          <w:p w:rsidR="00F97BE3" w:rsidRDefault="00000000">
            <w:r>
              <w:rPr>
                <w:sz w:val="21"/>
              </w:rPr>
              <w:t>Important in corporate and institutional banking</w:t>
            </w:r>
          </w:p>
        </w:tc>
      </w:tr>
      <w:tr w:rsidR="00F97BE3">
        <w:tc>
          <w:tcPr>
            <w:tcW w:w="3213" w:type="dxa"/>
            <w:vAlign w:val="center"/>
          </w:tcPr>
          <w:p w:rsidR="00F97BE3" w:rsidRDefault="00000000">
            <w:r>
              <w:rPr>
                <w:sz w:val="21"/>
              </w:rPr>
              <w:t>Committee judgment</w:t>
            </w:r>
          </w:p>
        </w:tc>
        <w:tc>
          <w:tcPr>
            <w:tcW w:w="3213" w:type="dxa"/>
            <w:vAlign w:val="center"/>
          </w:tcPr>
          <w:p w:rsidR="00F97BE3" w:rsidRDefault="00000000">
            <w:r>
              <w:rPr>
                <w:sz w:val="21"/>
              </w:rPr>
              <w:t>Has expert review flagged the account?</w:t>
            </w:r>
          </w:p>
        </w:tc>
        <w:tc>
          <w:tcPr>
            <w:tcW w:w="3213" w:type="dxa"/>
            <w:vAlign w:val="center"/>
          </w:tcPr>
          <w:p w:rsidR="00F97BE3" w:rsidRDefault="00000000">
            <w:r>
              <w:rPr>
                <w:sz w:val="21"/>
              </w:rPr>
              <w:t>Supports model-based staging</w:t>
            </w:r>
          </w:p>
        </w:tc>
      </w:tr>
    </w:tbl>
    <w:p w:rsidR="00F97BE3" w:rsidRDefault="00000000">
      <w:r>
        <w:t>In retail-style portfolios, a common backstop is 30 days past due. In many retail portfolios, 90 days past due is the common bad-definition rule; some commercial portfolios can justify a different rule with supporting analysis.</w:t>
      </w:r>
    </w:p>
    <w:p w:rsidR="00F97BE3" w:rsidRDefault="00F97BE3">
      <w:pPr>
        <w:pStyle w:val="Heading1"/>
        <w:spacing w:before="200" w:after="80"/>
      </w:pPr>
    </w:p>
    <w:p w:rsidR="00F97BE3" w:rsidRDefault="00000000">
      <w:r>
        <w:t>Acquisition scorecards are used at origination. They estimate how likely the new borrower is to be a good borrower. Behavior scorecards are used after booking. They monitor how the same borrower is behaving over time.</w:t>
      </w:r>
    </w:p>
    <w:p w:rsidR="00F97BE3" w:rsidRDefault="00000000">
      <w:r>
        <w:lastRenderedPageBreak/>
        <w:t>The core point is simple: the two scorecards often use different variables, different performance windows, and sometimes different bad definitions. That is why direct comparison is not always clean.</w:t>
      </w:r>
    </w:p>
    <w:p w:rsidR="00F97BE3" w:rsidRDefault="00000000">
      <w:pPr>
        <w:jc w:val="center"/>
      </w:pPr>
      <w:r>
        <w:rPr>
          <w:noProof/>
        </w:rPr>
        <w:drawing>
          <wp:inline distT="0" distB="0" distL="0" distR="0">
            <wp:extent cx="5943600" cy="1346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window.png"/>
                    <pic:cNvPicPr/>
                  </pic:nvPicPr>
                  <pic:blipFill>
                    <a:blip r:embed="rId8"/>
                    <a:stretch>
                      <a:fillRect/>
                    </a:stretch>
                  </pic:blipFill>
                  <pic:spPr>
                    <a:xfrm>
                      <a:off x="0" y="0"/>
                      <a:ext cx="5943600" cy="1346616"/>
                    </a:xfrm>
                    <a:prstGeom prst="rect">
                      <a:avLst/>
                    </a:prstGeom>
                  </pic:spPr>
                </pic:pic>
              </a:graphicData>
            </a:graphic>
          </wp:inline>
        </w:drawing>
      </w:r>
    </w:p>
    <w:p w:rsidR="00F97BE3" w:rsidRDefault="00000000">
      <w:pPr>
        <w:jc w:val="center"/>
      </w:pPr>
      <w:r>
        <w:rPr>
          <w:i/>
          <w:sz w:val="18"/>
        </w:rPr>
        <w:t>Figure 3. A performance window is built backward from an observation month so that future outcomes can be learned from history.</w:t>
      </w:r>
    </w:p>
    <w:p w:rsidR="00F97BE3" w:rsidRDefault="00F97BE3">
      <w:pPr>
        <w:pStyle w:val="Heading1"/>
        <w:spacing w:before="200" w:after="80"/>
      </w:pPr>
    </w:p>
    <w:p w:rsidR="00F97BE3" w:rsidRDefault="00000000">
      <w:r>
        <w:t>The comparison is difficult for two reasons. First, the variables are different: origination focuses on reliability and affordability, while behavior focuses on payment conduct and current deterioration. Second, the performance windows can differ, so the labels behind the scorecards may not line up exactly.</w:t>
      </w:r>
    </w:p>
    <w:tbl>
      <w:tblPr>
        <w:tblStyle w:val="TableGrid"/>
        <w:tblW w:w="0" w:type="auto"/>
        <w:tblLook w:val="04A0" w:firstRow="1" w:lastRow="0" w:firstColumn="1" w:lastColumn="0" w:noHBand="0" w:noVBand="1"/>
      </w:tblPr>
      <w:tblGrid>
        <w:gridCol w:w="3213"/>
        <w:gridCol w:w="3213"/>
        <w:gridCol w:w="3213"/>
      </w:tblGrid>
      <w:tr w:rsidR="00F97BE3">
        <w:tc>
          <w:tcPr>
            <w:tcW w:w="3213" w:type="dxa"/>
            <w:shd w:val="clear" w:color="auto" w:fill="DCE6F1"/>
            <w:vAlign w:val="center"/>
          </w:tcPr>
          <w:p w:rsidR="00F97BE3" w:rsidRDefault="00000000">
            <w:r>
              <w:rPr>
                <w:b/>
                <w:sz w:val="21"/>
              </w:rPr>
              <w:t>Scorecard</w:t>
            </w:r>
          </w:p>
        </w:tc>
        <w:tc>
          <w:tcPr>
            <w:tcW w:w="3213" w:type="dxa"/>
            <w:shd w:val="clear" w:color="auto" w:fill="DCE6F1"/>
            <w:vAlign w:val="center"/>
          </w:tcPr>
          <w:p w:rsidR="00F97BE3" w:rsidRDefault="00000000">
            <w:r>
              <w:rPr>
                <w:b/>
                <w:sz w:val="21"/>
              </w:rPr>
              <w:t>Typical focus</w:t>
            </w:r>
          </w:p>
        </w:tc>
        <w:tc>
          <w:tcPr>
            <w:tcW w:w="3213" w:type="dxa"/>
            <w:shd w:val="clear" w:color="auto" w:fill="DCE6F1"/>
            <w:vAlign w:val="center"/>
          </w:tcPr>
          <w:p w:rsidR="00F97BE3" w:rsidRDefault="00000000">
            <w:r>
              <w:rPr>
                <w:b/>
                <w:sz w:val="21"/>
              </w:rPr>
              <w:t>Example signals</w:t>
            </w:r>
          </w:p>
        </w:tc>
      </w:tr>
      <w:tr w:rsidR="00F97BE3">
        <w:tc>
          <w:tcPr>
            <w:tcW w:w="3213" w:type="dxa"/>
            <w:vAlign w:val="center"/>
          </w:tcPr>
          <w:p w:rsidR="00F97BE3" w:rsidRDefault="00000000">
            <w:r>
              <w:rPr>
                <w:sz w:val="21"/>
              </w:rPr>
              <w:t>Acquisition</w:t>
            </w:r>
          </w:p>
        </w:tc>
        <w:tc>
          <w:tcPr>
            <w:tcW w:w="3213" w:type="dxa"/>
            <w:vAlign w:val="center"/>
          </w:tcPr>
          <w:p w:rsidR="00F97BE3" w:rsidRDefault="00000000">
            <w:r>
              <w:rPr>
                <w:sz w:val="21"/>
              </w:rPr>
              <w:t>Reliability and affordability</w:t>
            </w:r>
          </w:p>
        </w:tc>
        <w:tc>
          <w:tcPr>
            <w:tcW w:w="3213" w:type="dxa"/>
            <w:vAlign w:val="center"/>
          </w:tcPr>
          <w:p w:rsidR="00F97BE3" w:rsidRDefault="00000000">
            <w:r>
              <w:rPr>
                <w:sz w:val="21"/>
              </w:rPr>
              <w:t>OD account status, savings balance, FOIR, enquiries</w:t>
            </w:r>
          </w:p>
        </w:tc>
      </w:tr>
      <w:tr w:rsidR="00F97BE3">
        <w:tc>
          <w:tcPr>
            <w:tcW w:w="3213" w:type="dxa"/>
            <w:vAlign w:val="center"/>
          </w:tcPr>
          <w:p w:rsidR="00F97BE3" w:rsidRDefault="00000000">
            <w:r>
              <w:rPr>
                <w:sz w:val="21"/>
              </w:rPr>
              <w:t>Behavior</w:t>
            </w:r>
          </w:p>
        </w:tc>
        <w:tc>
          <w:tcPr>
            <w:tcW w:w="3213" w:type="dxa"/>
            <w:vAlign w:val="center"/>
          </w:tcPr>
          <w:p w:rsidR="00F97BE3" w:rsidRDefault="00000000">
            <w:r>
              <w:rPr>
                <w:sz w:val="21"/>
              </w:rPr>
              <w:t>How the borrower is paying now</w:t>
            </w:r>
          </w:p>
        </w:tc>
        <w:tc>
          <w:tcPr>
            <w:tcW w:w="3213" w:type="dxa"/>
            <w:vAlign w:val="center"/>
          </w:tcPr>
          <w:p w:rsidR="00F97BE3" w:rsidRDefault="00000000">
            <w:r>
              <w:rPr>
                <w:sz w:val="21"/>
              </w:rPr>
              <w:t>Delinquency pattern, conduct, payment behavior</w:t>
            </w:r>
          </w:p>
        </w:tc>
      </w:tr>
      <w:tr w:rsidR="00F97BE3">
        <w:tc>
          <w:tcPr>
            <w:tcW w:w="3213" w:type="dxa"/>
            <w:vAlign w:val="center"/>
          </w:tcPr>
          <w:p w:rsidR="00F97BE3" w:rsidRDefault="00000000">
            <w:r>
              <w:rPr>
                <w:sz w:val="21"/>
              </w:rPr>
              <w:t>Bridge</w:t>
            </w:r>
          </w:p>
        </w:tc>
        <w:tc>
          <w:tcPr>
            <w:tcW w:w="3213" w:type="dxa"/>
            <w:vAlign w:val="center"/>
          </w:tcPr>
          <w:p w:rsidR="00F97BE3" w:rsidRDefault="00000000">
            <w:r>
              <w:rPr>
                <w:sz w:val="21"/>
              </w:rPr>
              <w:t>Month on books comparison</w:t>
            </w:r>
          </w:p>
        </w:tc>
        <w:tc>
          <w:tcPr>
            <w:tcW w:w="3213" w:type="dxa"/>
            <w:vAlign w:val="center"/>
          </w:tcPr>
          <w:p w:rsidR="00F97BE3" w:rsidRDefault="00000000">
            <w:r>
              <w:rPr>
                <w:sz w:val="21"/>
              </w:rPr>
              <w:t>Aligns the two views before SICR testing</w:t>
            </w:r>
          </w:p>
        </w:tc>
      </w:tr>
    </w:tbl>
    <w:p w:rsidR="00F97BE3" w:rsidRDefault="00F97BE3">
      <w:pPr>
        <w:pStyle w:val="Heading1"/>
        <w:spacing w:before="200" w:after="80"/>
      </w:pPr>
    </w:p>
    <w:p w:rsidR="00F97BE3" w:rsidRDefault="00000000">
      <w:r>
        <w:t>The logic is not to memorize the numbers mechanically, but to understand what each factor is trying to capture.</w:t>
      </w:r>
    </w:p>
    <w:tbl>
      <w:tblPr>
        <w:tblStyle w:val="TableGrid"/>
        <w:tblW w:w="0" w:type="auto"/>
        <w:tblLook w:val="04A0" w:firstRow="1" w:lastRow="0" w:firstColumn="1" w:lastColumn="0" w:noHBand="0" w:noVBand="1"/>
      </w:tblPr>
      <w:tblGrid>
        <w:gridCol w:w="2409"/>
        <w:gridCol w:w="2409"/>
        <w:gridCol w:w="2409"/>
        <w:gridCol w:w="2409"/>
      </w:tblGrid>
      <w:tr w:rsidR="00F97BE3">
        <w:tc>
          <w:tcPr>
            <w:tcW w:w="2409" w:type="dxa"/>
            <w:shd w:val="clear" w:color="auto" w:fill="DCE6F1"/>
            <w:vAlign w:val="center"/>
          </w:tcPr>
          <w:p w:rsidR="00F97BE3" w:rsidRDefault="00000000">
            <w:r>
              <w:rPr>
                <w:b/>
                <w:sz w:val="21"/>
              </w:rPr>
              <w:t>Variable</w:t>
            </w:r>
          </w:p>
        </w:tc>
        <w:tc>
          <w:tcPr>
            <w:tcW w:w="2409" w:type="dxa"/>
            <w:shd w:val="clear" w:color="auto" w:fill="DCE6F1"/>
            <w:vAlign w:val="center"/>
          </w:tcPr>
          <w:p w:rsidR="00F97BE3" w:rsidRDefault="00000000">
            <w:r>
              <w:rPr>
                <w:b/>
                <w:sz w:val="21"/>
              </w:rPr>
              <w:t>Category in the example</w:t>
            </w:r>
          </w:p>
        </w:tc>
        <w:tc>
          <w:tcPr>
            <w:tcW w:w="2409" w:type="dxa"/>
            <w:shd w:val="clear" w:color="auto" w:fill="DCE6F1"/>
            <w:vAlign w:val="center"/>
          </w:tcPr>
          <w:p w:rsidR="00F97BE3" w:rsidRDefault="00000000">
            <w:r>
              <w:rPr>
                <w:b/>
                <w:sz w:val="21"/>
              </w:rPr>
              <w:t>Score</w:t>
            </w:r>
          </w:p>
        </w:tc>
        <w:tc>
          <w:tcPr>
            <w:tcW w:w="2409" w:type="dxa"/>
            <w:shd w:val="clear" w:color="auto" w:fill="DCE6F1"/>
            <w:vAlign w:val="center"/>
          </w:tcPr>
          <w:p w:rsidR="00F97BE3" w:rsidRDefault="00000000">
            <w:r>
              <w:rPr>
                <w:b/>
                <w:sz w:val="21"/>
              </w:rPr>
              <w:t>Why it matters</w:t>
            </w:r>
          </w:p>
        </w:tc>
      </w:tr>
      <w:tr w:rsidR="00F97BE3">
        <w:tc>
          <w:tcPr>
            <w:tcW w:w="2409" w:type="dxa"/>
            <w:vAlign w:val="center"/>
          </w:tcPr>
          <w:p w:rsidR="00F97BE3" w:rsidRDefault="00000000">
            <w:r>
              <w:rPr>
                <w:sz w:val="21"/>
              </w:rPr>
              <w:t>Overdraft account status</w:t>
            </w:r>
          </w:p>
        </w:tc>
        <w:tc>
          <w:tcPr>
            <w:tcW w:w="2409" w:type="dxa"/>
            <w:vAlign w:val="center"/>
          </w:tcPr>
          <w:p w:rsidR="00F97BE3" w:rsidRDefault="00000000">
            <w:r>
              <w:rPr>
                <w:sz w:val="21"/>
              </w:rPr>
              <w:t>No overdraft account</w:t>
            </w:r>
          </w:p>
        </w:tc>
        <w:tc>
          <w:tcPr>
            <w:tcW w:w="2409" w:type="dxa"/>
            <w:vAlign w:val="center"/>
          </w:tcPr>
          <w:p w:rsidR="00F97BE3" w:rsidRDefault="00000000">
            <w:r>
              <w:rPr>
                <w:sz w:val="21"/>
              </w:rPr>
              <w:t>28</w:t>
            </w:r>
          </w:p>
        </w:tc>
        <w:tc>
          <w:tcPr>
            <w:tcW w:w="2409" w:type="dxa"/>
            <w:vAlign w:val="center"/>
          </w:tcPr>
          <w:p w:rsidR="00F97BE3" w:rsidRDefault="00000000">
            <w:r>
              <w:rPr>
                <w:sz w:val="21"/>
              </w:rPr>
              <w:t>More reliable conduct</w:t>
            </w:r>
          </w:p>
        </w:tc>
      </w:tr>
      <w:tr w:rsidR="00F97BE3">
        <w:tc>
          <w:tcPr>
            <w:tcW w:w="2409" w:type="dxa"/>
            <w:vAlign w:val="center"/>
          </w:tcPr>
          <w:p w:rsidR="00F97BE3" w:rsidRDefault="00000000">
            <w:r>
              <w:rPr>
                <w:sz w:val="21"/>
              </w:rPr>
              <w:t>Savings account balance</w:t>
            </w:r>
          </w:p>
        </w:tc>
        <w:tc>
          <w:tcPr>
            <w:tcW w:w="2409" w:type="dxa"/>
            <w:vAlign w:val="center"/>
          </w:tcPr>
          <w:p w:rsidR="00F97BE3" w:rsidRDefault="00000000">
            <w:r>
              <w:rPr>
                <w:sz w:val="21"/>
              </w:rPr>
              <w:t>0 to 10,000</w:t>
            </w:r>
          </w:p>
        </w:tc>
        <w:tc>
          <w:tcPr>
            <w:tcW w:w="2409" w:type="dxa"/>
            <w:vAlign w:val="center"/>
          </w:tcPr>
          <w:p w:rsidR="00F97BE3" w:rsidRDefault="00000000">
            <w:r>
              <w:rPr>
                <w:sz w:val="21"/>
              </w:rPr>
              <w:t>21</w:t>
            </w:r>
          </w:p>
        </w:tc>
        <w:tc>
          <w:tcPr>
            <w:tcW w:w="2409" w:type="dxa"/>
            <w:vAlign w:val="center"/>
          </w:tcPr>
          <w:p w:rsidR="00F97BE3" w:rsidRDefault="00000000">
            <w:r>
              <w:rPr>
                <w:sz w:val="21"/>
              </w:rPr>
              <w:t>Affordability signal</w:t>
            </w:r>
          </w:p>
        </w:tc>
      </w:tr>
      <w:tr w:rsidR="00F97BE3">
        <w:tc>
          <w:tcPr>
            <w:tcW w:w="2409" w:type="dxa"/>
            <w:vAlign w:val="center"/>
          </w:tcPr>
          <w:p w:rsidR="00F97BE3" w:rsidRDefault="00000000">
            <w:r>
              <w:rPr>
                <w:sz w:val="21"/>
              </w:rPr>
              <w:t>Other credit</w:t>
            </w:r>
          </w:p>
        </w:tc>
        <w:tc>
          <w:tcPr>
            <w:tcW w:w="2409" w:type="dxa"/>
            <w:vAlign w:val="center"/>
          </w:tcPr>
          <w:p w:rsidR="00F97BE3" w:rsidRDefault="00000000">
            <w:r>
              <w:rPr>
                <w:sz w:val="21"/>
              </w:rPr>
              <w:t>No other credit</w:t>
            </w:r>
          </w:p>
        </w:tc>
        <w:tc>
          <w:tcPr>
            <w:tcW w:w="2409" w:type="dxa"/>
            <w:vAlign w:val="center"/>
          </w:tcPr>
          <w:p w:rsidR="00F97BE3" w:rsidRDefault="00000000">
            <w:r>
              <w:rPr>
                <w:sz w:val="21"/>
              </w:rPr>
              <w:t>45</w:t>
            </w:r>
          </w:p>
        </w:tc>
        <w:tc>
          <w:tcPr>
            <w:tcW w:w="2409" w:type="dxa"/>
            <w:vAlign w:val="center"/>
          </w:tcPr>
          <w:p w:rsidR="00F97BE3" w:rsidRDefault="00000000">
            <w:r>
              <w:rPr>
                <w:sz w:val="21"/>
              </w:rPr>
              <w:t>Lower existing burden</w:t>
            </w:r>
          </w:p>
        </w:tc>
      </w:tr>
      <w:tr w:rsidR="00F97BE3">
        <w:tc>
          <w:tcPr>
            <w:tcW w:w="2409" w:type="dxa"/>
            <w:vAlign w:val="center"/>
          </w:tcPr>
          <w:p w:rsidR="00F97BE3" w:rsidRDefault="00000000">
            <w:r>
              <w:rPr>
                <w:sz w:val="21"/>
              </w:rPr>
              <w:t>Enquiries</w:t>
            </w:r>
          </w:p>
        </w:tc>
        <w:tc>
          <w:tcPr>
            <w:tcW w:w="2409" w:type="dxa"/>
            <w:vAlign w:val="center"/>
          </w:tcPr>
          <w:p w:rsidR="00F97BE3" w:rsidRDefault="00000000">
            <w:r>
              <w:rPr>
                <w:sz w:val="21"/>
              </w:rPr>
              <w:t>2 enquiries</w:t>
            </w:r>
          </w:p>
        </w:tc>
        <w:tc>
          <w:tcPr>
            <w:tcW w:w="2409" w:type="dxa"/>
            <w:vAlign w:val="center"/>
          </w:tcPr>
          <w:p w:rsidR="00F97BE3" w:rsidRDefault="00000000">
            <w:r>
              <w:rPr>
                <w:sz w:val="21"/>
              </w:rPr>
              <w:t>28</w:t>
            </w:r>
          </w:p>
        </w:tc>
        <w:tc>
          <w:tcPr>
            <w:tcW w:w="2409" w:type="dxa"/>
            <w:vAlign w:val="center"/>
          </w:tcPr>
          <w:p w:rsidR="00F97BE3" w:rsidRDefault="00000000">
            <w:r>
              <w:rPr>
                <w:sz w:val="21"/>
              </w:rPr>
              <w:t>Limited credit shopping</w:t>
            </w:r>
          </w:p>
        </w:tc>
      </w:tr>
    </w:tbl>
    <w:p w:rsidR="00F97BE3" w:rsidRDefault="00000000">
      <w:r>
        <w:t>Illustrative total score = 28 + 21 + 45 + 28 = 122. The example cut-off used in the session is 107, so this borrower would be accepted.</w:t>
      </w:r>
    </w:p>
    <w:p w:rsidR="00F97BE3" w:rsidRDefault="00000000">
      <w:r>
        <w:t>The scoring logic is a ranking of better and worse borrower profiles. A safer borrower gets a higher score; a riskier borrower gets a lower score.</w:t>
      </w:r>
    </w:p>
    <w:p w:rsidR="00F97BE3" w:rsidRDefault="00000000">
      <w:pPr>
        <w:spacing w:before="80" w:after="40"/>
      </w:pPr>
      <w:r>
        <w:rPr>
          <w:b/>
          <w:sz w:val="24"/>
        </w:rPr>
        <w:t>Analogy</w:t>
      </w:r>
    </w:p>
    <w:tbl>
      <w:tblPr>
        <w:tblStyle w:val="TableGrid"/>
        <w:tblW w:w="0" w:type="auto"/>
        <w:tblLook w:val="04A0" w:firstRow="1" w:lastRow="0" w:firstColumn="1" w:lastColumn="0" w:noHBand="0" w:noVBand="1"/>
      </w:tblPr>
      <w:tblGrid>
        <w:gridCol w:w="9638"/>
      </w:tblGrid>
      <w:tr w:rsidR="00F97BE3">
        <w:tc>
          <w:tcPr>
            <w:tcW w:w="9638" w:type="dxa"/>
            <w:shd w:val="clear" w:color="auto" w:fill="F3F3F3"/>
          </w:tcPr>
          <w:p w:rsidR="00F97BE3" w:rsidRDefault="00000000">
            <w:r>
              <w:t>A scorecard is like a bank’s admission test. A stronger profile gets a better score, but the test still needs to be designed around the product and the risk it is trying to measure.</w:t>
            </w:r>
          </w:p>
        </w:tc>
      </w:tr>
    </w:tbl>
    <w:p w:rsidR="00F97BE3" w:rsidRDefault="00F97BE3">
      <w:pPr>
        <w:pStyle w:val="Heading1"/>
        <w:spacing w:before="200" w:after="80"/>
      </w:pPr>
    </w:p>
    <w:p w:rsidR="00F97BE3" w:rsidRDefault="00000000">
      <w:r>
        <w:t>Month on books is the number of months since the account was booked. The key idea is that very early months can still look similar to origination. After some time, the borrower’s actual payment behavior starts to matter more.</w:t>
      </w:r>
    </w:p>
    <w:tbl>
      <w:tblPr>
        <w:tblStyle w:val="TableGrid"/>
        <w:tblW w:w="0" w:type="auto"/>
        <w:tblLook w:val="04A0" w:firstRow="1" w:lastRow="0" w:firstColumn="1" w:lastColumn="0" w:noHBand="0" w:noVBand="1"/>
      </w:tblPr>
      <w:tblGrid>
        <w:gridCol w:w="3213"/>
        <w:gridCol w:w="3213"/>
        <w:gridCol w:w="3213"/>
      </w:tblGrid>
      <w:tr w:rsidR="00F97BE3">
        <w:tc>
          <w:tcPr>
            <w:tcW w:w="3213" w:type="dxa"/>
            <w:shd w:val="clear" w:color="auto" w:fill="DCE6F1"/>
            <w:vAlign w:val="center"/>
          </w:tcPr>
          <w:p w:rsidR="00F97BE3" w:rsidRDefault="00000000">
            <w:r>
              <w:rPr>
                <w:b/>
                <w:sz w:val="21"/>
              </w:rPr>
              <w:t>Month on books</w:t>
            </w:r>
          </w:p>
        </w:tc>
        <w:tc>
          <w:tcPr>
            <w:tcW w:w="3213" w:type="dxa"/>
            <w:shd w:val="clear" w:color="auto" w:fill="DCE6F1"/>
            <w:vAlign w:val="center"/>
          </w:tcPr>
          <w:p w:rsidR="00F97BE3" w:rsidRDefault="00000000">
            <w:r>
              <w:rPr>
                <w:b/>
                <w:sz w:val="21"/>
              </w:rPr>
              <w:t>What it means</w:t>
            </w:r>
          </w:p>
        </w:tc>
        <w:tc>
          <w:tcPr>
            <w:tcW w:w="3213" w:type="dxa"/>
            <w:shd w:val="clear" w:color="auto" w:fill="DCE6F1"/>
            <w:vAlign w:val="center"/>
          </w:tcPr>
          <w:p w:rsidR="00F97BE3" w:rsidRDefault="00000000">
            <w:r>
              <w:rPr>
                <w:b/>
                <w:sz w:val="21"/>
              </w:rPr>
              <w:t>Why it is useful</w:t>
            </w:r>
          </w:p>
        </w:tc>
      </w:tr>
      <w:tr w:rsidR="00F97BE3">
        <w:tc>
          <w:tcPr>
            <w:tcW w:w="3213" w:type="dxa"/>
            <w:vAlign w:val="center"/>
          </w:tcPr>
          <w:p w:rsidR="00F97BE3" w:rsidRDefault="00000000">
            <w:r>
              <w:rPr>
                <w:sz w:val="21"/>
              </w:rPr>
              <w:t>Low MOB</w:t>
            </w:r>
          </w:p>
        </w:tc>
        <w:tc>
          <w:tcPr>
            <w:tcW w:w="3213" w:type="dxa"/>
            <w:vAlign w:val="center"/>
          </w:tcPr>
          <w:p w:rsidR="00F97BE3" w:rsidRDefault="00000000">
            <w:r>
              <w:rPr>
                <w:sz w:val="21"/>
              </w:rPr>
              <w:t>Acquisition and behavior can still look similar</w:t>
            </w:r>
          </w:p>
        </w:tc>
        <w:tc>
          <w:tcPr>
            <w:tcW w:w="3213" w:type="dxa"/>
            <w:vAlign w:val="center"/>
          </w:tcPr>
          <w:p w:rsidR="00F97BE3" w:rsidRDefault="00000000">
            <w:r>
              <w:rPr>
                <w:sz w:val="21"/>
              </w:rPr>
              <w:t>Helps reuse behavior PD as a proxy</w:t>
            </w:r>
          </w:p>
        </w:tc>
      </w:tr>
      <w:tr w:rsidR="00F97BE3">
        <w:tc>
          <w:tcPr>
            <w:tcW w:w="3213" w:type="dxa"/>
            <w:vAlign w:val="center"/>
          </w:tcPr>
          <w:p w:rsidR="00F97BE3" w:rsidRDefault="00000000">
            <w:r>
              <w:rPr>
                <w:sz w:val="21"/>
              </w:rPr>
              <w:t>Later MOB</w:t>
            </w:r>
          </w:p>
        </w:tc>
        <w:tc>
          <w:tcPr>
            <w:tcW w:w="3213" w:type="dxa"/>
            <w:vAlign w:val="center"/>
          </w:tcPr>
          <w:p w:rsidR="00F97BE3" w:rsidRDefault="00000000">
            <w:r>
              <w:rPr>
                <w:sz w:val="21"/>
              </w:rPr>
              <w:t>Borrower conduct starts to diverge</w:t>
            </w:r>
          </w:p>
        </w:tc>
        <w:tc>
          <w:tcPr>
            <w:tcW w:w="3213" w:type="dxa"/>
            <w:vAlign w:val="center"/>
          </w:tcPr>
          <w:p w:rsidR="00F97BE3" w:rsidRDefault="00000000">
            <w:r>
              <w:rPr>
                <w:sz w:val="21"/>
              </w:rPr>
              <w:t>Behavior PD becomes more informative</w:t>
            </w:r>
          </w:p>
        </w:tc>
      </w:tr>
      <w:tr w:rsidR="00F97BE3">
        <w:tc>
          <w:tcPr>
            <w:tcW w:w="3213" w:type="dxa"/>
            <w:vAlign w:val="center"/>
          </w:tcPr>
          <w:p w:rsidR="00F97BE3" w:rsidRDefault="00000000">
            <w:r>
              <w:rPr>
                <w:sz w:val="21"/>
              </w:rPr>
              <w:t>Segment level</w:t>
            </w:r>
          </w:p>
        </w:tc>
        <w:tc>
          <w:tcPr>
            <w:tcW w:w="3213" w:type="dxa"/>
            <w:vAlign w:val="center"/>
          </w:tcPr>
          <w:p w:rsidR="00F97BE3" w:rsidRDefault="00000000">
            <w:r>
              <w:rPr>
                <w:sz w:val="21"/>
              </w:rPr>
              <w:t>Cut-off is found for a portfolio segment</w:t>
            </w:r>
          </w:p>
        </w:tc>
        <w:tc>
          <w:tcPr>
            <w:tcW w:w="3213" w:type="dxa"/>
            <w:vAlign w:val="center"/>
          </w:tcPr>
          <w:p w:rsidR="00F97BE3" w:rsidRDefault="00000000">
            <w:r>
              <w:rPr>
                <w:sz w:val="21"/>
              </w:rPr>
              <w:t>Avoids forcing one rule for all accounts</w:t>
            </w:r>
          </w:p>
        </w:tc>
      </w:tr>
    </w:tbl>
    <w:p w:rsidR="00F97BE3" w:rsidRDefault="00000000">
      <w:r>
        <w:t>The example uses a small early-month cut-off to align the two PDs. The exact cut-off is not fixed for every account; it is usually studied at a segment level.</w:t>
      </w:r>
    </w:p>
    <w:p w:rsidR="00F97BE3" w:rsidRDefault="00F97BE3">
      <w:pPr>
        <w:pStyle w:val="Heading1"/>
        <w:spacing w:before="200" w:after="80"/>
      </w:pPr>
    </w:p>
    <w:p w:rsidR="00F97BE3" w:rsidRDefault="00000000">
      <w:r>
        <w:t>IFRS 9 needs a point-in-time PD because provisions must react to current and forecast economic conditions. Basel uses through-the-cycle PD because capital should be more stable and conservative across the business cycle.</w:t>
      </w:r>
    </w:p>
    <w:p w:rsidR="00F97BE3" w:rsidRDefault="00000000">
      <w:pPr>
        <w:jc w:val="center"/>
      </w:pPr>
      <w:r>
        <w:rPr>
          <w:noProof/>
        </w:rPr>
        <w:drawing>
          <wp:inline distT="0" distB="0" distL="0" distR="0">
            <wp:extent cx="5943600" cy="1546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_ttc.png"/>
                    <pic:cNvPicPr/>
                  </pic:nvPicPr>
                  <pic:blipFill>
                    <a:blip r:embed="rId9"/>
                    <a:stretch>
                      <a:fillRect/>
                    </a:stretch>
                  </pic:blipFill>
                  <pic:spPr>
                    <a:xfrm>
                      <a:off x="0" y="0"/>
                      <a:ext cx="5943600" cy="1546485"/>
                    </a:xfrm>
                    <a:prstGeom prst="rect">
                      <a:avLst/>
                    </a:prstGeom>
                  </pic:spPr>
                </pic:pic>
              </a:graphicData>
            </a:graphic>
          </wp:inline>
        </w:drawing>
      </w:r>
    </w:p>
    <w:p w:rsidR="00F97BE3" w:rsidRDefault="00000000">
      <w:pPr>
        <w:jc w:val="center"/>
      </w:pPr>
      <w:r>
        <w:rPr>
          <w:i/>
          <w:sz w:val="18"/>
        </w:rPr>
        <w:t>Figure 4. PIT PD moves with the economy; TTC PD smooths across the cycle.</w:t>
      </w:r>
    </w:p>
    <w:tbl>
      <w:tblPr>
        <w:tblStyle w:val="TableGrid"/>
        <w:tblW w:w="0" w:type="auto"/>
        <w:tblLook w:val="04A0" w:firstRow="1" w:lastRow="0" w:firstColumn="1" w:lastColumn="0" w:noHBand="0" w:noVBand="1"/>
      </w:tblPr>
      <w:tblGrid>
        <w:gridCol w:w="3213"/>
        <w:gridCol w:w="3213"/>
        <w:gridCol w:w="3213"/>
      </w:tblGrid>
      <w:tr w:rsidR="00F97BE3">
        <w:tc>
          <w:tcPr>
            <w:tcW w:w="3213" w:type="dxa"/>
            <w:shd w:val="clear" w:color="auto" w:fill="DCE6F1"/>
            <w:vAlign w:val="center"/>
          </w:tcPr>
          <w:p w:rsidR="00F97BE3" w:rsidRDefault="00000000">
            <w:r>
              <w:rPr>
                <w:b/>
                <w:sz w:val="21"/>
              </w:rPr>
              <w:t>PD type</w:t>
            </w:r>
          </w:p>
        </w:tc>
        <w:tc>
          <w:tcPr>
            <w:tcW w:w="3213" w:type="dxa"/>
            <w:shd w:val="clear" w:color="auto" w:fill="DCE6F1"/>
            <w:vAlign w:val="center"/>
          </w:tcPr>
          <w:p w:rsidR="00F97BE3" w:rsidRDefault="00000000">
            <w:r>
              <w:rPr>
                <w:b/>
                <w:sz w:val="21"/>
              </w:rPr>
              <w:t>Used for</w:t>
            </w:r>
          </w:p>
        </w:tc>
        <w:tc>
          <w:tcPr>
            <w:tcW w:w="3213" w:type="dxa"/>
            <w:shd w:val="clear" w:color="auto" w:fill="DCE6F1"/>
            <w:vAlign w:val="center"/>
          </w:tcPr>
          <w:p w:rsidR="00F97BE3" w:rsidRDefault="00000000">
            <w:r>
              <w:rPr>
                <w:b/>
                <w:sz w:val="21"/>
              </w:rPr>
              <w:t>Plain reason</w:t>
            </w:r>
          </w:p>
        </w:tc>
      </w:tr>
      <w:tr w:rsidR="00F97BE3">
        <w:tc>
          <w:tcPr>
            <w:tcW w:w="3213" w:type="dxa"/>
            <w:vAlign w:val="center"/>
          </w:tcPr>
          <w:p w:rsidR="00F97BE3" w:rsidRDefault="00000000">
            <w:r>
              <w:rPr>
                <w:sz w:val="21"/>
              </w:rPr>
              <w:t>Point-in-time PD</w:t>
            </w:r>
          </w:p>
        </w:tc>
        <w:tc>
          <w:tcPr>
            <w:tcW w:w="3213" w:type="dxa"/>
            <w:vAlign w:val="center"/>
          </w:tcPr>
          <w:p w:rsidR="00F97BE3" w:rsidRDefault="00000000">
            <w:r>
              <w:rPr>
                <w:sz w:val="21"/>
              </w:rPr>
              <w:t>IFRS 9 provisioning</w:t>
            </w:r>
          </w:p>
        </w:tc>
        <w:tc>
          <w:tcPr>
            <w:tcW w:w="3213" w:type="dxa"/>
            <w:vAlign w:val="center"/>
          </w:tcPr>
          <w:p w:rsidR="00F97BE3" w:rsidRDefault="00000000">
            <w:r>
              <w:rPr>
                <w:sz w:val="21"/>
              </w:rPr>
              <w:t>Needs to reflect current macro conditions</w:t>
            </w:r>
          </w:p>
        </w:tc>
      </w:tr>
      <w:tr w:rsidR="00F97BE3">
        <w:tc>
          <w:tcPr>
            <w:tcW w:w="3213" w:type="dxa"/>
            <w:vAlign w:val="center"/>
          </w:tcPr>
          <w:p w:rsidR="00F97BE3" w:rsidRDefault="00000000">
            <w:r>
              <w:rPr>
                <w:sz w:val="21"/>
              </w:rPr>
              <w:t>Through-the-cycle PD</w:t>
            </w:r>
          </w:p>
        </w:tc>
        <w:tc>
          <w:tcPr>
            <w:tcW w:w="3213" w:type="dxa"/>
            <w:vAlign w:val="center"/>
          </w:tcPr>
          <w:p w:rsidR="00F97BE3" w:rsidRDefault="00000000">
            <w:r>
              <w:rPr>
                <w:sz w:val="21"/>
              </w:rPr>
              <w:t>Basel capital</w:t>
            </w:r>
          </w:p>
        </w:tc>
        <w:tc>
          <w:tcPr>
            <w:tcW w:w="3213" w:type="dxa"/>
            <w:vAlign w:val="center"/>
          </w:tcPr>
          <w:p w:rsidR="00F97BE3" w:rsidRDefault="00000000">
            <w:r>
              <w:rPr>
                <w:sz w:val="21"/>
              </w:rPr>
              <w:t>Should stay conservative across the full cycle</w:t>
            </w:r>
          </w:p>
        </w:tc>
      </w:tr>
    </w:tbl>
    <w:p w:rsidR="00F97BE3" w:rsidRDefault="00000000">
      <w:r>
        <w:t>In simple words, provisioning is allowed to move with the weather; capital planning should not swing wildly every time the weather changes.</w:t>
      </w:r>
    </w:p>
    <w:p w:rsidR="00F97BE3" w:rsidRDefault="00F97BE3">
      <w:pPr>
        <w:pStyle w:val="Heading1"/>
        <w:spacing w:before="200" w:after="80"/>
      </w:pPr>
    </w:p>
    <w:p w:rsidR="00F97BE3" w:rsidRDefault="00000000">
      <w:r>
        <w:t>Expected credit loss is presented as PD × LGD × EAD. PD is the chance of default, LGD is the loss severity after recoveries, and EAD is the exposure outstanding at the time of default. For revolving products, the exposure can be more dynamic because credit conversion factors may matter.</w:t>
      </w:r>
    </w:p>
    <w:tbl>
      <w:tblPr>
        <w:tblStyle w:val="TableGrid"/>
        <w:tblW w:w="0" w:type="auto"/>
        <w:tblLook w:val="04A0" w:firstRow="1" w:lastRow="0" w:firstColumn="1" w:lastColumn="0" w:noHBand="0" w:noVBand="1"/>
      </w:tblPr>
      <w:tblGrid>
        <w:gridCol w:w="3213"/>
        <w:gridCol w:w="3213"/>
        <w:gridCol w:w="3213"/>
      </w:tblGrid>
      <w:tr w:rsidR="00F97BE3">
        <w:tc>
          <w:tcPr>
            <w:tcW w:w="3213" w:type="dxa"/>
            <w:shd w:val="clear" w:color="auto" w:fill="DCE6F1"/>
            <w:vAlign w:val="center"/>
          </w:tcPr>
          <w:p w:rsidR="00F97BE3" w:rsidRDefault="00000000">
            <w:r>
              <w:rPr>
                <w:b/>
                <w:sz w:val="21"/>
              </w:rPr>
              <w:t>Component</w:t>
            </w:r>
          </w:p>
        </w:tc>
        <w:tc>
          <w:tcPr>
            <w:tcW w:w="3213" w:type="dxa"/>
            <w:shd w:val="clear" w:color="auto" w:fill="DCE6F1"/>
            <w:vAlign w:val="center"/>
          </w:tcPr>
          <w:p w:rsidR="00F97BE3" w:rsidRDefault="00000000">
            <w:r>
              <w:rPr>
                <w:b/>
                <w:sz w:val="21"/>
              </w:rPr>
              <w:t>Meaning</w:t>
            </w:r>
          </w:p>
        </w:tc>
        <w:tc>
          <w:tcPr>
            <w:tcW w:w="3213" w:type="dxa"/>
            <w:shd w:val="clear" w:color="auto" w:fill="DCE6F1"/>
            <w:vAlign w:val="center"/>
          </w:tcPr>
          <w:p w:rsidR="00F97BE3" w:rsidRDefault="00000000">
            <w:r>
              <w:rPr>
                <w:b/>
                <w:sz w:val="21"/>
              </w:rPr>
              <w:t>Simple question</w:t>
            </w:r>
          </w:p>
        </w:tc>
      </w:tr>
      <w:tr w:rsidR="00F97BE3">
        <w:tc>
          <w:tcPr>
            <w:tcW w:w="3213" w:type="dxa"/>
            <w:vAlign w:val="center"/>
          </w:tcPr>
          <w:p w:rsidR="00F97BE3" w:rsidRDefault="00000000">
            <w:r>
              <w:rPr>
                <w:sz w:val="21"/>
              </w:rPr>
              <w:t>PD</w:t>
            </w:r>
          </w:p>
        </w:tc>
        <w:tc>
          <w:tcPr>
            <w:tcW w:w="3213" w:type="dxa"/>
            <w:vAlign w:val="center"/>
          </w:tcPr>
          <w:p w:rsidR="00F97BE3" w:rsidRDefault="00000000">
            <w:r>
              <w:rPr>
                <w:sz w:val="21"/>
              </w:rPr>
              <w:t>Probability of default</w:t>
            </w:r>
          </w:p>
        </w:tc>
        <w:tc>
          <w:tcPr>
            <w:tcW w:w="3213" w:type="dxa"/>
            <w:vAlign w:val="center"/>
          </w:tcPr>
          <w:p w:rsidR="00F97BE3" w:rsidRDefault="00000000">
            <w:r>
              <w:rPr>
                <w:sz w:val="21"/>
              </w:rPr>
              <w:t>Will the borrower default?</w:t>
            </w:r>
          </w:p>
        </w:tc>
      </w:tr>
      <w:tr w:rsidR="00F97BE3">
        <w:tc>
          <w:tcPr>
            <w:tcW w:w="3213" w:type="dxa"/>
            <w:vAlign w:val="center"/>
          </w:tcPr>
          <w:p w:rsidR="00F97BE3" w:rsidRDefault="00000000">
            <w:r>
              <w:rPr>
                <w:sz w:val="21"/>
              </w:rPr>
              <w:t>LGD</w:t>
            </w:r>
          </w:p>
        </w:tc>
        <w:tc>
          <w:tcPr>
            <w:tcW w:w="3213" w:type="dxa"/>
            <w:vAlign w:val="center"/>
          </w:tcPr>
          <w:p w:rsidR="00F97BE3" w:rsidRDefault="00000000">
            <w:r>
              <w:rPr>
                <w:sz w:val="21"/>
              </w:rPr>
              <w:t>Loss given default</w:t>
            </w:r>
          </w:p>
        </w:tc>
        <w:tc>
          <w:tcPr>
            <w:tcW w:w="3213" w:type="dxa"/>
            <w:vAlign w:val="center"/>
          </w:tcPr>
          <w:p w:rsidR="00F97BE3" w:rsidRDefault="00000000">
            <w:r>
              <w:rPr>
                <w:sz w:val="21"/>
              </w:rPr>
              <w:t>How much is lost after recovery?</w:t>
            </w:r>
          </w:p>
        </w:tc>
      </w:tr>
      <w:tr w:rsidR="00F97BE3">
        <w:tc>
          <w:tcPr>
            <w:tcW w:w="3213" w:type="dxa"/>
            <w:vAlign w:val="center"/>
          </w:tcPr>
          <w:p w:rsidR="00F97BE3" w:rsidRDefault="00000000">
            <w:r>
              <w:rPr>
                <w:sz w:val="21"/>
              </w:rPr>
              <w:lastRenderedPageBreak/>
              <w:t>EAD</w:t>
            </w:r>
          </w:p>
        </w:tc>
        <w:tc>
          <w:tcPr>
            <w:tcW w:w="3213" w:type="dxa"/>
            <w:vAlign w:val="center"/>
          </w:tcPr>
          <w:p w:rsidR="00F97BE3" w:rsidRDefault="00000000">
            <w:r>
              <w:rPr>
                <w:sz w:val="21"/>
              </w:rPr>
              <w:t>Exposure at default</w:t>
            </w:r>
          </w:p>
        </w:tc>
        <w:tc>
          <w:tcPr>
            <w:tcW w:w="3213" w:type="dxa"/>
            <w:vAlign w:val="center"/>
          </w:tcPr>
          <w:p w:rsidR="00F97BE3" w:rsidRDefault="00000000">
            <w:r>
              <w:rPr>
                <w:sz w:val="21"/>
              </w:rPr>
              <w:t>How much is outstanding when default happens?</w:t>
            </w:r>
          </w:p>
        </w:tc>
      </w:tr>
    </w:tbl>
    <w:p w:rsidR="00F97BE3" w:rsidRDefault="00000000">
      <w:r>
        <w:t>A straightforward worked example was not fully developed in the session, so the formula is the main point to keep from this week.</w:t>
      </w:r>
    </w:p>
    <w:p w:rsidR="00F97BE3" w:rsidRDefault="00F97BE3">
      <w:pPr>
        <w:pStyle w:val="Heading1"/>
        <w:spacing w:before="200" w:after="80"/>
      </w:pPr>
    </w:p>
    <w:p w:rsidR="00F97BE3" w:rsidRDefault="00000000">
      <w:pPr>
        <w:pStyle w:val="ListBullet"/>
      </w:pPr>
      <w:r>
        <w:t>IFRS 9 is about expected loss provisioning, not capital adequacy.</w:t>
      </w:r>
    </w:p>
    <w:p w:rsidR="00F97BE3" w:rsidRDefault="00000000">
      <w:pPr>
        <w:pStyle w:val="ListBullet"/>
      </w:pPr>
      <w:r>
        <w:t>Stage 1 uses 12-month ECL; Stage 2 and Stage 3 use lifetime ECL.</w:t>
      </w:r>
    </w:p>
    <w:p w:rsidR="00F97BE3" w:rsidRDefault="00000000">
      <w:pPr>
        <w:pStyle w:val="ListBullet"/>
      </w:pPr>
      <w:r>
        <w:t>SICR is the bridge from Stage 1 to Stage 2.</w:t>
      </w:r>
    </w:p>
    <w:p w:rsidR="00F97BE3" w:rsidRDefault="00000000">
      <w:pPr>
        <w:pStyle w:val="ListBullet"/>
      </w:pPr>
      <w:r>
        <w:t>Acquisition PD and behavior PD often need a month-on-books bridge before they can be compared.</w:t>
      </w:r>
    </w:p>
    <w:p w:rsidR="00F97BE3" w:rsidRDefault="00000000">
      <w:pPr>
        <w:pStyle w:val="ListBullet"/>
      </w:pPr>
      <w:r>
        <w:t>IFRS 9 uses point-in-time PD because provisioning must react to macro conditions.</w:t>
      </w:r>
    </w:p>
    <w:p w:rsidR="00F97BE3" w:rsidRDefault="00000000">
      <w:pPr>
        <w:pStyle w:val="ListBullet"/>
      </w:pPr>
      <w:r>
        <w:t>Basel uses through-the-cycle PD because capital should remain conservative across the full cycle.</w:t>
      </w:r>
    </w:p>
    <w:sectPr w:rsidR="00F97BE3"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052479">
    <w:abstractNumId w:val="8"/>
  </w:num>
  <w:num w:numId="2" w16cid:durableId="858736296">
    <w:abstractNumId w:val="6"/>
  </w:num>
  <w:num w:numId="3" w16cid:durableId="1161507994">
    <w:abstractNumId w:val="5"/>
  </w:num>
  <w:num w:numId="4" w16cid:durableId="298658230">
    <w:abstractNumId w:val="4"/>
  </w:num>
  <w:num w:numId="5" w16cid:durableId="1329553068">
    <w:abstractNumId w:val="7"/>
  </w:num>
  <w:num w:numId="6" w16cid:durableId="693775791">
    <w:abstractNumId w:val="3"/>
  </w:num>
  <w:num w:numId="7" w16cid:durableId="1777172302">
    <w:abstractNumId w:val="2"/>
  </w:num>
  <w:num w:numId="8" w16cid:durableId="712652828">
    <w:abstractNumId w:val="1"/>
  </w:num>
  <w:num w:numId="9" w16cid:durableId="72510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C80"/>
    <w:rsid w:val="00326F90"/>
    <w:rsid w:val="00442791"/>
    <w:rsid w:val="00820FCC"/>
    <w:rsid w:val="00AA1D8D"/>
    <w:rsid w:val="00B47730"/>
    <w:rsid w:val="00CB0664"/>
    <w:rsid w:val="00F97B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AB0B4"/>
  <w14:defaultImageDpi w14:val="300"/>
  <w15:docId w15:val="{09F4E187-FAE3-C941-B6B0-EC8A038F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Tiwari</cp:lastModifiedBy>
  <cp:revision>3</cp:revision>
  <cp:lastPrinted>2026-04-24T07:44:00Z</cp:lastPrinted>
  <dcterms:created xsi:type="dcterms:W3CDTF">2026-04-24T07:44:00Z</dcterms:created>
  <dcterms:modified xsi:type="dcterms:W3CDTF">2026-04-24T07:44:00Z</dcterms:modified>
  <cp:category/>
</cp:coreProperties>
</file>