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06256" w:rsidRDefault="00000000">
      <w:pPr>
        <w:jc w:val="center"/>
      </w:pPr>
      <w:r>
        <w:rPr>
          <w:b/>
          <w:sz w:val="36"/>
        </w:rPr>
        <w:t xml:space="preserve">IFRS 9 </w:t>
      </w:r>
      <w:r w:rsidR="004E7811">
        <w:rPr>
          <w:b/>
          <w:sz w:val="36"/>
        </w:rPr>
        <w:t>Week 3</w:t>
      </w:r>
    </w:p>
    <w:p w:rsidR="00506256" w:rsidRDefault="00506256"/>
    <w:p w:rsidR="00506256" w:rsidRDefault="00000000">
      <w:pPr>
        <w:pStyle w:val="Heading1"/>
      </w:pPr>
      <w:r>
        <w:t>Big picture: Basel, IFRS 9, and CECL</w:t>
      </w:r>
    </w:p>
    <w:p w:rsidR="004E7811" w:rsidRDefault="00000000">
      <w:r>
        <w:t xml:space="preserve">These three frameworks are often mixed together, but they serve different jobs inside a bank. </w:t>
      </w:r>
    </w:p>
    <w:p w:rsidR="00E84AEF" w:rsidRDefault="00E84AEF" w:rsidP="00E84AEF">
      <w:r>
        <w:rPr>
          <w:b/>
        </w:rPr>
        <w:t xml:space="preserve">IFRS 9 is about provisioning </w:t>
      </w:r>
      <w:r>
        <w:t>— setting aside money for expected losses. Basel is about capital adequacy — holding capital for unexpected losses. The two frameworks are related, but they solve different problems. CECL is the US GAAP counterpart discussed in the module.</w:t>
      </w:r>
    </w:p>
    <w:p w:rsidR="00E84AEF" w:rsidRDefault="00E84AEF">
      <w:r>
        <w:t>B</w:t>
      </w:r>
      <w:r w:rsidR="00000000">
        <w:t>asel is about capital.</w:t>
      </w:r>
    </w:p>
    <w:p w:rsidR="00E84AEF" w:rsidRDefault="00000000">
      <w:r>
        <w:t xml:space="preserve"> IFRS 9 is about provisioning. </w:t>
      </w:r>
    </w:p>
    <w:p w:rsidR="00506256" w:rsidRDefault="00000000">
      <w:r>
        <w:t>CECL is the US expected-loss provisioning approach.</w:t>
      </w:r>
    </w:p>
    <w:tbl>
      <w:tblPr>
        <w:tblStyle w:val="TableGrid"/>
        <w:tblW w:w="0" w:type="auto"/>
        <w:jc w:val="center"/>
        <w:tblLook w:val="04A0" w:firstRow="1" w:lastRow="0" w:firstColumn="1" w:lastColumn="0" w:noHBand="0" w:noVBand="1"/>
      </w:tblPr>
      <w:tblGrid>
        <w:gridCol w:w="1871"/>
        <w:gridCol w:w="2877"/>
        <w:gridCol w:w="5466"/>
      </w:tblGrid>
      <w:tr w:rsidR="00506256">
        <w:trPr>
          <w:jc w:val="center"/>
        </w:trPr>
        <w:tc>
          <w:tcPr>
            <w:tcW w:w="1872" w:type="dxa"/>
            <w:shd w:val="clear" w:color="auto" w:fill="D9EAF7"/>
            <w:tcMar>
              <w:top w:w="80" w:type="dxa"/>
              <w:left w:w="80" w:type="dxa"/>
              <w:bottom w:w="80" w:type="dxa"/>
              <w:right w:w="80" w:type="dxa"/>
            </w:tcMar>
            <w:vAlign w:val="center"/>
          </w:tcPr>
          <w:p w:rsidR="00506256" w:rsidRDefault="00000000">
            <w:r>
              <w:rPr>
                <w:b/>
                <w:sz w:val="19"/>
              </w:rPr>
              <w:t>Framework</w:t>
            </w:r>
          </w:p>
        </w:tc>
        <w:tc>
          <w:tcPr>
            <w:tcW w:w="2880" w:type="dxa"/>
            <w:shd w:val="clear" w:color="auto" w:fill="D9EAF7"/>
            <w:tcMar>
              <w:top w:w="80" w:type="dxa"/>
              <w:left w:w="80" w:type="dxa"/>
              <w:bottom w:w="80" w:type="dxa"/>
              <w:right w:w="80" w:type="dxa"/>
            </w:tcMar>
            <w:vAlign w:val="center"/>
          </w:tcPr>
          <w:p w:rsidR="00506256" w:rsidRDefault="00000000">
            <w:r>
              <w:rPr>
                <w:b/>
                <w:sz w:val="19"/>
              </w:rPr>
              <w:t>Main purpose</w:t>
            </w:r>
          </w:p>
        </w:tc>
        <w:tc>
          <w:tcPr>
            <w:tcW w:w="5472" w:type="dxa"/>
            <w:shd w:val="clear" w:color="auto" w:fill="D9EAF7"/>
            <w:tcMar>
              <w:top w:w="80" w:type="dxa"/>
              <w:left w:w="80" w:type="dxa"/>
              <w:bottom w:w="80" w:type="dxa"/>
              <w:right w:w="80" w:type="dxa"/>
            </w:tcMar>
            <w:vAlign w:val="center"/>
          </w:tcPr>
          <w:p w:rsidR="00506256" w:rsidRDefault="00000000">
            <w:r>
              <w:rPr>
                <w:b/>
                <w:sz w:val="19"/>
              </w:rPr>
              <w:t>Simple idea</w:t>
            </w:r>
          </w:p>
        </w:tc>
      </w:tr>
      <w:tr w:rsidR="00506256">
        <w:trPr>
          <w:jc w:val="center"/>
        </w:trPr>
        <w:tc>
          <w:tcPr>
            <w:tcW w:w="1872" w:type="dxa"/>
            <w:tcMar>
              <w:top w:w="80" w:type="dxa"/>
              <w:left w:w="80" w:type="dxa"/>
              <w:bottom w:w="80" w:type="dxa"/>
              <w:right w:w="80" w:type="dxa"/>
            </w:tcMar>
            <w:vAlign w:val="center"/>
          </w:tcPr>
          <w:p w:rsidR="00506256" w:rsidRDefault="00000000">
            <w:r>
              <w:rPr>
                <w:sz w:val="19"/>
              </w:rPr>
              <w:t>Basel</w:t>
            </w:r>
          </w:p>
        </w:tc>
        <w:tc>
          <w:tcPr>
            <w:tcW w:w="2880" w:type="dxa"/>
            <w:tcMar>
              <w:top w:w="80" w:type="dxa"/>
              <w:left w:w="80" w:type="dxa"/>
              <w:bottom w:w="80" w:type="dxa"/>
              <w:right w:w="80" w:type="dxa"/>
            </w:tcMar>
            <w:vAlign w:val="center"/>
          </w:tcPr>
          <w:p w:rsidR="00506256" w:rsidRDefault="00000000">
            <w:r>
              <w:rPr>
                <w:sz w:val="19"/>
              </w:rPr>
              <w:t>Capital adequacy</w:t>
            </w:r>
          </w:p>
        </w:tc>
        <w:tc>
          <w:tcPr>
            <w:tcW w:w="5472" w:type="dxa"/>
            <w:tcMar>
              <w:top w:w="80" w:type="dxa"/>
              <w:left w:w="80" w:type="dxa"/>
              <w:bottom w:w="80" w:type="dxa"/>
              <w:right w:w="80" w:type="dxa"/>
            </w:tcMar>
            <w:vAlign w:val="center"/>
          </w:tcPr>
          <w:p w:rsidR="00506256" w:rsidRDefault="00000000">
            <w:r>
              <w:rPr>
                <w:sz w:val="19"/>
              </w:rPr>
              <w:t>How much capital should the bank hold for unexpected loss?</w:t>
            </w:r>
          </w:p>
        </w:tc>
      </w:tr>
      <w:tr w:rsidR="00506256">
        <w:trPr>
          <w:jc w:val="center"/>
        </w:trPr>
        <w:tc>
          <w:tcPr>
            <w:tcW w:w="1872" w:type="dxa"/>
            <w:tcMar>
              <w:top w:w="80" w:type="dxa"/>
              <w:left w:w="80" w:type="dxa"/>
              <w:bottom w:w="80" w:type="dxa"/>
              <w:right w:w="80" w:type="dxa"/>
            </w:tcMar>
            <w:vAlign w:val="center"/>
          </w:tcPr>
          <w:p w:rsidR="00506256" w:rsidRDefault="00000000">
            <w:r>
              <w:rPr>
                <w:sz w:val="19"/>
              </w:rPr>
              <w:t>IFRS 9</w:t>
            </w:r>
          </w:p>
        </w:tc>
        <w:tc>
          <w:tcPr>
            <w:tcW w:w="2880" w:type="dxa"/>
            <w:tcMar>
              <w:top w:w="80" w:type="dxa"/>
              <w:left w:w="80" w:type="dxa"/>
              <w:bottom w:w="80" w:type="dxa"/>
              <w:right w:w="80" w:type="dxa"/>
            </w:tcMar>
            <w:vAlign w:val="center"/>
          </w:tcPr>
          <w:p w:rsidR="00506256" w:rsidRDefault="00000000">
            <w:r>
              <w:rPr>
                <w:sz w:val="19"/>
              </w:rPr>
              <w:t>Provisioning</w:t>
            </w:r>
          </w:p>
        </w:tc>
        <w:tc>
          <w:tcPr>
            <w:tcW w:w="5472" w:type="dxa"/>
            <w:tcMar>
              <w:top w:w="80" w:type="dxa"/>
              <w:left w:w="80" w:type="dxa"/>
              <w:bottom w:w="80" w:type="dxa"/>
              <w:right w:w="80" w:type="dxa"/>
            </w:tcMar>
            <w:vAlign w:val="center"/>
          </w:tcPr>
          <w:p w:rsidR="00506256" w:rsidRDefault="00000000">
            <w:r>
              <w:rPr>
                <w:sz w:val="19"/>
              </w:rPr>
              <w:t>How much expected credit loss should the bank recognize now?</w:t>
            </w:r>
          </w:p>
        </w:tc>
      </w:tr>
      <w:tr w:rsidR="00506256">
        <w:trPr>
          <w:jc w:val="center"/>
        </w:trPr>
        <w:tc>
          <w:tcPr>
            <w:tcW w:w="1872" w:type="dxa"/>
            <w:tcMar>
              <w:top w:w="80" w:type="dxa"/>
              <w:left w:w="80" w:type="dxa"/>
              <w:bottom w:w="80" w:type="dxa"/>
              <w:right w:w="80" w:type="dxa"/>
            </w:tcMar>
            <w:vAlign w:val="center"/>
          </w:tcPr>
          <w:p w:rsidR="00506256" w:rsidRDefault="00000000">
            <w:r>
              <w:rPr>
                <w:sz w:val="19"/>
              </w:rPr>
              <w:t>CECL</w:t>
            </w:r>
          </w:p>
        </w:tc>
        <w:tc>
          <w:tcPr>
            <w:tcW w:w="2880" w:type="dxa"/>
            <w:tcMar>
              <w:top w:w="80" w:type="dxa"/>
              <w:left w:w="80" w:type="dxa"/>
              <w:bottom w:w="80" w:type="dxa"/>
              <w:right w:w="80" w:type="dxa"/>
            </w:tcMar>
            <w:vAlign w:val="center"/>
          </w:tcPr>
          <w:p w:rsidR="00506256" w:rsidRDefault="00000000">
            <w:r>
              <w:rPr>
                <w:sz w:val="19"/>
              </w:rPr>
              <w:t>US provisioning</w:t>
            </w:r>
          </w:p>
        </w:tc>
        <w:tc>
          <w:tcPr>
            <w:tcW w:w="5472" w:type="dxa"/>
            <w:tcMar>
              <w:top w:w="80" w:type="dxa"/>
              <w:left w:w="80" w:type="dxa"/>
              <w:bottom w:w="80" w:type="dxa"/>
              <w:right w:w="80" w:type="dxa"/>
            </w:tcMar>
            <w:vAlign w:val="center"/>
          </w:tcPr>
          <w:p w:rsidR="00506256" w:rsidRDefault="00000000">
            <w:r>
              <w:rPr>
                <w:sz w:val="19"/>
              </w:rPr>
              <w:t>The US counterpart in the expected-loss world.</w:t>
            </w:r>
          </w:p>
        </w:tc>
      </w:tr>
    </w:tbl>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t>Analogy</w:t>
            </w:r>
          </w:p>
          <w:p w:rsidR="00506256" w:rsidRDefault="00000000">
            <w:pPr>
              <w:spacing w:after="0"/>
            </w:pPr>
            <w:r>
              <w:t>Think of Basel as the safety helmet, IFRS 9 as the insurance for likely damage, and CECL as the US version of the insurance logic.</w:t>
            </w:r>
          </w:p>
          <w:p w:rsidR="00E84AEF" w:rsidRDefault="00E84AEF">
            <w:pPr>
              <w:spacing w:after="0"/>
            </w:pPr>
            <w:r>
              <w:t>IFRS 9 is the bank’s rainy-day fund for losses that are expected to happen. Basel is the stronger wall that protects the bank when something worse than expected happens.</w:t>
            </w:r>
          </w:p>
        </w:tc>
      </w:tr>
    </w:tbl>
    <w:p w:rsidR="00506256" w:rsidRDefault="00506256"/>
    <w:p w:rsidR="00506256" w:rsidRDefault="00000000">
      <w:r>
        <w:rPr>
          <w:noProof/>
        </w:rPr>
        <w:drawing>
          <wp:inline distT="0" distB="0" distL="0" distR="0">
            <wp:extent cx="6309360" cy="1564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rs9_flow.png"/>
                    <pic:cNvPicPr/>
                  </pic:nvPicPr>
                  <pic:blipFill>
                    <a:blip r:embed="rId6"/>
                    <a:stretch>
                      <a:fillRect/>
                    </a:stretch>
                  </pic:blipFill>
                  <pic:spPr>
                    <a:xfrm>
                      <a:off x="0" y="0"/>
                      <a:ext cx="6309360" cy="1564057"/>
                    </a:xfrm>
                    <a:prstGeom prst="rect">
                      <a:avLst/>
                    </a:prstGeom>
                  </pic:spPr>
                </pic:pic>
              </a:graphicData>
            </a:graphic>
          </wp:inline>
        </w:drawing>
      </w:r>
    </w:p>
    <w:p w:rsidR="004E7811" w:rsidRDefault="004E7811" w:rsidP="004E7811">
      <w:pPr>
        <w:pStyle w:val="Heading2"/>
      </w:pPr>
      <w:r>
        <w:t>The big picture in CIB</w:t>
      </w:r>
    </w:p>
    <w:p w:rsidR="004E7811" w:rsidRDefault="004E7811" w:rsidP="004E7811">
      <w:pPr>
        <w:spacing w:after="80"/>
      </w:pPr>
      <w:r>
        <w:rPr>
          <w:rFonts w:ascii="Aptos" w:eastAsia="Aptos" w:hAnsi="Aptos"/>
        </w:rPr>
        <w:t xml:space="preserve">In Corporate and Institutional Banking, IFRS 9 is not mainly about missed EMIs. It is about whether a corporate borrower is getting weaker, whether its default risk has increased, and how much loss the bank should </w:t>
      </w:r>
      <w:proofErr w:type="spellStart"/>
      <w:r>
        <w:rPr>
          <w:rFonts w:ascii="Aptos" w:eastAsia="Aptos" w:hAnsi="Aptos"/>
        </w:rPr>
        <w:t>recognise</w:t>
      </w:r>
      <w:proofErr w:type="spellEnd"/>
      <w:r>
        <w:rPr>
          <w:rFonts w:ascii="Aptos" w:eastAsia="Aptos" w:hAnsi="Aptos"/>
        </w:rPr>
        <w:t xml:space="preserve"> early through provisions.</w:t>
      </w:r>
    </w:p>
    <w:p w:rsidR="004E7811" w:rsidRDefault="004E7811" w:rsidP="004E7811">
      <w:pPr>
        <w:spacing w:after="80"/>
        <w:rPr>
          <w:rFonts w:ascii="Aptos" w:eastAsia="Aptos" w:hAnsi="Aptos"/>
        </w:rPr>
      </w:pPr>
      <w:r>
        <w:rPr>
          <w:rFonts w:ascii="Aptos" w:eastAsia="Aptos" w:hAnsi="Aptos"/>
        </w:rPr>
        <w:t>The framework is the same as in retail, but the signals are different. In CIB, the bank watches internal risk ratings, covenant performance, financial ratios, account conduct, restructuring requests, and credit committee decisions.</w:t>
      </w:r>
    </w:p>
    <w:p w:rsidR="004E7811" w:rsidRDefault="004E7811" w:rsidP="004E7811">
      <w:pPr>
        <w:spacing w:after="80"/>
      </w:pPr>
    </w:p>
    <w:tbl>
      <w:tblPr>
        <w:tblW w:w="0" w:type="auto"/>
        <w:jc w:val="center"/>
        <w:tblLook w:val="04A0" w:firstRow="1" w:lastRow="0" w:firstColumn="1" w:lastColumn="0" w:noHBand="0" w:noVBand="1"/>
      </w:tblPr>
      <w:tblGrid>
        <w:gridCol w:w="9936"/>
      </w:tblGrid>
      <w:tr w:rsidR="004E7811" w:rsidTr="000C2DAD">
        <w:trPr>
          <w:jc w:val="center"/>
        </w:trPr>
        <w:tc>
          <w:tcPr>
            <w:tcW w:w="9936" w:type="dxa"/>
            <w:shd w:val="clear" w:color="auto" w:fill="EEF5EA"/>
            <w:tcMar>
              <w:top w:w="140" w:type="dxa"/>
              <w:left w:w="140" w:type="dxa"/>
              <w:bottom w:w="140" w:type="dxa"/>
              <w:right w:w="140" w:type="dxa"/>
            </w:tcMar>
          </w:tcPr>
          <w:p w:rsidR="004E7811" w:rsidRDefault="004E7811" w:rsidP="000C2DAD">
            <w:pPr>
              <w:spacing w:after="80"/>
            </w:pPr>
            <w:r>
              <w:rPr>
                <w:b/>
                <w:color w:val="1F4E79"/>
                <w:sz w:val="23"/>
              </w:rPr>
              <w:t>Plain-English idea</w:t>
            </w:r>
          </w:p>
          <w:p w:rsidR="004E7811" w:rsidRDefault="004E7811" w:rsidP="000C2DAD">
            <w:pPr>
              <w:spacing w:after="40"/>
            </w:pPr>
            <w:r>
              <w:rPr>
                <w:sz w:val="20"/>
              </w:rPr>
              <w:t>Retail asks: 'Has the borrower missed payments?'</w:t>
            </w:r>
          </w:p>
          <w:p w:rsidR="004E7811" w:rsidRDefault="004E7811" w:rsidP="000C2DAD">
            <w:pPr>
              <w:spacing w:after="40"/>
            </w:pPr>
            <w:r>
              <w:rPr>
                <w:sz w:val="20"/>
              </w:rPr>
              <w:t>CIB asks: 'Has this corporate name become materially riskier compared with when we first booked it?'</w:t>
            </w:r>
          </w:p>
        </w:tc>
      </w:tr>
    </w:tbl>
    <w:p w:rsidR="004E7811" w:rsidRDefault="004E7811" w:rsidP="004E7811">
      <w:pPr>
        <w:pStyle w:val="Heading1"/>
        <w:spacing w:before="160" w:after="80"/>
      </w:pPr>
      <w:r>
        <w:rPr>
          <w:color w:val="1F4E79"/>
          <w:sz w:val="30"/>
        </w:rPr>
        <w:t>Core mapping: Risk Rating -&gt; PD -&gt; Stage -&gt; ECL</w:t>
      </w:r>
    </w:p>
    <w:tbl>
      <w:tblPr>
        <w:tblStyle w:val="TableGrid"/>
        <w:tblW w:w="0" w:type="auto"/>
        <w:jc w:val="center"/>
        <w:tblLayout w:type="fixed"/>
        <w:tblLook w:val="04A0" w:firstRow="1" w:lastRow="0" w:firstColumn="1" w:lastColumn="0" w:noHBand="0" w:noVBand="1"/>
      </w:tblPr>
      <w:tblGrid>
        <w:gridCol w:w="1440"/>
        <w:gridCol w:w="2592"/>
        <w:gridCol w:w="2304"/>
        <w:gridCol w:w="3456"/>
      </w:tblGrid>
      <w:tr w:rsidR="004E7811" w:rsidTr="000C2DAD">
        <w:trPr>
          <w:jc w:val="center"/>
        </w:trPr>
        <w:tc>
          <w:tcPr>
            <w:tcW w:w="1440" w:type="dxa"/>
            <w:shd w:val="clear" w:color="auto" w:fill="1F4E79"/>
            <w:tcMar>
              <w:top w:w="70" w:type="dxa"/>
              <w:left w:w="70" w:type="dxa"/>
              <w:bottom w:w="70" w:type="dxa"/>
              <w:right w:w="70" w:type="dxa"/>
            </w:tcMar>
            <w:vAlign w:val="center"/>
          </w:tcPr>
          <w:p w:rsidR="004E7811" w:rsidRDefault="004E7811" w:rsidP="000C2DAD">
            <w:pPr>
              <w:jc w:val="center"/>
            </w:pPr>
            <w:r>
              <w:rPr>
                <w:rFonts w:ascii="Aptos" w:eastAsia="Aptos" w:hAnsi="Aptos"/>
                <w:b/>
                <w:color w:val="FFFFFF"/>
                <w:sz w:val="18"/>
              </w:rPr>
              <w:t>Step</w:t>
            </w:r>
          </w:p>
        </w:tc>
        <w:tc>
          <w:tcPr>
            <w:tcW w:w="2592" w:type="dxa"/>
            <w:shd w:val="clear" w:color="auto" w:fill="1F4E79"/>
            <w:tcMar>
              <w:top w:w="70" w:type="dxa"/>
              <w:left w:w="70" w:type="dxa"/>
              <w:bottom w:w="70" w:type="dxa"/>
              <w:right w:w="70" w:type="dxa"/>
            </w:tcMar>
            <w:vAlign w:val="center"/>
          </w:tcPr>
          <w:p w:rsidR="004E7811" w:rsidRDefault="004E7811" w:rsidP="000C2DAD">
            <w:pPr>
              <w:jc w:val="center"/>
            </w:pPr>
            <w:r>
              <w:rPr>
                <w:rFonts w:ascii="Aptos" w:eastAsia="Aptos" w:hAnsi="Aptos"/>
                <w:b/>
                <w:color w:val="FFFFFF"/>
                <w:sz w:val="18"/>
              </w:rPr>
              <w:t>What it means</w:t>
            </w:r>
          </w:p>
        </w:tc>
        <w:tc>
          <w:tcPr>
            <w:tcW w:w="2304" w:type="dxa"/>
            <w:shd w:val="clear" w:color="auto" w:fill="1F4E79"/>
            <w:tcMar>
              <w:top w:w="70" w:type="dxa"/>
              <w:left w:w="70" w:type="dxa"/>
              <w:bottom w:w="70" w:type="dxa"/>
              <w:right w:w="70" w:type="dxa"/>
            </w:tcMar>
            <w:vAlign w:val="center"/>
          </w:tcPr>
          <w:p w:rsidR="004E7811" w:rsidRDefault="004E7811" w:rsidP="000C2DAD">
            <w:pPr>
              <w:jc w:val="center"/>
            </w:pPr>
            <w:r>
              <w:rPr>
                <w:rFonts w:ascii="Aptos" w:eastAsia="Aptos" w:hAnsi="Aptos"/>
                <w:b/>
                <w:color w:val="FFFFFF"/>
                <w:sz w:val="18"/>
              </w:rPr>
              <w:t>CIB example</w:t>
            </w:r>
          </w:p>
        </w:tc>
        <w:tc>
          <w:tcPr>
            <w:tcW w:w="3456" w:type="dxa"/>
            <w:shd w:val="clear" w:color="auto" w:fill="1F4E79"/>
            <w:tcMar>
              <w:top w:w="70" w:type="dxa"/>
              <w:left w:w="70" w:type="dxa"/>
              <w:bottom w:w="70" w:type="dxa"/>
              <w:right w:w="70" w:type="dxa"/>
            </w:tcMar>
            <w:vAlign w:val="center"/>
          </w:tcPr>
          <w:p w:rsidR="004E7811" w:rsidRDefault="004E7811" w:rsidP="000C2DAD">
            <w:pPr>
              <w:jc w:val="center"/>
            </w:pPr>
            <w:r>
              <w:rPr>
                <w:rFonts w:ascii="Aptos" w:eastAsia="Aptos" w:hAnsi="Aptos"/>
                <w:b/>
                <w:color w:val="FFFFFF"/>
                <w:sz w:val="18"/>
              </w:rPr>
              <w:t>Why it matters</w:t>
            </w:r>
          </w:p>
        </w:tc>
      </w:tr>
      <w:tr w:rsidR="004E7811" w:rsidTr="000C2DAD">
        <w:trPr>
          <w:jc w:val="center"/>
        </w:trPr>
        <w:tc>
          <w:tcPr>
            <w:tcW w:w="1440" w:type="dxa"/>
            <w:tcMar>
              <w:top w:w="70" w:type="dxa"/>
              <w:left w:w="70" w:type="dxa"/>
              <w:bottom w:w="70" w:type="dxa"/>
              <w:right w:w="70" w:type="dxa"/>
            </w:tcMar>
            <w:vAlign w:val="center"/>
          </w:tcPr>
          <w:p w:rsidR="004E7811" w:rsidRDefault="004E7811" w:rsidP="000C2DAD">
            <w:pPr>
              <w:jc w:val="center"/>
            </w:pPr>
            <w:r>
              <w:rPr>
                <w:rFonts w:ascii="Aptos" w:eastAsia="Aptos" w:hAnsi="Aptos"/>
                <w:sz w:val="18"/>
              </w:rPr>
              <w:t>Risk rating</w:t>
            </w:r>
          </w:p>
        </w:tc>
        <w:tc>
          <w:tcPr>
            <w:tcW w:w="2592" w:type="dxa"/>
            <w:tcMar>
              <w:top w:w="70" w:type="dxa"/>
              <w:left w:w="70" w:type="dxa"/>
              <w:bottom w:w="70" w:type="dxa"/>
              <w:right w:w="70" w:type="dxa"/>
            </w:tcMar>
            <w:vAlign w:val="center"/>
          </w:tcPr>
          <w:p w:rsidR="004E7811" w:rsidRDefault="004E7811" w:rsidP="000C2DAD">
            <w:r>
              <w:rPr>
                <w:rFonts w:ascii="Aptos" w:eastAsia="Aptos" w:hAnsi="Aptos"/>
                <w:sz w:val="18"/>
              </w:rPr>
              <w:t>Internal view of borrower strength</w:t>
            </w:r>
          </w:p>
        </w:tc>
        <w:tc>
          <w:tcPr>
            <w:tcW w:w="2304" w:type="dxa"/>
            <w:tcMar>
              <w:top w:w="70" w:type="dxa"/>
              <w:left w:w="70" w:type="dxa"/>
              <w:bottom w:w="70" w:type="dxa"/>
              <w:right w:w="70" w:type="dxa"/>
            </w:tcMar>
            <w:vAlign w:val="center"/>
          </w:tcPr>
          <w:p w:rsidR="004E7811" w:rsidRDefault="004E7811" w:rsidP="000C2DAD">
            <w:r>
              <w:rPr>
                <w:rFonts w:ascii="Aptos" w:eastAsia="Aptos" w:hAnsi="Aptos"/>
                <w:sz w:val="18"/>
              </w:rPr>
              <w:t>BBB / BB / B grade</w:t>
            </w:r>
          </w:p>
        </w:tc>
        <w:tc>
          <w:tcPr>
            <w:tcW w:w="3456" w:type="dxa"/>
            <w:tcMar>
              <w:top w:w="70" w:type="dxa"/>
              <w:left w:w="70" w:type="dxa"/>
              <w:bottom w:w="70" w:type="dxa"/>
              <w:right w:w="70" w:type="dxa"/>
            </w:tcMar>
            <w:vAlign w:val="center"/>
          </w:tcPr>
          <w:p w:rsidR="004E7811" w:rsidRDefault="004E7811" w:rsidP="000C2DAD">
            <w:r>
              <w:rPr>
                <w:rFonts w:ascii="Aptos" w:eastAsia="Aptos" w:hAnsi="Aptos"/>
                <w:sz w:val="18"/>
              </w:rPr>
              <w:t>Feeds probability of default</w:t>
            </w:r>
          </w:p>
        </w:tc>
      </w:tr>
      <w:tr w:rsidR="004E7811" w:rsidTr="000C2DAD">
        <w:trPr>
          <w:jc w:val="center"/>
        </w:trPr>
        <w:tc>
          <w:tcPr>
            <w:tcW w:w="1440" w:type="dxa"/>
            <w:tcMar>
              <w:top w:w="70" w:type="dxa"/>
              <w:left w:w="70" w:type="dxa"/>
              <w:bottom w:w="70" w:type="dxa"/>
              <w:right w:w="70" w:type="dxa"/>
            </w:tcMar>
            <w:vAlign w:val="center"/>
          </w:tcPr>
          <w:p w:rsidR="004E7811" w:rsidRDefault="004E7811" w:rsidP="000C2DAD">
            <w:pPr>
              <w:jc w:val="center"/>
            </w:pPr>
            <w:r>
              <w:rPr>
                <w:rFonts w:ascii="Aptos" w:eastAsia="Aptos" w:hAnsi="Aptos"/>
                <w:sz w:val="18"/>
              </w:rPr>
              <w:t>PD</w:t>
            </w:r>
          </w:p>
        </w:tc>
        <w:tc>
          <w:tcPr>
            <w:tcW w:w="2592" w:type="dxa"/>
            <w:tcMar>
              <w:top w:w="70" w:type="dxa"/>
              <w:left w:w="70" w:type="dxa"/>
              <w:bottom w:w="70" w:type="dxa"/>
              <w:right w:w="70" w:type="dxa"/>
            </w:tcMar>
            <w:vAlign w:val="center"/>
          </w:tcPr>
          <w:p w:rsidR="004E7811" w:rsidRDefault="004E7811" w:rsidP="000C2DAD">
            <w:r>
              <w:rPr>
                <w:rFonts w:ascii="Aptos" w:eastAsia="Aptos" w:hAnsi="Aptos"/>
                <w:sz w:val="18"/>
              </w:rPr>
              <w:t>Likelihood of default over a period</w:t>
            </w:r>
          </w:p>
        </w:tc>
        <w:tc>
          <w:tcPr>
            <w:tcW w:w="2304" w:type="dxa"/>
            <w:tcMar>
              <w:top w:w="70" w:type="dxa"/>
              <w:left w:w="70" w:type="dxa"/>
              <w:bottom w:w="70" w:type="dxa"/>
              <w:right w:w="70" w:type="dxa"/>
            </w:tcMar>
            <w:vAlign w:val="center"/>
          </w:tcPr>
          <w:p w:rsidR="004E7811" w:rsidRDefault="004E7811" w:rsidP="000C2DAD">
            <w:r>
              <w:rPr>
                <w:rFonts w:ascii="Aptos" w:eastAsia="Aptos" w:hAnsi="Aptos"/>
                <w:sz w:val="18"/>
              </w:rPr>
              <w:t>12-month PD or lifetime PD</w:t>
            </w:r>
          </w:p>
        </w:tc>
        <w:tc>
          <w:tcPr>
            <w:tcW w:w="3456" w:type="dxa"/>
            <w:tcMar>
              <w:top w:w="70" w:type="dxa"/>
              <w:left w:w="70" w:type="dxa"/>
              <w:bottom w:w="70" w:type="dxa"/>
              <w:right w:w="70" w:type="dxa"/>
            </w:tcMar>
            <w:vAlign w:val="center"/>
          </w:tcPr>
          <w:p w:rsidR="004E7811" w:rsidRDefault="004E7811" w:rsidP="000C2DAD">
            <w:r>
              <w:rPr>
                <w:rFonts w:ascii="Aptos" w:eastAsia="Aptos" w:hAnsi="Aptos"/>
                <w:sz w:val="18"/>
              </w:rPr>
              <w:t>Measures credit risk numerically</w:t>
            </w:r>
          </w:p>
        </w:tc>
      </w:tr>
      <w:tr w:rsidR="004E7811" w:rsidTr="000C2DAD">
        <w:trPr>
          <w:jc w:val="center"/>
        </w:trPr>
        <w:tc>
          <w:tcPr>
            <w:tcW w:w="1440" w:type="dxa"/>
            <w:tcMar>
              <w:top w:w="70" w:type="dxa"/>
              <w:left w:w="70" w:type="dxa"/>
              <w:bottom w:w="70" w:type="dxa"/>
              <w:right w:w="70" w:type="dxa"/>
            </w:tcMar>
            <w:vAlign w:val="center"/>
          </w:tcPr>
          <w:p w:rsidR="004E7811" w:rsidRDefault="004E7811" w:rsidP="000C2DAD">
            <w:pPr>
              <w:jc w:val="center"/>
            </w:pPr>
            <w:r>
              <w:rPr>
                <w:rFonts w:ascii="Aptos" w:eastAsia="Aptos" w:hAnsi="Aptos"/>
                <w:sz w:val="18"/>
              </w:rPr>
              <w:t>Stage</w:t>
            </w:r>
          </w:p>
        </w:tc>
        <w:tc>
          <w:tcPr>
            <w:tcW w:w="2592" w:type="dxa"/>
            <w:tcMar>
              <w:top w:w="70" w:type="dxa"/>
              <w:left w:w="70" w:type="dxa"/>
              <w:bottom w:w="70" w:type="dxa"/>
              <w:right w:w="70" w:type="dxa"/>
            </w:tcMar>
            <w:vAlign w:val="center"/>
          </w:tcPr>
          <w:p w:rsidR="004E7811" w:rsidRDefault="004E7811" w:rsidP="000C2DAD">
            <w:r>
              <w:rPr>
                <w:rFonts w:ascii="Aptos" w:eastAsia="Aptos" w:hAnsi="Aptos"/>
                <w:sz w:val="18"/>
              </w:rPr>
              <w:t>IFRS 9 risk bucket</w:t>
            </w:r>
          </w:p>
        </w:tc>
        <w:tc>
          <w:tcPr>
            <w:tcW w:w="2304" w:type="dxa"/>
            <w:tcMar>
              <w:top w:w="70" w:type="dxa"/>
              <w:left w:w="70" w:type="dxa"/>
              <w:bottom w:w="70" w:type="dxa"/>
              <w:right w:w="70" w:type="dxa"/>
            </w:tcMar>
            <w:vAlign w:val="center"/>
          </w:tcPr>
          <w:p w:rsidR="004E7811" w:rsidRDefault="004E7811" w:rsidP="000C2DAD">
            <w:r>
              <w:rPr>
                <w:rFonts w:ascii="Aptos" w:eastAsia="Aptos" w:hAnsi="Aptos"/>
                <w:sz w:val="18"/>
              </w:rPr>
              <w:t>Stage 1 / 2 / 3</w:t>
            </w:r>
          </w:p>
        </w:tc>
        <w:tc>
          <w:tcPr>
            <w:tcW w:w="3456" w:type="dxa"/>
            <w:tcMar>
              <w:top w:w="70" w:type="dxa"/>
              <w:left w:w="70" w:type="dxa"/>
              <w:bottom w:w="70" w:type="dxa"/>
              <w:right w:w="70" w:type="dxa"/>
            </w:tcMar>
            <w:vAlign w:val="center"/>
          </w:tcPr>
          <w:p w:rsidR="004E7811" w:rsidRDefault="004E7811" w:rsidP="000C2DAD">
            <w:r>
              <w:rPr>
                <w:rFonts w:ascii="Aptos" w:eastAsia="Aptos" w:hAnsi="Aptos"/>
                <w:sz w:val="18"/>
              </w:rPr>
              <w:t>Decides the ECL horizon</w:t>
            </w:r>
          </w:p>
        </w:tc>
      </w:tr>
      <w:tr w:rsidR="004E7811" w:rsidTr="000C2DAD">
        <w:trPr>
          <w:jc w:val="center"/>
        </w:trPr>
        <w:tc>
          <w:tcPr>
            <w:tcW w:w="1440" w:type="dxa"/>
            <w:tcMar>
              <w:top w:w="70" w:type="dxa"/>
              <w:left w:w="70" w:type="dxa"/>
              <w:bottom w:w="70" w:type="dxa"/>
              <w:right w:w="70" w:type="dxa"/>
            </w:tcMar>
            <w:vAlign w:val="center"/>
          </w:tcPr>
          <w:p w:rsidR="004E7811" w:rsidRDefault="004E7811" w:rsidP="000C2DAD">
            <w:pPr>
              <w:jc w:val="center"/>
            </w:pPr>
            <w:r>
              <w:rPr>
                <w:rFonts w:ascii="Aptos" w:eastAsia="Aptos" w:hAnsi="Aptos"/>
                <w:sz w:val="18"/>
              </w:rPr>
              <w:t>ECL</w:t>
            </w:r>
          </w:p>
        </w:tc>
        <w:tc>
          <w:tcPr>
            <w:tcW w:w="2592" w:type="dxa"/>
            <w:tcMar>
              <w:top w:w="70" w:type="dxa"/>
              <w:left w:w="70" w:type="dxa"/>
              <w:bottom w:w="70" w:type="dxa"/>
              <w:right w:w="70" w:type="dxa"/>
            </w:tcMar>
            <w:vAlign w:val="center"/>
          </w:tcPr>
          <w:p w:rsidR="004E7811" w:rsidRDefault="004E7811" w:rsidP="000C2DAD">
            <w:r>
              <w:rPr>
                <w:rFonts w:ascii="Aptos" w:eastAsia="Aptos" w:hAnsi="Aptos"/>
                <w:sz w:val="18"/>
              </w:rPr>
              <w:t>Expected credit loss</w:t>
            </w:r>
          </w:p>
        </w:tc>
        <w:tc>
          <w:tcPr>
            <w:tcW w:w="2304" w:type="dxa"/>
            <w:tcMar>
              <w:top w:w="70" w:type="dxa"/>
              <w:left w:w="70" w:type="dxa"/>
              <w:bottom w:w="70" w:type="dxa"/>
              <w:right w:w="70" w:type="dxa"/>
            </w:tcMar>
            <w:vAlign w:val="center"/>
          </w:tcPr>
          <w:p w:rsidR="004E7811" w:rsidRDefault="004E7811" w:rsidP="000C2DAD">
            <w:r>
              <w:rPr>
                <w:rFonts w:ascii="Aptos" w:eastAsia="Aptos" w:hAnsi="Aptos"/>
                <w:sz w:val="18"/>
              </w:rPr>
              <w:t>PD x LGD x EAD</w:t>
            </w:r>
          </w:p>
        </w:tc>
        <w:tc>
          <w:tcPr>
            <w:tcW w:w="3456" w:type="dxa"/>
            <w:tcMar>
              <w:top w:w="70" w:type="dxa"/>
              <w:left w:w="70" w:type="dxa"/>
              <w:bottom w:w="70" w:type="dxa"/>
              <w:right w:w="70" w:type="dxa"/>
            </w:tcMar>
            <w:vAlign w:val="center"/>
          </w:tcPr>
          <w:p w:rsidR="004E7811" w:rsidRDefault="004E7811" w:rsidP="000C2DAD">
            <w:r>
              <w:rPr>
                <w:rFonts w:ascii="Aptos" w:eastAsia="Aptos" w:hAnsi="Aptos"/>
                <w:sz w:val="18"/>
              </w:rPr>
              <w:t>Becomes the provision</w:t>
            </w:r>
          </w:p>
        </w:tc>
      </w:tr>
    </w:tbl>
    <w:p w:rsidR="004E7811" w:rsidRDefault="004E7811" w:rsidP="004E7811"/>
    <w:p w:rsidR="00506256" w:rsidRDefault="004E7811">
      <w:pPr>
        <w:pStyle w:val="Heading1"/>
      </w:pPr>
      <w:r>
        <w:t xml:space="preserve">2. </w:t>
      </w:r>
      <w:r w:rsidR="00000000">
        <w:t>Which assets are inside the IFRS 9 impairment world</w:t>
      </w:r>
    </w:p>
    <w:p w:rsidR="00506256" w:rsidRDefault="00000000">
      <w:r>
        <w:t>Not every asset is treated the same way. The key first step is to identify whether the instrument is in amortized cost, FVOCI, or FVTPL.</w:t>
      </w:r>
    </w:p>
    <w:tbl>
      <w:tblPr>
        <w:tblStyle w:val="TableGrid"/>
        <w:tblW w:w="0" w:type="auto"/>
        <w:jc w:val="center"/>
        <w:tblLook w:val="04A0" w:firstRow="1" w:lastRow="0" w:firstColumn="1" w:lastColumn="0" w:noHBand="0" w:noVBand="1"/>
      </w:tblPr>
      <w:tblGrid>
        <w:gridCol w:w="2446"/>
        <w:gridCol w:w="3021"/>
        <w:gridCol w:w="4747"/>
      </w:tblGrid>
      <w:tr w:rsidR="00506256">
        <w:trPr>
          <w:jc w:val="center"/>
        </w:trPr>
        <w:tc>
          <w:tcPr>
            <w:tcW w:w="2448" w:type="dxa"/>
            <w:shd w:val="clear" w:color="auto" w:fill="D9EAF7"/>
            <w:tcMar>
              <w:top w:w="80" w:type="dxa"/>
              <w:left w:w="80" w:type="dxa"/>
              <w:bottom w:w="80" w:type="dxa"/>
              <w:right w:w="80" w:type="dxa"/>
            </w:tcMar>
            <w:vAlign w:val="center"/>
          </w:tcPr>
          <w:p w:rsidR="00506256" w:rsidRDefault="00000000">
            <w:r>
              <w:rPr>
                <w:b/>
                <w:sz w:val="19"/>
              </w:rPr>
              <w:t>Asset bucket</w:t>
            </w:r>
          </w:p>
        </w:tc>
        <w:tc>
          <w:tcPr>
            <w:tcW w:w="3024" w:type="dxa"/>
            <w:shd w:val="clear" w:color="auto" w:fill="D9EAF7"/>
            <w:tcMar>
              <w:top w:w="80" w:type="dxa"/>
              <w:left w:w="80" w:type="dxa"/>
              <w:bottom w:w="80" w:type="dxa"/>
              <w:right w:w="80" w:type="dxa"/>
            </w:tcMar>
            <w:vAlign w:val="center"/>
          </w:tcPr>
          <w:p w:rsidR="00506256" w:rsidRDefault="00000000">
            <w:r>
              <w:rPr>
                <w:b/>
                <w:sz w:val="19"/>
              </w:rPr>
              <w:t>IFRS 9 treatment</w:t>
            </w:r>
          </w:p>
        </w:tc>
        <w:tc>
          <w:tcPr>
            <w:tcW w:w="4752" w:type="dxa"/>
            <w:shd w:val="clear" w:color="auto" w:fill="D9EAF7"/>
            <w:tcMar>
              <w:top w:w="80" w:type="dxa"/>
              <w:left w:w="80" w:type="dxa"/>
              <w:bottom w:w="80" w:type="dxa"/>
              <w:right w:w="80" w:type="dxa"/>
            </w:tcMar>
            <w:vAlign w:val="center"/>
          </w:tcPr>
          <w:p w:rsidR="00506256" w:rsidRDefault="00000000">
            <w:r>
              <w:rPr>
                <w:b/>
                <w:sz w:val="19"/>
              </w:rPr>
              <w:t>Learning point</w:t>
            </w:r>
          </w:p>
        </w:tc>
      </w:tr>
      <w:tr w:rsidR="00506256">
        <w:trPr>
          <w:jc w:val="center"/>
        </w:trPr>
        <w:tc>
          <w:tcPr>
            <w:tcW w:w="2448" w:type="dxa"/>
            <w:tcMar>
              <w:top w:w="80" w:type="dxa"/>
              <w:left w:w="80" w:type="dxa"/>
              <w:bottom w:w="80" w:type="dxa"/>
              <w:right w:w="80" w:type="dxa"/>
            </w:tcMar>
            <w:vAlign w:val="center"/>
          </w:tcPr>
          <w:p w:rsidR="00506256" w:rsidRDefault="00000000">
            <w:r>
              <w:rPr>
                <w:sz w:val="19"/>
              </w:rPr>
              <w:t>Amortized cost</w:t>
            </w:r>
          </w:p>
        </w:tc>
        <w:tc>
          <w:tcPr>
            <w:tcW w:w="3024" w:type="dxa"/>
            <w:tcMar>
              <w:top w:w="80" w:type="dxa"/>
              <w:left w:w="80" w:type="dxa"/>
              <w:bottom w:w="80" w:type="dxa"/>
              <w:right w:w="80" w:type="dxa"/>
            </w:tcMar>
            <w:vAlign w:val="center"/>
          </w:tcPr>
          <w:p w:rsidR="00506256" w:rsidRDefault="00000000">
            <w:r>
              <w:rPr>
                <w:sz w:val="19"/>
              </w:rPr>
              <w:t>In scope for ECL</w:t>
            </w:r>
          </w:p>
        </w:tc>
        <w:tc>
          <w:tcPr>
            <w:tcW w:w="4752" w:type="dxa"/>
            <w:tcMar>
              <w:top w:w="80" w:type="dxa"/>
              <w:left w:w="80" w:type="dxa"/>
              <w:bottom w:w="80" w:type="dxa"/>
              <w:right w:w="80" w:type="dxa"/>
            </w:tcMar>
            <w:vAlign w:val="center"/>
          </w:tcPr>
          <w:p w:rsidR="00506256" w:rsidRDefault="00000000">
            <w:r>
              <w:rPr>
                <w:sz w:val="19"/>
              </w:rPr>
              <w:t>Most loan-loss provisioning work sits here.</w:t>
            </w:r>
          </w:p>
        </w:tc>
      </w:tr>
      <w:tr w:rsidR="00506256">
        <w:trPr>
          <w:jc w:val="center"/>
        </w:trPr>
        <w:tc>
          <w:tcPr>
            <w:tcW w:w="2448" w:type="dxa"/>
            <w:tcMar>
              <w:top w:w="80" w:type="dxa"/>
              <w:left w:w="80" w:type="dxa"/>
              <w:bottom w:w="80" w:type="dxa"/>
              <w:right w:w="80" w:type="dxa"/>
            </w:tcMar>
            <w:vAlign w:val="center"/>
          </w:tcPr>
          <w:p w:rsidR="00506256" w:rsidRDefault="00000000">
            <w:r>
              <w:rPr>
                <w:sz w:val="19"/>
              </w:rPr>
              <w:t>FVOCI</w:t>
            </w:r>
          </w:p>
        </w:tc>
        <w:tc>
          <w:tcPr>
            <w:tcW w:w="3024" w:type="dxa"/>
            <w:tcMar>
              <w:top w:w="80" w:type="dxa"/>
              <w:left w:w="80" w:type="dxa"/>
              <w:bottom w:w="80" w:type="dxa"/>
              <w:right w:w="80" w:type="dxa"/>
            </w:tcMar>
            <w:vAlign w:val="center"/>
          </w:tcPr>
          <w:p w:rsidR="00506256" w:rsidRDefault="00000000">
            <w:r>
              <w:rPr>
                <w:sz w:val="19"/>
              </w:rPr>
              <w:t>In scope for ECL</w:t>
            </w:r>
          </w:p>
        </w:tc>
        <w:tc>
          <w:tcPr>
            <w:tcW w:w="4752" w:type="dxa"/>
            <w:tcMar>
              <w:top w:w="80" w:type="dxa"/>
              <w:left w:w="80" w:type="dxa"/>
              <w:bottom w:w="80" w:type="dxa"/>
              <w:right w:w="80" w:type="dxa"/>
            </w:tcMar>
            <w:vAlign w:val="center"/>
          </w:tcPr>
          <w:p w:rsidR="00506256" w:rsidRDefault="00000000">
            <w:r>
              <w:rPr>
                <w:sz w:val="19"/>
              </w:rPr>
              <w:t>Fair value changes exist, but credit loss still matters.</w:t>
            </w:r>
          </w:p>
        </w:tc>
      </w:tr>
      <w:tr w:rsidR="00506256">
        <w:trPr>
          <w:jc w:val="center"/>
        </w:trPr>
        <w:tc>
          <w:tcPr>
            <w:tcW w:w="2448" w:type="dxa"/>
            <w:tcMar>
              <w:top w:w="80" w:type="dxa"/>
              <w:left w:w="80" w:type="dxa"/>
              <w:bottom w:w="80" w:type="dxa"/>
              <w:right w:w="80" w:type="dxa"/>
            </w:tcMar>
            <w:vAlign w:val="center"/>
          </w:tcPr>
          <w:p w:rsidR="00506256" w:rsidRDefault="00000000">
            <w:r>
              <w:rPr>
                <w:sz w:val="19"/>
              </w:rPr>
              <w:t>FVTPL</w:t>
            </w:r>
          </w:p>
        </w:tc>
        <w:tc>
          <w:tcPr>
            <w:tcW w:w="3024" w:type="dxa"/>
            <w:tcMar>
              <w:top w:w="80" w:type="dxa"/>
              <w:left w:w="80" w:type="dxa"/>
              <w:bottom w:w="80" w:type="dxa"/>
              <w:right w:w="80" w:type="dxa"/>
            </w:tcMar>
            <w:vAlign w:val="center"/>
          </w:tcPr>
          <w:p w:rsidR="00506256" w:rsidRDefault="00000000">
            <w:r>
              <w:rPr>
                <w:sz w:val="19"/>
              </w:rPr>
              <w:t>Outside impairment model</w:t>
            </w:r>
          </w:p>
        </w:tc>
        <w:tc>
          <w:tcPr>
            <w:tcW w:w="4752" w:type="dxa"/>
            <w:tcMar>
              <w:top w:w="80" w:type="dxa"/>
              <w:left w:w="80" w:type="dxa"/>
              <w:bottom w:w="80" w:type="dxa"/>
              <w:right w:w="80" w:type="dxa"/>
            </w:tcMar>
            <w:vAlign w:val="center"/>
          </w:tcPr>
          <w:p w:rsidR="00506256" w:rsidRDefault="00000000">
            <w:r>
              <w:rPr>
                <w:sz w:val="19"/>
              </w:rPr>
              <w:t>Measured through profit and loss, so the impairment story is different.</w:t>
            </w:r>
          </w:p>
        </w:tc>
      </w:tr>
    </w:tbl>
    <w:p w:rsidR="00506256" w:rsidRDefault="00000000">
      <w:r>
        <w:t>SPPI means solely payments of principal and interest. It is the cash-flow test that helps decide whether the asset belongs in the amortized cost / FVOCI family.</w:t>
      </w:r>
    </w:p>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t>Analogy</w:t>
            </w:r>
          </w:p>
          <w:p w:rsidR="00506256" w:rsidRDefault="00000000">
            <w:pPr>
              <w:spacing w:after="0"/>
            </w:pPr>
            <w:r>
              <w:t>SPPI is like checking whether a loan behaves like a plain vanilla loan or whether it has extra features that change the repayment nature.</w:t>
            </w:r>
          </w:p>
        </w:tc>
      </w:tr>
    </w:tbl>
    <w:p w:rsidR="00506256" w:rsidRDefault="00000000">
      <w:pPr>
        <w:pStyle w:val="Heading1"/>
      </w:pPr>
      <w:r>
        <w:t>3. Delinquency, DPD, and the bucket idea</w:t>
      </w:r>
    </w:p>
    <w:p w:rsidR="00506256" w:rsidRDefault="00000000">
      <w:r>
        <w:t>Delinquency starts when a borrower misses a contractual payment date. DPD means days past due. The bucket idea is just a practical way of grouping lateness.</w:t>
      </w:r>
    </w:p>
    <w:p w:rsidR="00506256" w:rsidRDefault="00000000">
      <w:r>
        <w:rPr>
          <w:noProof/>
        </w:rPr>
        <w:lastRenderedPageBreak/>
        <w:drawing>
          <wp:inline distT="0" distB="0" distL="0" distR="0">
            <wp:extent cx="5943600" cy="17617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d_buckets.png"/>
                    <pic:cNvPicPr/>
                  </pic:nvPicPr>
                  <pic:blipFill>
                    <a:blip r:embed="rId7"/>
                    <a:stretch>
                      <a:fillRect/>
                    </a:stretch>
                  </pic:blipFill>
                  <pic:spPr>
                    <a:xfrm>
                      <a:off x="0" y="0"/>
                      <a:ext cx="5943600" cy="1761759"/>
                    </a:xfrm>
                    <a:prstGeom prst="rect">
                      <a:avLst/>
                    </a:prstGeom>
                  </pic:spPr>
                </pic:pic>
              </a:graphicData>
            </a:graphic>
          </wp:inline>
        </w:drawing>
      </w:r>
    </w:p>
    <w:p w:rsidR="00506256" w:rsidRDefault="00000000">
      <w:r>
        <w:t>A bank uses these buckets to understand whether the delay is short-term noise or the start of a deeper credit problem.</w:t>
      </w:r>
    </w:p>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t>Analogy</w:t>
            </w:r>
          </w:p>
          <w:p w:rsidR="00506256" w:rsidRDefault="00000000">
            <w:pPr>
              <w:spacing w:after="0"/>
            </w:pPr>
            <w:r>
              <w:t>If a child misses one homework deadline, that is a delay. If the missed deadlines keep piling up, the teacher starts worrying about the student’s discipline. DPD works the same way for credit behavior.</w:t>
            </w:r>
          </w:p>
        </w:tc>
      </w:tr>
    </w:tbl>
    <w:p w:rsidR="00506256" w:rsidRDefault="00000000">
      <w:pPr>
        <w:pStyle w:val="Heading1"/>
      </w:pPr>
      <w:r>
        <w:t>4. Roll rate analysis</w:t>
      </w:r>
    </w:p>
    <w:p w:rsidR="00506256" w:rsidRDefault="00000000">
      <w:r>
        <w:t>Roll rate analysis tracks how balances move from one bucket to another. It helps the bank see where balances recover, where they stay stuck, and where they keep rolling forward.</w:t>
      </w:r>
    </w:p>
    <w:tbl>
      <w:tblPr>
        <w:tblStyle w:val="TableGrid"/>
        <w:tblW w:w="0" w:type="auto"/>
        <w:jc w:val="center"/>
        <w:tblLook w:val="04A0" w:firstRow="1" w:lastRow="0" w:firstColumn="1" w:lastColumn="0" w:noHBand="0" w:noVBand="1"/>
      </w:tblPr>
      <w:tblGrid>
        <w:gridCol w:w="1728"/>
        <w:gridCol w:w="3888"/>
        <w:gridCol w:w="4032"/>
      </w:tblGrid>
      <w:tr w:rsidR="00506256">
        <w:trPr>
          <w:jc w:val="center"/>
        </w:trPr>
        <w:tc>
          <w:tcPr>
            <w:tcW w:w="1728" w:type="dxa"/>
            <w:shd w:val="clear" w:color="auto" w:fill="D9EAF7"/>
            <w:tcMar>
              <w:top w:w="80" w:type="dxa"/>
              <w:left w:w="80" w:type="dxa"/>
              <w:bottom w:w="80" w:type="dxa"/>
              <w:right w:w="80" w:type="dxa"/>
            </w:tcMar>
            <w:vAlign w:val="center"/>
          </w:tcPr>
          <w:p w:rsidR="00506256" w:rsidRDefault="00000000">
            <w:r>
              <w:rPr>
                <w:b/>
                <w:sz w:val="19"/>
              </w:rPr>
              <w:t>Movement</w:t>
            </w:r>
          </w:p>
        </w:tc>
        <w:tc>
          <w:tcPr>
            <w:tcW w:w="3888" w:type="dxa"/>
            <w:shd w:val="clear" w:color="auto" w:fill="D9EAF7"/>
            <w:tcMar>
              <w:top w:w="80" w:type="dxa"/>
              <w:left w:w="80" w:type="dxa"/>
              <w:bottom w:w="80" w:type="dxa"/>
              <w:right w:w="80" w:type="dxa"/>
            </w:tcMar>
            <w:vAlign w:val="center"/>
          </w:tcPr>
          <w:p w:rsidR="00506256" w:rsidRDefault="00000000">
            <w:r>
              <w:rPr>
                <w:b/>
                <w:sz w:val="19"/>
              </w:rPr>
              <w:t>What it means</w:t>
            </w:r>
          </w:p>
        </w:tc>
        <w:tc>
          <w:tcPr>
            <w:tcW w:w="4032" w:type="dxa"/>
            <w:shd w:val="clear" w:color="auto" w:fill="D9EAF7"/>
            <w:tcMar>
              <w:top w:w="80" w:type="dxa"/>
              <w:left w:w="80" w:type="dxa"/>
              <w:bottom w:w="80" w:type="dxa"/>
              <w:right w:w="80" w:type="dxa"/>
            </w:tcMar>
            <w:vAlign w:val="center"/>
          </w:tcPr>
          <w:p w:rsidR="00506256" w:rsidRDefault="00000000">
            <w:r>
              <w:rPr>
                <w:b/>
                <w:sz w:val="19"/>
              </w:rPr>
              <w:t>Why it matters</w:t>
            </w:r>
          </w:p>
        </w:tc>
      </w:tr>
      <w:tr w:rsidR="00506256">
        <w:trPr>
          <w:jc w:val="center"/>
        </w:trPr>
        <w:tc>
          <w:tcPr>
            <w:tcW w:w="1728" w:type="dxa"/>
            <w:tcMar>
              <w:top w:w="80" w:type="dxa"/>
              <w:left w:w="80" w:type="dxa"/>
              <w:bottom w:w="80" w:type="dxa"/>
              <w:right w:w="80" w:type="dxa"/>
            </w:tcMar>
            <w:vAlign w:val="center"/>
          </w:tcPr>
          <w:p w:rsidR="00506256" w:rsidRDefault="00000000">
            <w:r>
              <w:rPr>
                <w:sz w:val="19"/>
              </w:rPr>
              <w:t>CD0 -&gt; CD1</w:t>
            </w:r>
          </w:p>
        </w:tc>
        <w:tc>
          <w:tcPr>
            <w:tcW w:w="3888" w:type="dxa"/>
            <w:tcMar>
              <w:top w:w="80" w:type="dxa"/>
              <w:left w:w="80" w:type="dxa"/>
              <w:bottom w:w="80" w:type="dxa"/>
              <w:right w:w="80" w:type="dxa"/>
            </w:tcMar>
            <w:vAlign w:val="center"/>
          </w:tcPr>
          <w:p w:rsidR="00506256" w:rsidRDefault="00000000">
            <w:r>
              <w:rPr>
                <w:sz w:val="19"/>
              </w:rPr>
              <w:t>A current account becomes slightly late</w:t>
            </w:r>
          </w:p>
        </w:tc>
        <w:tc>
          <w:tcPr>
            <w:tcW w:w="4032" w:type="dxa"/>
            <w:tcMar>
              <w:top w:w="80" w:type="dxa"/>
              <w:left w:w="80" w:type="dxa"/>
              <w:bottom w:w="80" w:type="dxa"/>
              <w:right w:w="80" w:type="dxa"/>
            </w:tcMar>
            <w:vAlign w:val="center"/>
          </w:tcPr>
          <w:p w:rsidR="00506256" w:rsidRDefault="00000000">
            <w:r>
              <w:rPr>
                <w:sz w:val="19"/>
              </w:rPr>
              <w:t>Early warning</w:t>
            </w:r>
          </w:p>
        </w:tc>
      </w:tr>
      <w:tr w:rsidR="00506256">
        <w:trPr>
          <w:jc w:val="center"/>
        </w:trPr>
        <w:tc>
          <w:tcPr>
            <w:tcW w:w="1728" w:type="dxa"/>
            <w:tcMar>
              <w:top w:w="80" w:type="dxa"/>
              <w:left w:w="80" w:type="dxa"/>
              <w:bottom w:w="80" w:type="dxa"/>
              <w:right w:w="80" w:type="dxa"/>
            </w:tcMar>
            <w:vAlign w:val="center"/>
          </w:tcPr>
          <w:p w:rsidR="00506256" w:rsidRDefault="00000000">
            <w:r>
              <w:rPr>
                <w:sz w:val="19"/>
              </w:rPr>
              <w:t>CD1 -&gt; CD2</w:t>
            </w:r>
          </w:p>
        </w:tc>
        <w:tc>
          <w:tcPr>
            <w:tcW w:w="3888" w:type="dxa"/>
            <w:tcMar>
              <w:top w:w="80" w:type="dxa"/>
              <w:left w:w="80" w:type="dxa"/>
              <w:bottom w:w="80" w:type="dxa"/>
              <w:right w:w="80" w:type="dxa"/>
            </w:tcMar>
            <w:vAlign w:val="center"/>
          </w:tcPr>
          <w:p w:rsidR="00506256" w:rsidRDefault="00000000">
            <w:r>
              <w:rPr>
                <w:sz w:val="19"/>
              </w:rPr>
              <w:t>The delay is getting worse</w:t>
            </w:r>
          </w:p>
        </w:tc>
        <w:tc>
          <w:tcPr>
            <w:tcW w:w="4032" w:type="dxa"/>
            <w:tcMar>
              <w:top w:w="80" w:type="dxa"/>
              <w:left w:w="80" w:type="dxa"/>
              <w:bottom w:w="80" w:type="dxa"/>
              <w:right w:w="80" w:type="dxa"/>
            </w:tcMar>
            <w:vAlign w:val="center"/>
          </w:tcPr>
          <w:p w:rsidR="00506256" w:rsidRDefault="00000000">
            <w:r>
              <w:rPr>
                <w:sz w:val="19"/>
              </w:rPr>
              <w:t>Credit stress is building</w:t>
            </w:r>
          </w:p>
        </w:tc>
      </w:tr>
      <w:tr w:rsidR="00506256">
        <w:trPr>
          <w:jc w:val="center"/>
        </w:trPr>
        <w:tc>
          <w:tcPr>
            <w:tcW w:w="1728" w:type="dxa"/>
            <w:tcMar>
              <w:top w:w="80" w:type="dxa"/>
              <w:left w:w="80" w:type="dxa"/>
              <w:bottom w:w="80" w:type="dxa"/>
              <w:right w:w="80" w:type="dxa"/>
            </w:tcMar>
            <w:vAlign w:val="center"/>
          </w:tcPr>
          <w:p w:rsidR="00506256" w:rsidRDefault="00000000">
            <w:r>
              <w:rPr>
                <w:sz w:val="19"/>
              </w:rPr>
              <w:t>CD2 -&gt; CD3</w:t>
            </w:r>
          </w:p>
        </w:tc>
        <w:tc>
          <w:tcPr>
            <w:tcW w:w="3888" w:type="dxa"/>
            <w:tcMar>
              <w:top w:w="80" w:type="dxa"/>
              <w:left w:w="80" w:type="dxa"/>
              <w:bottom w:w="80" w:type="dxa"/>
              <w:right w:w="80" w:type="dxa"/>
            </w:tcMar>
            <w:vAlign w:val="center"/>
          </w:tcPr>
          <w:p w:rsidR="00506256" w:rsidRDefault="00000000">
            <w:r>
              <w:rPr>
                <w:sz w:val="19"/>
              </w:rPr>
              <w:t>Balances are sticking in delinquency</w:t>
            </w:r>
          </w:p>
        </w:tc>
        <w:tc>
          <w:tcPr>
            <w:tcW w:w="4032" w:type="dxa"/>
            <w:tcMar>
              <w:top w:w="80" w:type="dxa"/>
              <w:left w:w="80" w:type="dxa"/>
              <w:bottom w:w="80" w:type="dxa"/>
              <w:right w:w="80" w:type="dxa"/>
            </w:tcMar>
            <w:vAlign w:val="center"/>
          </w:tcPr>
          <w:p w:rsidR="00506256" w:rsidRDefault="00000000">
            <w:r>
              <w:rPr>
                <w:sz w:val="19"/>
              </w:rPr>
              <w:t>Useful for bad-definition thinking</w:t>
            </w:r>
          </w:p>
        </w:tc>
      </w:tr>
    </w:tbl>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t>Analogy</w:t>
            </w:r>
          </w:p>
          <w:p w:rsidR="00506256" w:rsidRDefault="00000000">
            <w:pPr>
              <w:spacing w:after="0"/>
            </w:pPr>
            <w:r>
              <w:t>Roll rate is like watching cars move through toll booths. If more and more cars keep entering the wrong lane and never return, that lane has a serious problem.</w:t>
            </w:r>
          </w:p>
        </w:tc>
      </w:tr>
    </w:tbl>
    <w:p w:rsidR="00506256" w:rsidRDefault="00000000">
      <w:pPr>
        <w:pStyle w:val="Heading1"/>
      </w:pPr>
      <w:r>
        <w:t>5. Delinquency, default, impairment, charge-off</w:t>
      </w:r>
    </w:p>
    <w:p w:rsidR="00506256" w:rsidRDefault="00000000">
      <w:r>
        <w:t>These words are related, but they are not identical. Delinquency means late payment. Default means the bank believes the borrower has crossed a serious failure point. Impairment is the accounting view that expected loss has become material enough to require heavier provisioning.</w:t>
      </w:r>
    </w:p>
    <w:tbl>
      <w:tblPr>
        <w:tblStyle w:val="TableGrid"/>
        <w:tblW w:w="0" w:type="auto"/>
        <w:jc w:val="center"/>
        <w:tblLook w:val="04A0" w:firstRow="1" w:lastRow="0" w:firstColumn="1" w:lastColumn="0" w:noHBand="0" w:noVBand="1"/>
      </w:tblPr>
      <w:tblGrid>
        <w:gridCol w:w="2016"/>
        <w:gridCol w:w="3312"/>
        <w:gridCol w:w="4320"/>
      </w:tblGrid>
      <w:tr w:rsidR="00506256">
        <w:trPr>
          <w:jc w:val="center"/>
        </w:trPr>
        <w:tc>
          <w:tcPr>
            <w:tcW w:w="2016" w:type="dxa"/>
            <w:shd w:val="clear" w:color="auto" w:fill="D9EAF7"/>
            <w:tcMar>
              <w:top w:w="80" w:type="dxa"/>
              <w:left w:w="80" w:type="dxa"/>
              <w:bottom w:w="80" w:type="dxa"/>
              <w:right w:w="80" w:type="dxa"/>
            </w:tcMar>
            <w:vAlign w:val="center"/>
          </w:tcPr>
          <w:p w:rsidR="00506256" w:rsidRDefault="00000000">
            <w:r>
              <w:rPr>
                <w:b/>
                <w:sz w:val="19"/>
              </w:rPr>
              <w:t>Term</w:t>
            </w:r>
          </w:p>
        </w:tc>
        <w:tc>
          <w:tcPr>
            <w:tcW w:w="3312" w:type="dxa"/>
            <w:shd w:val="clear" w:color="auto" w:fill="D9EAF7"/>
            <w:tcMar>
              <w:top w:w="80" w:type="dxa"/>
              <w:left w:w="80" w:type="dxa"/>
              <w:bottom w:w="80" w:type="dxa"/>
              <w:right w:w="80" w:type="dxa"/>
            </w:tcMar>
            <w:vAlign w:val="center"/>
          </w:tcPr>
          <w:p w:rsidR="00506256" w:rsidRDefault="00000000">
            <w:r>
              <w:rPr>
                <w:b/>
                <w:sz w:val="19"/>
              </w:rPr>
              <w:t>Plain meaning</w:t>
            </w:r>
          </w:p>
        </w:tc>
        <w:tc>
          <w:tcPr>
            <w:tcW w:w="4320" w:type="dxa"/>
            <w:shd w:val="clear" w:color="auto" w:fill="D9EAF7"/>
            <w:tcMar>
              <w:top w:w="80" w:type="dxa"/>
              <w:left w:w="80" w:type="dxa"/>
              <w:bottom w:w="80" w:type="dxa"/>
              <w:right w:w="80" w:type="dxa"/>
            </w:tcMar>
            <w:vAlign w:val="center"/>
          </w:tcPr>
          <w:p w:rsidR="00506256" w:rsidRDefault="00000000">
            <w:r>
              <w:rPr>
                <w:b/>
                <w:sz w:val="19"/>
              </w:rPr>
              <w:t>Banking implication</w:t>
            </w:r>
          </w:p>
        </w:tc>
      </w:tr>
      <w:tr w:rsidR="00506256">
        <w:trPr>
          <w:jc w:val="center"/>
        </w:trPr>
        <w:tc>
          <w:tcPr>
            <w:tcW w:w="2016" w:type="dxa"/>
            <w:tcMar>
              <w:top w:w="80" w:type="dxa"/>
              <w:left w:w="80" w:type="dxa"/>
              <w:bottom w:w="80" w:type="dxa"/>
              <w:right w:w="80" w:type="dxa"/>
            </w:tcMar>
            <w:vAlign w:val="center"/>
          </w:tcPr>
          <w:p w:rsidR="00506256" w:rsidRDefault="00000000">
            <w:r>
              <w:rPr>
                <w:sz w:val="19"/>
              </w:rPr>
              <w:t>Delinquency</w:t>
            </w:r>
          </w:p>
        </w:tc>
        <w:tc>
          <w:tcPr>
            <w:tcW w:w="3312" w:type="dxa"/>
            <w:tcMar>
              <w:top w:w="80" w:type="dxa"/>
              <w:left w:w="80" w:type="dxa"/>
              <w:bottom w:w="80" w:type="dxa"/>
              <w:right w:w="80" w:type="dxa"/>
            </w:tcMar>
            <w:vAlign w:val="center"/>
          </w:tcPr>
          <w:p w:rsidR="00506256" w:rsidRDefault="00000000">
            <w:r>
              <w:rPr>
                <w:sz w:val="19"/>
              </w:rPr>
              <w:t>Payment has been missed</w:t>
            </w:r>
          </w:p>
        </w:tc>
        <w:tc>
          <w:tcPr>
            <w:tcW w:w="4320" w:type="dxa"/>
            <w:tcMar>
              <w:top w:w="80" w:type="dxa"/>
              <w:left w:w="80" w:type="dxa"/>
              <w:bottom w:w="80" w:type="dxa"/>
              <w:right w:w="80" w:type="dxa"/>
            </w:tcMar>
            <w:vAlign w:val="center"/>
          </w:tcPr>
          <w:p w:rsidR="00506256" w:rsidRDefault="00000000">
            <w:r>
              <w:rPr>
                <w:sz w:val="19"/>
              </w:rPr>
              <w:t>The borrower may still cure</w:t>
            </w:r>
          </w:p>
        </w:tc>
      </w:tr>
      <w:tr w:rsidR="00506256">
        <w:trPr>
          <w:jc w:val="center"/>
        </w:trPr>
        <w:tc>
          <w:tcPr>
            <w:tcW w:w="2016" w:type="dxa"/>
            <w:tcMar>
              <w:top w:w="80" w:type="dxa"/>
              <w:left w:w="80" w:type="dxa"/>
              <w:bottom w:w="80" w:type="dxa"/>
              <w:right w:w="80" w:type="dxa"/>
            </w:tcMar>
            <w:vAlign w:val="center"/>
          </w:tcPr>
          <w:p w:rsidR="00506256" w:rsidRDefault="00000000">
            <w:r>
              <w:rPr>
                <w:sz w:val="19"/>
              </w:rPr>
              <w:t>Default</w:t>
            </w:r>
          </w:p>
        </w:tc>
        <w:tc>
          <w:tcPr>
            <w:tcW w:w="3312" w:type="dxa"/>
            <w:tcMar>
              <w:top w:w="80" w:type="dxa"/>
              <w:left w:w="80" w:type="dxa"/>
              <w:bottom w:w="80" w:type="dxa"/>
              <w:right w:w="80" w:type="dxa"/>
            </w:tcMar>
            <w:vAlign w:val="center"/>
          </w:tcPr>
          <w:p w:rsidR="00506256" w:rsidRDefault="00000000">
            <w:r>
              <w:rPr>
                <w:sz w:val="19"/>
              </w:rPr>
              <w:t>Serious credit failure</w:t>
            </w:r>
          </w:p>
        </w:tc>
        <w:tc>
          <w:tcPr>
            <w:tcW w:w="4320" w:type="dxa"/>
            <w:tcMar>
              <w:top w:w="80" w:type="dxa"/>
              <w:left w:w="80" w:type="dxa"/>
              <w:bottom w:w="80" w:type="dxa"/>
              <w:right w:w="80" w:type="dxa"/>
            </w:tcMar>
            <w:vAlign w:val="center"/>
          </w:tcPr>
          <w:p w:rsidR="00506256" w:rsidRDefault="00000000">
            <w:r>
              <w:rPr>
                <w:sz w:val="19"/>
              </w:rPr>
              <w:t>Recovery becomes uncertain</w:t>
            </w:r>
          </w:p>
        </w:tc>
      </w:tr>
      <w:tr w:rsidR="00506256">
        <w:trPr>
          <w:jc w:val="center"/>
        </w:trPr>
        <w:tc>
          <w:tcPr>
            <w:tcW w:w="2016" w:type="dxa"/>
            <w:tcMar>
              <w:top w:w="80" w:type="dxa"/>
              <w:left w:w="80" w:type="dxa"/>
              <w:bottom w:w="80" w:type="dxa"/>
              <w:right w:w="80" w:type="dxa"/>
            </w:tcMar>
            <w:vAlign w:val="center"/>
          </w:tcPr>
          <w:p w:rsidR="00506256" w:rsidRDefault="00000000">
            <w:r>
              <w:rPr>
                <w:sz w:val="19"/>
              </w:rPr>
              <w:t>Impairment</w:t>
            </w:r>
          </w:p>
        </w:tc>
        <w:tc>
          <w:tcPr>
            <w:tcW w:w="3312" w:type="dxa"/>
            <w:tcMar>
              <w:top w:w="80" w:type="dxa"/>
              <w:left w:w="80" w:type="dxa"/>
              <w:bottom w:w="80" w:type="dxa"/>
              <w:right w:w="80" w:type="dxa"/>
            </w:tcMar>
            <w:vAlign w:val="center"/>
          </w:tcPr>
          <w:p w:rsidR="00506256" w:rsidRDefault="00000000">
            <w:r>
              <w:rPr>
                <w:sz w:val="19"/>
              </w:rPr>
              <w:t>Credit loss is now expected</w:t>
            </w:r>
          </w:p>
        </w:tc>
        <w:tc>
          <w:tcPr>
            <w:tcW w:w="4320" w:type="dxa"/>
            <w:tcMar>
              <w:top w:w="80" w:type="dxa"/>
              <w:left w:w="80" w:type="dxa"/>
              <w:bottom w:w="80" w:type="dxa"/>
              <w:right w:w="80" w:type="dxa"/>
            </w:tcMar>
            <w:vAlign w:val="center"/>
          </w:tcPr>
          <w:p w:rsidR="00506256" w:rsidRDefault="00000000">
            <w:r>
              <w:rPr>
                <w:sz w:val="19"/>
              </w:rPr>
              <w:t>Provisioning becomes more conservative</w:t>
            </w:r>
          </w:p>
        </w:tc>
      </w:tr>
      <w:tr w:rsidR="00506256">
        <w:trPr>
          <w:jc w:val="center"/>
        </w:trPr>
        <w:tc>
          <w:tcPr>
            <w:tcW w:w="2016" w:type="dxa"/>
            <w:tcMar>
              <w:top w:w="80" w:type="dxa"/>
              <w:left w:w="80" w:type="dxa"/>
              <w:bottom w:w="80" w:type="dxa"/>
              <w:right w:w="80" w:type="dxa"/>
            </w:tcMar>
            <w:vAlign w:val="center"/>
          </w:tcPr>
          <w:p w:rsidR="00506256" w:rsidRDefault="00000000">
            <w:r>
              <w:rPr>
                <w:sz w:val="19"/>
              </w:rPr>
              <w:t>Charge-off</w:t>
            </w:r>
          </w:p>
        </w:tc>
        <w:tc>
          <w:tcPr>
            <w:tcW w:w="3312" w:type="dxa"/>
            <w:tcMar>
              <w:top w:w="80" w:type="dxa"/>
              <w:left w:w="80" w:type="dxa"/>
              <w:bottom w:w="80" w:type="dxa"/>
              <w:right w:w="80" w:type="dxa"/>
            </w:tcMar>
            <w:vAlign w:val="center"/>
          </w:tcPr>
          <w:p w:rsidR="00506256" w:rsidRDefault="00000000">
            <w:r>
              <w:rPr>
                <w:sz w:val="19"/>
              </w:rPr>
              <w:t>Policy-driven removal from active book</w:t>
            </w:r>
          </w:p>
        </w:tc>
        <w:tc>
          <w:tcPr>
            <w:tcW w:w="4320" w:type="dxa"/>
            <w:tcMar>
              <w:top w:w="80" w:type="dxa"/>
              <w:left w:w="80" w:type="dxa"/>
              <w:bottom w:w="80" w:type="dxa"/>
              <w:right w:w="80" w:type="dxa"/>
            </w:tcMar>
            <w:vAlign w:val="center"/>
          </w:tcPr>
          <w:p w:rsidR="00506256" w:rsidRDefault="00000000">
            <w:r>
              <w:rPr>
                <w:sz w:val="19"/>
              </w:rPr>
              <w:t>Collections / recovery may continue</w:t>
            </w:r>
          </w:p>
        </w:tc>
      </w:tr>
    </w:tbl>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lastRenderedPageBreak/>
              <w:t>Analogy</w:t>
            </w:r>
          </w:p>
          <w:p w:rsidR="00506256" w:rsidRDefault="00000000">
            <w:pPr>
              <w:spacing w:after="0"/>
            </w:pPr>
            <w:r>
              <w:t>Delinquency is being late. Default is the relationship turning bad. Impairment is the accountant saying the loss has to be recognized properly.</w:t>
            </w:r>
          </w:p>
        </w:tc>
      </w:tr>
    </w:tbl>
    <w:p w:rsidR="004E7811" w:rsidRDefault="004E7811" w:rsidP="00E84AEF">
      <w:pPr>
        <w:pStyle w:val="Heading2"/>
      </w:pPr>
      <w:r>
        <w:t>Default vs impairment vs delinquency</w:t>
      </w:r>
    </w:p>
    <w:tbl>
      <w:tblPr>
        <w:tblStyle w:val="TableGrid"/>
        <w:tblW w:w="0" w:type="auto"/>
        <w:jc w:val="center"/>
        <w:tblLayout w:type="fixed"/>
        <w:tblLook w:val="04A0" w:firstRow="1" w:lastRow="0" w:firstColumn="1" w:lastColumn="0" w:noHBand="0" w:noVBand="1"/>
      </w:tblPr>
      <w:tblGrid>
        <w:gridCol w:w="2016"/>
        <w:gridCol w:w="3168"/>
        <w:gridCol w:w="5616"/>
      </w:tblGrid>
      <w:tr w:rsidR="004E7811" w:rsidTr="000C2DAD">
        <w:trPr>
          <w:jc w:val="center"/>
        </w:trPr>
        <w:tc>
          <w:tcPr>
            <w:tcW w:w="2016" w:type="dxa"/>
            <w:shd w:val="clear" w:color="auto" w:fill="1F4E79"/>
            <w:tcMar>
              <w:top w:w="70" w:type="dxa"/>
              <w:left w:w="70" w:type="dxa"/>
              <w:bottom w:w="70" w:type="dxa"/>
              <w:right w:w="70" w:type="dxa"/>
            </w:tcMar>
            <w:vAlign w:val="center"/>
          </w:tcPr>
          <w:p w:rsidR="004E7811" w:rsidRDefault="004E7811" w:rsidP="000C2DAD">
            <w:pPr>
              <w:jc w:val="center"/>
            </w:pPr>
            <w:r>
              <w:rPr>
                <w:rFonts w:ascii="Aptos" w:eastAsia="Aptos" w:hAnsi="Aptos"/>
                <w:b/>
                <w:color w:val="FFFFFF"/>
                <w:sz w:val="18"/>
              </w:rPr>
              <w:t>Term</w:t>
            </w:r>
          </w:p>
        </w:tc>
        <w:tc>
          <w:tcPr>
            <w:tcW w:w="3168" w:type="dxa"/>
            <w:shd w:val="clear" w:color="auto" w:fill="1F4E79"/>
            <w:tcMar>
              <w:top w:w="70" w:type="dxa"/>
              <w:left w:w="70" w:type="dxa"/>
              <w:bottom w:w="70" w:type="dxa"/>
              <w:right w:w="70" w:type="dxa"/>
            </w:tcMar>
            <w:vAlign w:val="center"/>
          </w:tcPr>
          <w:p w:rsidR="004E7811" w:rsidRDefault="004E7811" w:rsidP="000C2DAD">
            <w:pPr>
              <w:jc w:val="center"/>
            </w:pPr>
            <w:r>
              <w:rPr>
                <w:rFonts w:ascii="Aptos" w:eastAsia="Aptos" w:hAnsi="Aptos"/>
                <w:b/>
                <w:color w:val="FFFFFF"/>
                <w:sz w:val="18"/>
              </w:rPr>
              <w:t>Simple meaning</w:t>
            </w:r>
          </w:p>
        </w:tc>
        <w:tc>
          <w:tcPr>
            <w:tcW w:w="5616" w:type="dxa"/>
            <w:shd w:val="clear" w:color="auto" w:fill="1F4E79"/>
            <w:tcMar>
              <w:top w:w="70" w:type="dxa"/>
              <w:left w:w="70" w:type="dxa"/>
              <w:bottom w:w="70" w:type="dxa"/>
              <w:right w:w="70" w:type="dxa"/>
            </w:tcMar>
            <w:vAlign w:val="center"/>
          </w:tcPr>
          <w:p w:rsidR="004E7811" w:rsidRDefault="004E7811" w:rsidP="000C2DAD">
            <w:pPr>
              <w:jc w:val="center"/>
            </w:pPr>
            <w:r>
              <w:rPr>
                <w:rFonts w:ascii="Aptos" w:eastAsia="Aptos" w:hAnsi="Aptos"/>
                <w:b/>
                <w:color w:val="FFFFFF"/>
                <w:sz w:val="18"/>
              </w:rPr>
              <w:t>CIB interpretation</w:t>
            </w:r>
          </w:p>
        </w:tc>
      </w:tr>
      <w:tr w:rsidR="004E7811" w:rsidTr="000C2DAD">
        <w:trPr>
          <w:jc w:val="center"/>
        </w:trPr>
        <w:tc>
          <w:tcPr>
            <w:tcW w:w="2016" w:type="dxa"/>
            <w:tcMar>
              <w:top w:w="70" w:type="dxa"/>
              <w:left w:w="70" w:type="dxa"/>
              <w:bottom w:w="70" w:type="dxa"/>
              <w:right w:w="70" w:type="dxa"/>
            </w:tcMar>
            <w:vAlign w:val="center"/>
          </w:tcPr>
          <w:p w:rsidR="004E7811" w:rsidRDefault="004E7811" w:rsidP="000C2DAD">
            <w:pPr>
              <w:jc w:val="center"/>
            </w:pPr>
            <w:r>
              <w:rPr>
                <w:rFonts w:ascii="Aptos" w:eastAsia="Aptos" w:hAnsi="Aptos"/>
                <w:sz w:val="18"/>
              </w:rPr>
              <w:t>Delinquency</w:t>
            </w:r>
          </w:p>
        </w:tc>
        <w:tc>
          <w:tcPr>
            <w:tcW w:w="3168" w:type="dxa"/>
            <w:tcMar>
              <w:top w:w="70" w:type="dxa"/>
              <w:left w:w="70" w:type="dxa"/>
              <w:bottom w:w="70" w:type="dxa"/>
              <w:right w:w="70" w:type="dxa"/>
            </w:tcMar>
            <w:vAlign w:val="center"/>
          </w:tcPr>
          <w:p w:rsidR="004E7811" w:rsidRDefault="004E7811" w:rsidP="000C2DAD">
            <w:r>
              <w:rPr>
                <w:rFonts w:ascii="Aptos" w:eastAsia="Aptos" w:hAnsi="Aptos"/>
                <w:sz w:val="18"/>
              </w:rPr>
              <w:t>A payment is overdue</w:t>
            </w:r>
          </w:p>
        </w:tc>
        <w:tc>
          <w:tcPr>
            <w:tcW w:w="5616" w:type="dxa"/>
            <w:tcMar>
              <w:top w:w="70" w:type="dxa"/>
              <w:left w:w="70" w:type="dxa"/>
              <w:bottom w:w="70" w:type="dxa"/>
              <w:right w:w="70" w:type="dxa"/>
            </w:tcMar>
            <w:vAlign w:val="center"/>
          </w:tcPr>
          <w:p w:rsidR="004E7811" w:rsidRDefault="004E7811" w:rsidP="000C2DAD">
            <w:r>
              <w:rPr>
                <w:rFonts w:ascii="Aptos" w:eastAsia="Aptos" w:hAnsi="Aptos"/>
                <w:sz w:val="18"/>
              </w:rPr>
              <w:t>A contractual payment, interest, or principal is past due</w:t>
            </w:r>
          </w:p>
        </w:tc>
      </w:tr>
      <w:tr w:rsidR="004E7811" w:rsidTr="000C2DAD">
        <w:trPr>
          <w:jc w:val="center"/>
        </w:trPr>
        <w:tc>
          <w:tcPr>
            <w:tcW w:w="2016" w:type="dxa"/>
            <w:tcMar>
              <w:top w:w="70" w:type="dxa"/>
              <w:left w:w="70" w:type="dxa"/>
              <w:bottom w:w="70" w:type="dxa"/>
              <w:right w:w="70" w:type="dxa"/>
            </w:tcMar>
            <w:vAlign w:val="center"/>
          </w:tcPr>
          <w:p w:rsidR="004E7811" w:rsidRDefault="004E7811" w:rsidP="000C2DAD">
            <w:pPr>
              <w:jc w:val="center"/>
            </w:pPr>
            <w:r>
              <w:rPr>
                <w:rFonts w:ascii="Aptos" w:eastAsia="Aptos" w:hAnsi="Aptos"/>
                <w:sz w:val="18"/>
              </w:rPr>
              <w:t>Default</w:t>
            </w:r>
          </w:p>
        </w:tc>
        <w:tc>
          <w:tcPr>
            <w:tcW w:w="3168" w:type="dxa"/>
            <w:tcMar>
              <w:top w:w="70" w:type="dxa"/>
              <w:left w:w="70" w:type="dxa"/>
              <w:bottom w:w="70" w:type="dxa"/>
              <w:right w:w="70" w:type="dxa"/>
            </w:tcMar>
            <w:vAlign w:val="center"/>
          </w:tcPr>
          <w:p w:rsidR="004E7811" w:rsidRDefault="004E7811" w:rsidP="000C2DAD">
            <w:r>
              <w:rPr>
                <w:rFonts w:ascii="Aptos" w:eastAsia="Aptos" w:hAnsi="Aptos"/>
                <w:sz w:val="18"/>
              </w:rPr>
              <w:t>The borrower is unlikely to repay or has crossed a hard default rule</w:t>
            </w:r>
          </w:p>
        </w:tc>
        <w:tc>
          <w:tcPr>
            <w:tcW w:w="5616" w:type="dxa"/>
            <w:tcMar>
              <w:top w:w="70" w:type="dxa"/>
              <w:left w:w="70" w:type="dxa"/>
              <w:bottom w:w="70" w:type="dxa"/>
              <w:right w:w="70" w:type="dxa"/>
            </w:tcMar>
            <w:vAlign w:val="center"/>
          </w:tcPr>
          <w:p w:rsidR="004E7811" w:rsidRDefault="004E7811" w:rsidP="000C2DAD">
            <w:r>
              <w:rPr>
                <w:rFonts w:ascii="Aptos" w:eastAsia="Aptos" w:hAnsi="Aptos"/>
                <w:sz w:val="18"/>
              </w:rPr>
              <w:t>May involve insolvency, bankruptcy, major breach, restructuring, or severe past due</w:t>
            </w:r>
          </w:p>
        </w:tc>
      </w:tr>
      <w:tr w:rsidR="004E7811" w:rsidTr="000C2DAD">
        <w:trPr>
          <w:jc w:val="center"/>
        </w:trPr>
        <w:tc>
          <w:tcPr>
            <w:tcW w:w="2016" w:type="dxa"/>
            <w:tcMar>
              <w:top w:w="70" w:type="dxa"/>
              <w:left w:w="70" w:type="dxa"/>
              <w:bottom w:w="70" w:type="dxa"/>
              <w:right w:w="70" w:type="dxa"/>
            </w:tcMar>
            <w:vAlign w:val="center"/>
          </w:tcPr>
          <w:p w:rsidR="004E7811" w:rsidRDefault="004E7811" w:rsidP="000C2DAD">
            <w:pPr>
              <w:jc w:val="center"/>
            </w:pPr>
            <w:r>
              <w:rPr>
                <w:rFonts w:ascii="Aptos" w:eastAsia="Aptos" w:hAnsi="Aptos"/>
                <w:sz w:val="18"/>
              </w:rPr>
              <w:t>Impairment</w:t>
            </w:r>
          </w:p>
        </w:tc>
        <w:tc>
          <w:tcPr>
            <w:tcW w:w="3168" w:type="dxa"/>
            <w:tcMar>
              <w:top w:w="70" w:type="dxa"/>
              <w:left w:w="70" w:type="dxa"/>
              <w:bottom w:w="70" w:type="dxa"/>
              <w:right w:w="70" w:type="dxa"/>
            </w:tcMar>
            <w:vAlign w:val="center"/>
          </w:tcPr>
          <w:p w:rsidR="004E7811" w:rsidRDefault="004E7811" w:rsidP="000C2DAD">
            <w:r>
              <w:rPr>
                <w:rFonts w:ascii="Aptos" w:eastAsia="Aptos" w:hAnsi="Aptos"/>
                <w:sz w:val="18"/>
              </w:rPr>
              <w:t>The exposure is credit impaired</w:t>
            </w:r>
          </w:p>
        </w:tc>
        <w:tc>
          <w:tcPr>
            <w:tcW w:w="5616" w:type="dxa"/>
            <w:tcMar>
              <w:top w:w="70" w:type="dxa"/>
              <w:left w:w="70" w:type="dxa"/>
              <w:bottom w:w="70" w:type="dxa"/>
              <w:right w:w="70" w:type="dxa"/>
            </w:tcMar>
            <w:vAlign w:val="center"/>
          </w:tcPr>
          <w:p w:rsidR="004E7811" w:rsidRDefault="004E7811" w:rsidP="000C2DAD">
            <w:r>
              <w:rPr>
                <w:rFonts w:ascii="Aptos" w:eastAsia="Aptos" w:hAnsi="Aptos"/>
                <w:sz w:val="18"/>
              </w:rPr>
              <w:t>The bank believes recovery is materially weakened and Stage 3 applies</w:t>
            </w:r>
          </w:p>
        </w:tc>
      </w:tr>
    </w:tbl>
    <w:p w:rsidR="004E7811" w:rsidRDefault="004E7811" w:rsidP="004E7811">
      <w:pPr>
        <w:spacing w:after="80"/>
        <w:rPr>
          <w:rFonts w:ascii="Aptos" w:eastAsia="Aptos" w:hAnsi="Aptos"/>
        </w:rPr>
      </w:pPr>
    </w:p>
    <w:p w:rsidR="004E7811" w:rsidRDefault="004E7811" w:rsidP="004E7811">
      <w:pPr>
        <w:spacing w:after="80"/>
      </w:pPr>
      <w:r>
        <w:rPr>
          <w:rFonts w:ascii="Aptos" w:eastAsia="Aptos" w:hAnsi="Aptos"/>
        </w:rPr>
        <w:t>In practice, delinquency is one possible signal, default is the deeper credit event, and impairment is the accounting conclusion that follows the bank's policy and judgement.</w:t>
      </w:r>
    </w:p>
    <w:p w:rsidR="004E7811" w:rsidRDefault="004E7811" w:rsidP="004E7811">
      <w:pPr>
        <w:spacing w:after="80"/>
        <w:rPr>
          <w:rFonts w:ascii="Aptos" w:eastAsia="Aptos" w:hAnsi="Aptos"/>
        </w:rPr>
      </w:pPr>
      <w:r>
        <w:rPr>
          <w:rFonts w:ascii="Aptos" w:eastAsia="Aptos" w:hAnsi="Aptos"/>
        </w:rPr>
        <w:t xml:space="preserve">In CIB, an exposure can be stressed long before it is technically past due. </w:t>
      </w:r>
    </w:p>
    <w:p w:rsidR="004E7811" w:rsidRDefault="004E7811" w:rsidP="004E7811">
      <w:pPr>
        <w:spacing w:after="80"/>
      </w:pPr>
      <w:r>
        <w:rPr>
          <w:rFonts w:ascii="Aptos" w:eastAsia="Aptos" w:hAnsi="Aptos"/>
        </w:rPr>
        <w:t>That is why internal rating migration and committee judgement are often more important than a simple days-past-due count.</w:t>
      </w:r>
    </w:p>
    <w:p w:rsidR="00506256" w:rsidRDefault="00000000">
      <w:pPr>
        <w:pStyle w:val="Heading1"/>
      </w:pPr>
      <w:r>
        <w:t>6. Staging logic</w:t>
      </w:r>
    </w:p>
    <w:p w:rsidR="00E84AEF" w:rsidRDefault="00000000">
      <w:r>
        <w:t xml:space="preserve">Staging is the engine of IFRS 9. </w:t>
      </w:r>
    </w:p>
    <w:p w:rsidR="00E84AEF" w:rsidRDefault="00000000">
      <w:r>
        <w:t xml:space="preserve">Stage 1 means the borrower is performing normally. </w:t>
      </w:r>
    </w:p>
    <w:p w:rsidR="00E84AEF" w:rsidRDefault="00000000">
      <w:r>
        <w:t xml:space="preserve">Stage 2 means credit risk has increased significantly. </w:t>
      </w:r>
    </w:p>
    <w:p w:rsidR="00506256" w:rsidRDefault="00000000">
      <w:r>
        <w:t>Stage 3 means the exposure is impaired or default-like.</w:t>
      </w:r>
    </w:p>
    <w:p w:rsidR="00506256" w:rsidRDefault="00000000">
      <w:r>
        <w:rPr>
          <w:noProof/>
        </w:rPr>
        <w:drawing>
          <wp:inline distT="0" distB="0" distL="0" distR="0">
            <wp:extent cx="5852160" cy="21710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ladder.png"/>
                    <pic:cNvPicPr/>
                  </pic:nvPicPr>
                  <pic:blipFill>
                    <a:blip r:embed="rId8"/>
                    <a:stretch>
                      <a:fillRect/>
                    </a:stretch>
                  </pic:blipFill>
                  <pic:spPr>
                    <a:xfrm>
                      <a:off x="0" y="0"/>
                      <a:ext cx="5852160" cy="217109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728"/>
        <w:gridCol w:w="4608"/>
        <w:gridCol w:w="2160"/>
      </w:tblGrid>
      <w:tr w:rsidR="00506256">
        <w:trPr>
          <w:jc w:val="center"/>
        </w:trPr>
        <w:tc>
          <w:tcPr>
            <w:tcW w:w="1728" w:type="dxa"/>
            <w:shd w:val="clear" w:color="auto" w:fill="D9EAF7"/>
            <w:tcMar>
              <w:top w:w="80" w:type="dxa"/>
              <w:left w:w="80" w:type="dxa"/>
              <w:bottom w:w="80" w:type="dxa"/>
              <w:right w:w="80" w:type="dxa"/>
            </w:tcMar>
            <w:vAlign w:val="center"/>
          </w:tcPr>
          <w:p w:rsidR="00506256" w:rsidRDefault="00000000">
            <w:r>
              <w:rPr>
                <w:b/>
                <w:sz w:val="19"/>
              </w:rPr>
              <w:t>Stage</w:t>
            </w:r>
          </w:p>
        </w:tc>
        <w:tc>
          <w:tcPr>
            <w:tcW w:w="4608" w:type="dxa"/>
            <w:shd w:val="clear" w:color="auto" w:fill="D9EAF7"/>
            <w:tcMar>
              <w:top w:w="80" w:type="dxa"/>
              <w:left w:w="80" w:type="dxa"/>
              <w:bottom w:w="80" w:type="dxa"/>
              <w:right w:w="80" w:type="dxa"/>
            </w:tcMar>
            <w:vAlign w:val="center"/>
          </w:tcPr>
          <w:p w:rsidR="00506256" w:rsidRDefault="00000000">
            <w:r>
              <w:rPr>
                <w:b/>
                <w:sz w:val="19"/>
              </w:rPr>
              <w:t>Meaning</w:t>
            </w:r>
          </w:p>
        </w:tc>
        <w:tc>
          <w:tcPr>
            <w:tcW w:w="2160" w:type="dxa"/>
            <w:shd w:val="clear" w:color="auto" w:fill="D9EAF7"/>
            <w:tcMar>
              <w:top w:w="80" w:type="dxa"/>
              <w:left w:w="80" w:type="dxa"/>
              <w:bottom w:w="80" w:type="dxa"/>
              <w:right w:w="80" w:type="dxa"/>
            </w:tcMar>
            <w:vAlign w:val="center"/>
          </w:tcPr>
          <w:p w:rsidR="00506256" w:rsidRDefault="00000000">
            <w:r>
              <w:rPr>
                <w:b/>
                <w:sz w:val="19"/>
              </w:rPr>
              <w:t>ECL horizon</w:t>
            </w:r>
          </w:p>
        </w:tc>
      </w:tr>
      <w:tr w:rsidR="00506256">
        <w:trPr>
          <w:jc w:val="center"/>
        </w:trPr>
        <w:tc>
          <w:tcPr>
            <w:tcW w:w="1728" w:type="dxa"/>
            <w:tcMar>
              <w:top w:w="80" w:type="dxa"/>
              <w:left w:w="80" w:type="dxa"/>
              <w:bottom w:w="80" w:type="dxa"/>
              <w:right w:w="80" w:type="dxa"/>
            </w:tcMar>
            <w:vAlign w:val="center"/>
          </w:tcPr>
          <w:p w:rsidR="00506256" w:rsidRDefault="00000000">
            <w:r>
              <w:rPr>
                <w:sz w:val="19"/>
              </w:rPr>
              <w:t>Stage 1</w:t>
            </w:r>
          </w:p>
        </w:tc>
        <w:tc>
          <w:tcPr>
            <w:tcW w:w="4608" w:type="dxa"/>
            <w:tcMar>
              <w:top w:w="80" w:type="dxa"/>
              <w:left w:w="80" w:type="dxa"/>
              <w:bottom w:w="80" w:type="dxa"/>
              <w:right w:w="80" w:type="dxa"/>
            </w:tcMar>
            <w:vAlign w:val="center"/>
          </w:tcPr>
          <w:p w:rsidR="00506256" w:rsidRDefault="00000000">
            <w:r>
              <w:rPr>
                <w:sz w:val="19"/>
              </w:rPr>
              <w:t>No significant increase in credit risk</w:t>
            </w:r>
          </w:p>
        </w:tc>
        <w:tc>
          <w:tcPr>
            <w:tcW w:w="2160" w:type="dxa"/>
            <w:tcMar>
              <w:top w:w="80" w:type="dxa"/>
              <w:left w:w="80" w:type="dxa"/>
              <w:bottom w:w="80" w:type="dxa"/>
              <w:right w:w="80" w:type="dxa"/>
            </w:tcMar>
            <w:vAlign w:val="center"/>
          </w:tcPr>
          <w:p w:rsidR="00506256" w:rsidRDefault="00000000">
            <w:r>
              <w:rPr>
                <w:sz w:val="19"/>
              </w:rPr>
              <w:t>12-month ECL</w:t>
            </w:r>
          </w:p>
        </w:tc>
      </w:tr>
      <w:tr w:rsidR="00506256">
        <w:trPr>
          <w:jc w:val="center"/>
        </w:trPr>
        <w:tc>
          <w:tcPr>
            <w:tcW w:w="1728" w:type="dxa"/>
            <w:tcMar>
              <w:top w:w="80" w:type="dxa"/>
              <w:left w:w="80" w:type="dxa"/>
              <w:bottom w:w="80" w:type="dxa"/>
              <w:right w:w="80" w:type="dxa"/>
            </w:tcMar>
            <w:vAlign w:val="center"/>
          </w:tcPr>
          <w:p w:rsidR="00506256" w:rsidRDefault="00000000">
            <w:r>
              <w:rPr>
                <w:sz w:val="19"/>
              </w:rPr>
              <w:t>Stage 2</w:t>
            </w:r>
          </w:p>
        </w:tc>
        <w:tc>
          <w:tcPr>
            <w:tcW w:w="4608" w:type="dxa"/>
            <w:tcMar>
              <w:top w:w="80" w:type="dxa"/>
              <w:left w:w="80" w:type="dxa"/>
              <w:bottom w:w="80" w:type="dxa"/>
              <w:right w:w="80" w:type="dxa"/>
            </w:tcMar>
            <w:vAlign w:val="center"/>
          </w:tcPr>
          <w:p w:rsidR="00506256" w:rsidRDefault="00000000">
            <w:r>
              <w:rPr>
                <w:sz w:val="19"/>
              </w:rPr>
              <w:t>SICR triggered</w:t>
            </w:r>
          </w:p>
        </w:tc>
        <w:tc>
          <w:tcPr>
            <w:tcW w:w="2160" w:type="dxa"/>
            <w:tcMar>
              <w:top w:w="80" w:type="dxa"/>
              <w:left w:w="80" w:type="dxa"/>
              <w:bottom w:w="80" w:type="dxa"/>
              <w:right w:w="80" w:type="dxa"/>
            </w:tcMar>
            <w:vAlign w:val="center"/>
          </w:tcPr>
          <w:p w:rsidR="00506256" w:rsidRDefault="00000000">
            <w:r>
              <w:rPr>
                <w:sz w:val="19"/>
              </w:rPr>
              <w:t>Lifetime ECL</w:t>
            </w:r>
          </w:p>
        </w:tc>
      </w:tr>
      <w:tr w:rsidR="00506256">
        <w:trPr>
          <w:jc w:val="center"/>
        </w:trPr>
        <w:tc>
          <w:tcPr>
            <w:tcW w:w="1728" w:type="dxa"/>
            <w:tcMar>
              <w:top w:w="80" w:type="dxa"/>
              <w:left w:w="80" w:type="dxa"/>
              <w:bottom w:w="80" w:type="dxa"/>
              <w:right w:w="80" w:type="dxa"/>
            </w:tcMar>
            <w:vAlign w:val="center"/>
          </w:tcPr>
          <w:p w:rsidR="00506256" w:rsidRDefault="00000000">
            <w:r>
              <w:rPr>
                <w:sz w:val="19"/>
              </w:rPr>
              <w:t>Stage 3</w:t>
            </w:r>
          </w:p>
        </w:tc>
        <w:tc>
          <w:tcPr>
            <w:tcW w:w="4608" w:type="dxa"/>
            <w:tcMar>
              <w:top w:w="80" w:type="dxa"/>
              <w:left w:w="80" w:type="dxa"/>
              <w:bottom w:w="80" w:type="dxa"/>
              <w:right w:w="80" w:type="dxa"/>
            </w:tcMar>
            <w:vAlign w:val="center"/>
          </w:tcPr>
          <w:p w:rsidR="00506256" w:rsidRDefault="00000000">
            <w:r>
              <w:rPr>
                <w:sz w:val="19"/>
              </w:rPr>
              <w:t>Impaired / default-like</w:t>
            </w:r>
          </w:p>
        </w:tc>
        <w:tc>
          <w:tcPr>
            <w:tcW w:w="2160" w:type="dxa"/>
            <w:tcMar>
              <w:top w:w="80" w:type="dxa"/>
              <w:left w:w="80" w:type="dxa"/>
              <w:bottom w:w="80" w:type="dxa"/>
              <w:right w:w="80" w:type="dxa"/>
            </w:tcMar>
            <w:vAlign w:val="center"/>
          </w:tcPr>
          <w:p w:rsidR="00506256" w:rsidRDefault="00000000">
            <w:r>
              <w:rPr>
                <w:sz w:val="19"/>
              </w:rPr>
              <w:t>Lifetime ECL with impairment focus</w:t>
            </w:r>
          </w:p>
        </w:tc>
      </w:tr>
    </w:tbl>
    <w:p w:rsidR="004E7811" w:rsidRDefault="004E7811" w:rsidP="004E7811">
      <w:pPr>
        <w:pStyle w:val="Heading1"/>
        <w:spacing w:before="160" w:after="80"/>
      </w:pPr>
      <w:r>
        <w:rPr>
          <w:color w:val="1F4E79"/>
          <w:sz w:val="30"/>
        </w:rPr>
        <w:lastRenderedPageBreak/>
        <w:t>The staging logic in one simple framework</w:t>
      </w:r>
    </w:p>
    <w:p w:rsidR="004E7811" w:rsidRDefault="004E7811" w:rsidP="004E7811">
      <w:pPr>
        <w:spacing w:after="80"/>
      </w:pPr>
      <w:r>
        <w:rPr>
          <w:rFonts w:ascii="Aptos" w:eastAsia="Aptos" w:hAnsi="Aptos"/>
        </w:rPr>
        <w:t>Stage 1 means the account is performing and has not shown a significant increase in credit risk since origination or since the last staging reset. For Stage 1, the bank books 12-month expected credit loss.</w:t>
      </w:r>
    </w:p>
    <w:p w:rsidR="004E7811" w:rsidRDefault="004E7811" w:rsidP="004E7811">
      <w:pPr>
        <w:spacing w:after="80"/>
      </w:pPr>
      <w:r>
        <w:rPr>
          <w:rFonts w:ascii="Aptos" w:eastAsia="Aptos" w:hAnsi="Aptos"/>
        </w:rPr>
        <w:t>Stage 2 means the account is still alive, but credit risk has increased significantly. The bank now books lifetime expected credit loss because the borrower has moved into a higher-risk zone.</w:t>
      </w:r>
    </w:p>
    <w:p w:rsidR="004E7811" w:rsidRDefault="004E7811" w:rsidP="004E7811">
      <w:pPr>
        <w:spacing w:after="80"/>
      </w:pPr>
      <w:r>
        <w:rPr>
          <w:rFonts w:ascii="Aptos" w:eastAsia="Aptos" w:hAnsi="Aptos"/>
        </w:rPr>
        <w:t>Stage 3 means the account is credit impaired or defaulted. At this point the borrower is no longer treated as a normal performing exposure, and the impairment is assessed much more aggressively.</w:t>
      </w:r>
    </w:p>
    <w:tbl>
      <w:tblPr>
        <w:tblW w:w="0" w:type="auto"/>
        <w:jc w:val="center"/>
        <w:tblLook w:val="04A0" w:firstRow="1" w:lastRow="0" w:firstColumn="1" w:lastColumn="0" w:noHBand="0" w:noVBand="1"/>
      </w:tblPr>
      <w:tblGrid>
        <w:gridCol w:w="9936"/>
      </w:tblGrid>
      <w:tr w:rsidR="004E7811" w:rsidTr="000C2DAD">
        <w:trPr>
          <w:jc w:val="center"/>
        </w:trPr>
        <w:tc>
          <w:tcPr>
            <w:tcW w:w="9936" w:type="dxa"/>
            <w:shd w:val="clear" w:color="auto" w:fill="FFF7E8"/>
            <w:tcMar>
              <w:top w:w="140" w:type="dxa"/>
              <w:left w:w="140" w:type="dxa"/>
              <w:bottom w:w="140" w:type="dxa"/>
              <w:right w:w="140" w:type="dxa"/>
            </w:tcMar>
          </w:tcPr>
          <w:p w:rsidR="004E7811" w:rsidRDefault="004E7811" w:rsidP="000C2DAD">
            <w:pPr>
              <w:spacing w:after="80"/>
            </w:pPr>
            <w:r>
              <w:rPr>
                <w:b/>
                <w:color w:val="1F4E79"/>
                <w:sz w:val="23"/>
              </w:rPr>
              <w:t>Think of it like this</w:t>
            </w:r>
          </w:p>
          <w:p w:rsidR="004E7811" w:rsidRDefault="004E7811" w:rsidP="000C2DAD">
            <w:pPr>
              <w:spacing w:after="40"/>
            </w:pPr>
            <w:r>
              <w:rPr>
                <w:sz w:val="20"/>
              </w:rPr>
              <w:t>Stage 1 = healthy borrower</w:t>
            </w:r>
          </w:p>
          <w:p w:rsidR="004E7811" w:rsidRDefault="004E7811" w:rsidP="000C2DAD">
            <w:pPr>
              <w:spacing w:after="40"/>
            </w:pPr>
            <w:r>
              <w:rPr>
                <w:sz w:val="20"/>
              </w:rPr>
              <w:t>Stage 2 = borrower showing warning signs</w:t>
            </w:r>
          </w:p>
          <w:p w:rsidR="004E7811" w:rsidRDefault="004E7811" w:rsidP="000C2DAD">
            <w:pPr>
              <w:spacing w:after="40"/>
            </w:pPr>
            <w:r>
              <w:rPr>
                <w:sz w:val="20"/>
              </w:rPr>
              <w:t>Stage 3 = borrower has crossed into default / impairment</w:t>
            </w:r>
          </w:p>
        </w:tc>
      </w:tr>
    </w:tbl>
    <w:p w:rsidR="00506256" w:rsidRDefault="00000000">
      <w:pPr>
        <w:pStyle w:val="Heading1"/>
      </w:pPr>
      <w:r>
        <w:t>7. SICR: significant increase in credit risk</w:t>
      </w:r>
    </w:p>
    <w:p w:rsidR="00506256" w:rsidRDefault="00000000">
      <w:r>
        <w:t>SICR is the bridge from Stage 1 to Stage 2. A common way to think about it is to compare the current behavioral PD with the PD at origination.</w:t>
      </w:r>
    </w:p>
    <w:tbl>
      <w:tblPr>
        <w:tblStyle w:val="TableGrid"/>
        <w:tblW w:w="0" w:type="auto"/>
        <w:jc w:val="center"/>
        <w:tblLook w:val="04A0" w:firstRow="1" w:lastRow="0" w:firstColumn="1" w:lastColumn="0" w:noHBand="0" w:noVBand="1"/>
      </w:tblPr>
      <w:tblGrid>
        <w:gridCol w:w="2016"/>
        <w:gridCol w:w="3744"/>
        <w:gridCol w:w="4032"/>
      </w:tblGrid>
      <w:tr w:rsidR="00506256">
        <w:trPr>
          <w:jc w:val="center"/>
        </w:trPr>
        <w:tc>
          <w:tcPr>
            <w:tcW w:w="2016" w:type="dxa"/>
            <w:shd w:val="clear" w:color="auto" w:fill="D9EAF7"/>
            <w:tcMar>
              <w:top w:w="80" w:type="dxa"/>
              <w:left w:w="80" w:type="dxa"/>
              <w:bottom w:w="80" w:type="dxa"/>
              <w:right w:w="80" w:type="dxa"/>
            </w:tcMar>
            <w:vAlign w:val="center"/>
          </w:tcPr>
          <w:p w:rsidR="00506256" w:rsidRDefault="00000000">
            <w:r>
              <w:rPr>
                <w:b/>
                <w:sz w:val="19"/>
              </w:rPr>
              <w:t>SICR lens</w:t>
            </w:r>
          </w:p>
        </w:tc>
        <w:tc>
          <w:tcPr>
            <w:tcW w:w="3744" w:type="dxa"/>
            <w:shd w:val="clear" w:color="auto" w:fill="D9EAF7"/>
            <w:tcMar>
              <w:top w:w="80" w:type="dxa"/>
              <w:left w:w="80" w:type="dxa"/>
              <w:bottom w:w="80" w:type="dxa"/>
              <w:right w:w="80" w:type="dxa"/>
            </w:tcMar>
            <w:vAlign w:val="center"/>
          </w:tcPr>
          <w:p w:rsidR="00506256" w:rsidRDefault="00000000">
            <w:r>
              <w:rPr>
                <w:b/>
                <w:sz w:val="19"/>
              </w:rPr>
              <w:t>What it asks</w:t>
            </w:r>
          </w:p>
        </w:tc>
        <w:tc>
          <w:tcPr>
            <w:tcW w:w="4032" w:type="dxa"/>
            <w:shd w:val="clear" w:color="auto" w:fill="D9EAF7"/>
            <w:tcMar>
              <w:top w:w="80" w:type="dxa"/>
              <w:left w:w="80" w:type="dxa"/>
              <w:bottom w:w="80" w:type="dxa"/>
              <w:right w:w="80" w:type="dxa"/>
            </w:tcMar>
            <w:vAlign w:val="center"/>
          </w:tcPr>
          <w:p w:rsidR="00506256" w:rsidRDefault="00000000">
            <w:r>
              <w:rPr>
                <w:b/>
                <w:sz w:val="19"/>
              </w:rPr>
              <w:t>Why it matters</w:t>
            </w:r>
          </w:p>
        </w:tc>
      </w:tr>
      <w:tr w:rsidR="00506256">
        <w:trPr>
          <w:jc w:val="center"/>
        </w:trPr>
        <w:tc>
          <w:tcPr>
            <w:tcW w:w="2016" w:type="dxa"/>
            <w:tcMar>
              <w:top w:w="80" w:type="dxa"/>
              <w:left w:w="80" w:type="dxa"/>
              <w:bottom w:w="80" w:type="dxa"/>
              <w:right w:w="80" w:type="dxa"/>
            </w:tcMar>
            <w:vAlign w:val="center"/>
          </w:tcPr>
          <w:p w:rsidR="00506256" w:rsidRDefault="00000000">
            <w:r>
              <w:rPr>
                <w:sz w:val="19"/>
              </w:rPr>
              <w:t>Absolute threshold</w:t>
            </w:r>
          </w:p>
        </w:tc>
        <w:tc>
          <w:tcPr>
            <w:tcW w:w="3744" w:type="dxa"/>
            <w:tcMar>
              <w:top w:w="80" w:type="dxa"/>
              <w:left w:w="80" w:type="dxa"/>
              <w:bottom w:w="80" w:type="dxa"/>
              <w:right w:w="80" w:type="dxa"/>
            </w:tcMar>
            <w:vAlign w:val="center"/>
          </w:tcPr>
          <w:p w:rsidR="00506256" w:rsidRDefault="00000000">
            <w:r>
              <w:rPr>
                <w:sz w:val="19"/>
              </w:rPr>
              <w:t>Has PD moved by a meaningful amount?</w:t>
            </w:r>
          </w:p>
        </w:tc>
        <w:tc>
          <w:tcPr>
            <w:tcW w:w="4032" w:type="dxa"/>
            <w:tcMar>
              <w:top w:w="80" w:type="dxa"/>
              <w:left w:w="80" w:type="dxa"/>
              <w:bottom w:w="80" w:type="dxa"/>
              <w:right w:w="80" w:type="dxa"/>
            </w:tcMar>
            <w:vAlign w:val="center"/>
          </w:tcPr>
          <w:p w:rsidR="00506256" w:rsidRDefault="00000000">
            <w:r>
              <w:rPr>
                <w:sz w:val="19"/>
              </w:rPr>
              <w:t>Useful when risk levels are comparable</w:t>
            </w:r>
          </w:p>
        </w:tc>
      </w:tr>
      <w:tr w:rsidR="00506256">
        <w:trPr>
          <w:jc w:val="center"/>
        </w:trPr>
        <w:tc>
          <w:tcPr>
            <w:tcW w:w="2016" w:type="dxa"/>
            <w:tcMar>
              <w:top w:w="80" w:type="dxa"/>
              <w:left w:w="80" w:type="dxa"/>
              <w:bottom w:w="80" w:type="dxa"/>
              <w:right w:w="80" w:type="dxa"/>
            </w:tcMar>
            <w:vAlign w:val="center"/>
          </w:tcPr>
          <w:p w:rsidR="00506256" w:rsidRDefault="00000000">
            <w:r>
              <w:rPr>
                <w:sz w:val="19"/>
              </w:rPr>
              <w:t>Relative threshold</w:t>
            </w:r>
          </w:p>
        </w:tc>
        <w:tc>
          <w:tcPr>
            <w:tcW w:w="3744" w:type="dxa"/>
            <w:tcMar>
              <w:top w:w="80" w:type="dxa"/>
              <w:left w:w="80" w:type="dxa"/>
              <w:bottom w:w="80" w:type="dxa"/>
              <w:right w:w="80" w:type="dxa"/>
            </w:tcMar>
            <w:vAlign w:val="center"/>
          </w:tcPr>
          <w:p w:rsidR="00506256" w:rsidRDefault="00000000">
            <w:r>
              <w:rPr>
                <w:sz w:val="19"/>
              </w:rPr>
              <w:t>Has PD moved by a meaningful percentage?</w:t>
            </w:r>
          </w:p>
        </w:tc>
        <w:tc>
          <w:tcPr>
            <w:tcW w:w="4032" w:type="dxa"/>
            <w:tcMar>
              <w:top w:w="80" w:type="dxa"/>
              <w:left w:w="80" w:type="dxa"/>
              <w:bottom w:w="80" w:type="dxa"/>
              <w:right w:w="80" w:type="dxa"/>
            </w:tcMar>
            <w:vAlign w:val="center"/>
          </w:tcPr>
          <w:p w:rsidR="00506256" w:rsidRDefault="00000000">
            <w:r>
              <w:rPr>
                <w:sz w:val="19"/>
              </w:rPr>
              <w:t>Useful when starting PDs vary a lot</w:t>
            </w:r>
          </w:p>
        </w:tc>
      </w:tr>
      <w:tr w:rsidR="00506256">
        <w:trPr>
          <w:jc w:val="center"/>
        </w:trPr>
        <w:tc>
          <w:tcPr>
            <w:tcW w:w="2016" w:type="dxa"/>
            <w:tcMar>
              <w:top w:w="80" w:type="dxa"/>
              <w:left w:w="80" w:type="dxa"/>
              <w:bottom w:w="80" w:type="dxa"/>
              <w:right w:w="80" w:type="dxa"/>
            </w:tcMar>
            <w:vAlign w:val="center"/>
          </w:tcPr>
          <w:p w:rsidR="00506256" w:rsidRDefault="00000000">
            <w:r>
              <w:rPr>
                <w:sz w:val="19"/>
              </w:rPr>
              <w:t>Backstop rule</w:t>
            </w:r>
          </w:p>
        </w:tc>
        <w:tc>
          <w:tcPr>
            <w:tcW w:w="3744" w:type="dxa"/>
            <w:tcMar>
              <w:top w:w="80" w:type="dxa"/>
              <w:left w:w="80" w:type="dxa"/>
              <w:bottom w:w="80" w:type="dxa"/>
              <w:right w:w="80" w:type="dxa"/>
            </w:tcMar>
            <w:vAlign w:val="center"/>
          </w:tcPr>
          <w:p w:rsidR="00506256" w:rsidRDefault="00000000">
            <w:r>
              <w:rPr>
                <w:sz w:val="19"/>
              </w:rPr>
              <w:t>Has the borrower crossed a hard warning point?</w:t>
            </w:r>
          </w:p>
        </w:tc>
        <w:tc>
          <w:tcPr>
            <w:tcW w:w="4032" w:type="dxa"/>
            <w:tcMar>
              <w:top w:w="80" w:type="dxa"/>
              <w:left w:w="80" w:type="dxa"/>
              <w:bottom w:w="80" w:type="dxa"/>
              <w:right w:w="80" w:type="dxa"/>
            </w:tcMar>
            <w:vAlign w:val="center"/>
          </w:tcPr>
          <w:p w:rsidR="00506256" w:rsidRDefault="00000000">
            <w:r>
              <w:rPr>
                <w:sz w:val="19"/>
              </w:rPr>
              <w:t>Prevents obvious stress from being missed</w:t>
            </w:r>
          </w:p>
        </w:tc>
      </w:tr>
    </w:tbl>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t>Analogy</w:t>
            </w:r>
          </w:p>
          <w:p w:rsidR="00506256" w:rsidRDefault="00000000">
            <w:pPr>
              <w:spacing w:after="0"/>
            </w:pPr>
            <w:r>
              <w:t>The borrower is still walking, but now the pace is slowing and the breathing is heavier. That is not default yet, but it is no longer healthy either.</w:t>
            </w:r>
          </w:p>
        </w:tc>
      </w:tr>
    </w:tbl>
    <w:p w:rsidR="00506256" w:rsidRDefault="00000000">
      <w:r>
        <w:t>In CIB, SICR is often influenced by rating downgrade, covenant breach, restructuring, watchlist status, sector weakness, and management judgment. It is not only about a missed payment.</w:t>
      </w:r>
    </w:p>
    <w:p w:rsidR="00E84AEF" w:rsidRDefault="004E7811" w:rsidP="004E7811">
      <w:pPr>
        <w:spacing w:after="80"/>
        <w:rPr>
          <w:rFonts w:ascii="Aptos" w:eastAsia="Aptos" w:hAnsi="Aptos"/>
        </w:rPr>
      </w:pPr>
      <w:r>
        <w:rPr>
          <w:rFonts w:ascii="Aptos" w:eastAsia="Aptos" w:hAnsi="Aptos"/>
        </w:rPr>
        <w:t xml:space="preserve">SICR stands for Significant Increase in Credit Risk. In CIB, it usually does not come from a single missed instalment. </w:t>
      </w:r>
    </w:p>
    <w:p w:rsidR="004E7811" w:rsidRDefault="004E7811" w:rsidP="004E7811">
      <w:pPr>
        <w:spacing w:after="80"/>
      </w:pPr>
      <w:r>
        <w:rPr>
          <w:rFonts w:ascii="Aptos" w:eastAsia="Aptos" w:hAnsi="Aptos"/>
        </w:rPr>
        <w:t xml:space="preserve">It is often inferred from a combination of rating downgrade, weakening financials, covenant stress, late information submission, increased </w:t>
      </w:r>
      <w:proofErr w:type="spellStart"/>
      <w:r>
        <w:rPr>
          <w:rFonts w:ascii="Aptos" w:eastAsia="Aptos" w:hAnsi="Aptos"/>
        </w:rPr>
        <w:t>utilisation</w:t>
      </w:r>
      <w:proofErr w:type="spellEnd"/>
      <w:r>
        <w:rPr>
          <w:rFonts w:ascii="Aptos" w:eastAsia="Aptos" w:hAnsi="Aptos"/>
        </w:rPr>
        <w:t>, negative industry trends, or a credit committee concern.</w:t>
      </w:r>
    </w:p>
    <w:p w:rsidR="00C82A6F" w:rsidRDefault="004E7811" w:rsidP="004E7811">
      <w:pPr>
        <w:spacing w:after="80"/>
        <w:rPr>
          <w:rFonts w:ascii="Aptos" w:eastAsia="Aptos" w:hAnsi="Aptos"/>
        </w:rPr>
      </w:pPr>
      <w:r>
        <w:rPr>
          <w:rFonts w:ascii="Aptos" w:eastAsia="Aptos" w:hAnsi="Aptos"/>
        </w:rPr>
        <w:t xml:space="preserve">The key idea is comparison. </w:t>
      </w:r>
    </w:p>
    <w:p w:rsidR="00E84AEF" w:rsidRDefault="004E7811" w:rsidP="004E7811">
      <w:pPr>
        <w:spacing w:after="80"/>
        <w:rPr>
          <w:rFonts w:ascii="Aptos" w:eastAsia="Aptos" w:hAnsi="Aptos"/>
        </w:rPr>
      </w:pPr>
      <w:r>
        <w:rPr>
          <w:rFonts w:ascii="Aptos" w:eastAsia="Aptos" w:hAnsi="Aptos"/>
        </w:rPr>
        <w:t xml:space="preserve">The bank compares the borrower's current risk position with the position at origination. </w:t>
      </w:r>
    </w:p>
    <w:p w:rsidR="004E7811" w:rsidRDefault="004E7811" w:rsidP="004E7811">
      <w:pPr>
        <w:spacing w:after="80"/>
      </w:pPr>
      <w:r>
        <w:rPr>
          <w:rFonts w:ascii="Aptos" w:eastAsia="Aptos" w:hAnsi="Aptos"/>
        </w:rPr>
        <w:t>If the current position is materially worse, the account may move from Stage 1 to Stage 2.</w:t>
      </w:r>
    </w:p>
    <w:p w:rsidR="00E84AEF" w:rsidRDefault="004E7811" w:rsidP="004E7811">
      <w:pPr>
        <w:spacing w:after="80"/>
        <w:rPr>
          <w:rFonts w:ascii="Aptos" w:eastAsia="Aptos" w:hAnsi="Aptos"/>
        </w:rPr>
      </w:pPr>
      <w:r>
        <w:rPr>
          <w:rFonts w:ascii="Aptos" w:eastAsia="Aptos" w:hAnsi="Aptos"/>
        </w:rPr>
        <w:t xml:space="preserve">This is why CIB staging is judgement-heavy. </w:t>
      </w:r>
    </w:p>
    <w:p w:rsidR="004E7811" w:rsidRDefault="004E7811" w:rsidP="004E7811">
      <w:pPr>
        <w:spacing w:after="80"/>
        <w:rPr>
          <w:rFonts w:ascii="Aptos" w:eastAsia="Aptos" w:hAnsi="Aptos"/>
        </w:rPr>
      </w:pPr>
      <w:r>
        <w:rPr>
          <w:rFonts w:ascii="Aptos" w:eastAsia="Aptos" w:hAnsi="Aptos"/>
        </w:rPr>
        <w:t>Two borrowers can both still be paying on time, but one may already be moving into Stage 2 because the business has deteriorated faster.</w:t>
      </w:r>
    </w:p>
    <w:p w:rsidR="00E84AEF" w:rsidRDefault="00E84AEF" w:rsidP="004E7811">
      <w:pPr>
        <w:spacing w:after="80"/>
      </w:pPr>
    </w:p>
    <w:tbl>
      <w:tblPr>
        <w:tblW w:w="0" w:type="auto"/>
        <w:jc w:val="center"/>
        <w:tblLook w:val="04A0" w:firstRow="1" w:lastRow="0" w:firstColumn="1" w:lastColumn="0" w:noHBand="0" w:noVBand="1"/>
      </w:tblPr>
      <w:tblGrid>
        <w:gridCol w:w="9936"/>
      </w:tblGrid>
      <w:tr w:rsidR="004E7811" w:rsidTr="000C2DAD">
        <w:trPr>
          <w:jc w:val="center"/>
        </w:trPr>
        <w:tc>
          <w:tcPr>
            <w:tcW w:w="9936" w:type="dxa"/>
            <w:shd w:val="clear" w:color="auto" w:fill="F3F7FB"/>
            <w:tcMar>
              <w:top w:w="140" w:type="dxa"/>
              <w:left w:w="140" w:type="dxa"/>
              <w:bottom w:w="140" w:type="dxa"/>
              <w:right w:w="140" w:type="dxa"/>
            </w:tcMar>
          </w:tcPr>
          <w:p w:rsidR="004E7811" w:rsidRDefault="004E7811" w:rsidP="000C2DAD">
            <w:pPr>
              <w:spacing w:after="80"/>
            </w:pPr>
            <w:r>
              <w:rPr>
                <w:b/>
                <w:color w:val="1F4E79"/>
                <w:sz w:val="23"/>
              </w:rPr>
              <w:lastRenderedPageBreak/>
              <w:t>Absolute vs relative threshold</w:t>
            </w:r>
          </w:p>
          <w:p w:rsidR="004E7811" w:rsidRDefault="004E7811" w:rsidP="000C2DAD">
            <w:pPr>
              <w:spacing w:after="40"/>
            </w:pPr>
            <w:r>
              <w:rPr>
                <w:sz w:val="20"/>
              </w:rPr>
              <w:t>Absolute view: 'Has the rating fallen below a bank-defined cut-off?'</w:t>
            </w:r>
          </w:p>
          <w:p w:rsidR="004E7811" w:rsidRDefault="004E7811" w:rsidP="000C2DAD">
            <w:pPr>
              <w:spacing w:after="40"/>
            </w:pPr>
            <w:r>
              <w:rPr>
                <w:sz w:val="20"/>
              </w:rPr>
              <w:t>Relative view: 'Has the current PD moved sharply above the origination PD?'</w:t>
            </w:r>
          </w:p>
          <w:p w:rsidR="004E7811" w:rsidRDefault="004E7811" w:rsidP="000C2DAD">
            <w:pPr>
              <w:spacing w:after="40"/>
            </w:pPr>
            <w:r>
              <w:rPr>
                <w:sz w:val="20"/>
              </w:rPr>
              <w:t>Backstop view: 'Has the exposure crossed a hard warning rule such as 30 DPD or another policy trigger?'</w:t>
            </w:r>
          </w:p>
        </w:tc>
      </w:tr>
    </w:tbl>
    <w:p w:rsidR="00506256" w:rsidRDefault="00000000">
      <w:pPr>
        <w:pStyle w:val="Heading1"/>
      </w:pPr>
      <w:r>
        <w:t>8. Expected credit loss: PD, LGD, and EAD</w:t>
      </w:r>
    </w:p>
    <w:p w:rsidR="00506256" w:rsidRDefault="00000000">
      <w:r>
        <w:t>The simplest formula is ECL = PD x LGD x EAD, with discounting and scenario weighting where relevant. PD is the chance of default, LGD is the share of loss if default happens, and EAD is the exposure outstanding when default happens.</w:t>
      </w:r>
    </w:p>
    <w:tbl>
      <w:tblPr>
        <w:tblStyle w:val="TableGrid"/>
        <w:tblW w:w="0" w:type="auto"/>
        <w:jc w:val="center"/>
        <w:tblLook w:val="04A0" w:firstRow="1" w:lastRow="0" w:firstColumn="1" w:lastColumn="0" w:noHBand="0" w:noVBand="1"/>
      </w:tblPr>
      <w:tblGrid>
        <w:gridCol w:w="1728"/>
        <w:gridCol w:w="1951"/>
        <w:gridCol w:w="4253"/>
      </w:tblGrid>
      <w:tr w:rsidR="00506256" w:rsidTr="00E84AEF">
        <w:trPr>
          <w:jc w:val="center"/>
        </w:trPr>
        <w:tc>
          <w:tcPr>
            <w:tcW w:w="1728" w:type="dxa"/>
            <w:shd w:val="clear" w:color="auto" w:fill="D9EAF7"/>
            <w:tcMar>
              <w:top w:w="80" w:type="dxa"/>
              <w:left w:w="80" w:type="dxa"/>
              <w:bottom w:w="80" w:type="dxa"/>
              <w:right w:w="80" w:type="dxa"/>
            </w:tcMar>
            <w:vAlign w:val="center"/>
          </w:tcPr>
          <w:p w:rsidR="00506256" w:rsidRDefault="00000000">
            <w:r>
              <w:rPr>
                <w:b/>
                <w:sz w:val="19"/>
              </w:rPr>
              <w:t>Component</w:t>
            </w:r>
          </w:p>
        </w:tc>
        <w:tc>
          <w:tcPr>
            <w:tcW w:w="1951" w:type="dxa"/>
            <w:shd w:val="clear" w:color="auto" w:fill="D9EAF7"/>
            <w:tcMar>
              <w:top w:w="80" w:type="dxa"/>
              <w:left w:w="80" w:type="dxa"/>
              <w:bottom w:w="80" w:type="dxa"/>
              <w:right w:w="80" w:type="dxa"/>
            </w:tcMar>
            <w:vAlign w:val="center"/>
          </w:tcPr>
          <w:p w:rsidR="00506256" w:rsidRDefault="00000000">
            <w:r>
              <w:rPr>
                <w:b/>
                <w:sz w:val="19"/>
              </w:rPr>
              <w:t>Meaning</w:t>
            </w:r>
          </w:p>
        </w:tc>
        <w:tc>
          <w:tcPr>
            <w:tcW w:w="4253" w:type="dxa"/>
            <w:shd w:val="clear" w:color="auto" w:fill="D9EAF7"/>
            <w:tcMar>
              <w:top w:w="80" w:type="dxa"/>
              <w:left w:w="80" w:type="dxa"/>
              <w:bottom w:w="80" w:type="dxa"/>
              <w:right w:w="80" w:type="dxa"/>
            </w:tcMar>
            <w:vAlign w:val="center"/>
          </w:tcPr>
          <w:p w:rsidR="00506256" w:rsidRDefault="00000000">
            <w:r>
              <w:rPr>
                <w:b/>
                <w:sz w:val="19"/>
              </w:rPr>
              <w:t>Example</w:t>
            </w:r>
          </w:p>
        </w:tc>
      </w:tr>
      <w:tr w:rsidR="00506256" w:rsidTr="00E84AEF">
        <w:trPr>
          <w:jc w:val="center"/>
        </w:trPr>
        <w:tc>
          <w:tcPr>
            <w:tcW w:w="1728" w:type="dxa"/>
            <w:tcMar>
              <w:top w:w="80" w:type="dxa"/>
              <w:left w:w="80" w:type="dxa"/>
              <w:bottom w:w="80" w:type="dxa"/>
              <w:right w:w="80" w:type="dxa"/>
            </w:tcMar>
            <w:vAlign w:val="center"/>
          </w:tcPr>
          <w:p w:rsidR="00506256" w:rsidRDefault="00000000">
            <w:r>
              <w:rPr>
                <w:sz w:val="19"/>
              </w:rPr>
              <w:t>PD</w:t>
            </w:r>
          </w:p>
        </w:tc>
        <w:tc>
          <w:tcPr>
            <w:tcW w:w="1951" w:type="dxa"/>
            <w:tcMar>
              <w:top w:w="80" w:type="dxa"/>
              <w:left w:w="80" w:type="dxa"/>
              <w:bottom w:w="80" w:type="dxa"/>
              <w:right w:w="80" w:type="dxa"/>
            </w:tcMar>
            <w:vAlign w:val="center"/>
          </w:tcPr>
          <w:p w:rsidR="00506256" w:rsidRDefault="00000000">
            <w:r>
              <w:rPr>
                <w:sz w:val="19"/>
              </w:rPr>
              <w:t>Probability of default</w:t>
            </w:r>
          </w:p>
        </w:tc>
        <w:tc>
          <w:tcPr>
            <w:tcW w:w="4253" w:type="dxa"/>
            <w:tcMar>
              <w:top w:w="80" w:type="dxa"/>
              <w:left w:w="80" w:type="dxa"/>
              <w:bottom w:w="80" w:type="dxa"/>
              <w:right w:w="80" w:type="dxa"/>
            </w:tcMar>
            <w:vAlign w:val="center"/>
          </w:tcPr>
          <w:p w:rsidR="00506256" w:rsidRDefault="00000000">
            <w:r>
              <w:rPr>
                <w:sz w:val="19"/>
              </w:rPr>
              <w:t>Chance the borrower fails in the chosen horizon</w:t>
            </w:r>
          </w:p>
        </w:tc>
      </w:tr>
      <w:tr w:rsidR="00506256" w:rsidTr="00E84AEF">
        <w:trPr>
          <w:jc w:val="center"/>
        </w:trPr>
        <w:tc>
          <w:tcPr>
            <w:tcW w:w="1728" w:type="dxa"/>
            <w:tcMar>
              <w:top w:w="80" w:type="dxa"/>
              <w:left w:w="80" w:type="dxa"/>
              <w:bottom w:w="80" w:type="dxa"/>
              <w:right w:w="80" w:type="dxa"/>
            </w:tcMar>
            <w:vAlign w:val="center"/>
          </w:tcPr>
          <w:p w:rsidR="00506256" w:rsidRDefault="00000000">
            <w:r>
              <w:rPr>
                <w:sz w:val="19"/>
              </w:rPr>
              <w:t>LGD</w:t>
            </w:r>
          </w:p>
        </w:tc>
        <w:tc>
          <w:tcPr>
            <w:tcW w:w="1951" w:type="dxa"/>
            <w:tcMar>
              <w:top w:w="80" w:type="dxa"/>
              <w:left w:w="80" w:type="dxa"/>
              <w:bottom w:w="80" w:type="dxa"/>
              <w:right w:w="80" w:type="dxa"/>
            </w:tcMar>
            <w:vAlign w:val="center"/>
          </w:tcPr>
          <w:p w:rsidR="00506256" w:rsidRDefault="00000000">
            <w:r>
              <w:rPr>
                <w:sz w:val="19"/>
              </w:rPr>
              <w:t>Loss given default</w:t>
            </w:r>
          </w:p>
        </w:tc>
        <w:tc>
          <w:tcPr>
            <w:tcW w:w="4253" w:type="dxa"/>
            <w:tcMar>
              <w:top w:w="80" w:type="dxa"/>
              <w:left w:w="80" w:type="dxa"/>
              <w:bottom w:w="80" w:type="dxa"/>
              <w:right w:w="80" w:type="dxa"/>
            </w:tcMar>
            <w:vAlign w:val="center"/>
          </w:tcPr>
          <w:p w:rsidR="00506256" w:rsidRDefault="00000000">
            <w:r>
              <w:rPr>
                <w:sz w:val="19"/>
              </w:rPr>
              <w:t>How much is lost after collateral and recoveries</w:t>
            </w:r>
          </w:p>
        </w:tc>
      </w:tr>
      <w:tr w:rsidR="00506256" w:rsidTr="00E84AEF">
        <w:trPr>
          <w:jc w:val="center"/>
        </w:trPr>
        <w:tc>
          <w:tcPr>
            <w:tcW w:w="1728" w:type="dxa"/>
            <w:tcMar>
              <w:top w:w="80" w:type="dxa"/>
              <w:left w:w="80" w:type="dxa"/>
              <w:bottom w:w="80" w:type="dxa"/>
              <w:right w:w="80" w:type="dxa"/>
            </w:tcMar>
            <w:vAlign w:val="center"/>
          </w:tcPr>
          <w:p w:rsidR="00506256" w:rsidRDefault="00000000">
            <w:r>
              <w:rPr>
                <w:sz w:val="19"/>
              </w:rPr>
              <w:t>EAD</w:t>
            </w:r>
          </w:p>
        </w:tc>
        <w:tc>
          <w:tcPr>
            <w:tcW w:w="1951" w:type="dxa"/>
            <w:tcMar>
              <w:top w:w="80" w:type="dxa"/>
              <w:left w:w="80" w:type="dxa"/>
              <w:bottom w:w="80" w:type="dxa"/>
              <w:right w:w="80" w:type="dxa"/>
            </w:tcMar>
            <w:vAlign w:val="center"/>
          </w:tcPr>
          <w:p w:rsidR="00506256" w:rsidRDefault="00000000">
            <w:r>
              <w:rPr>
                <w:sz w:val="19"/>
              </w:rPr>
              <w:t>Exposure at default</w:t>
            </w:r>
          </w:p>
        </w:tc>
        <w:tc>
          <w:tcPr>
            <w:tcW w:w="4253" w:type="dxa"/>
            <w:tcMar>
              <w:top w:w="80" w:type="dxa"/>
              <w:left w:w="80" w:type="dxa"/>
              <w:bottom w:w="80" w:type="dxa"/>
              <w:right w:w="80" w:type="dxa"/>
            </w:tcMar>
            <w:vAlign w:val="center"/>
          </w:tcPr>
          <w:p w:rsidR="00506256" w:rsidRDefault="00000000">
            <w:r>
              <w:rPr>
                <w:sz w:val="19"/>
              </w:rPr>
              <w:t>How much money is at risk when the event happens</w:t>
            </w:r>
          </w:p>
        </w:tc>
      </w:tr>
    </w:tbl>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t>Analogy</w:t>
            </w:r>
          </w:p>
          <w:p w:rsidR="00506256" w:rsidRDefault="00000000">
            <w:pPr>
              <w:spacing w:after="0"/>
            </w:pPr>
            <w:r>
              <w:t>PD tells you whether the roof might leak. LGD tells you how much damage the leak causes. EAD tells you how much furniture is under the roof.</w:t>
            </w:r>
          </w:p>
        </w:tc>
      </w:tr>
    </w:tbl>
    <w:p w:rsidR="004E7811" w:rsidRDefault="00000000">
      <w:r>
        <w:t>Discounting matters because a loss that is expected one year later is not the same as a loss today. The bank therefore brings future loss back to present value.</w:t>
      </w:r>
    </w:p>
    <w:tbl>
      <w:tblPr>
        <w:tblW w:w="0" w:type="auto"/>
        <w:jc w:val="center"/>
        <w:tblLook w:val="04A0" w:firstRow="1" w:lastRow="0" w:firstColumn="1" w:lastColumn="0" w:noHBand="0" w:noVBand="1"/>
      </w:tblPr>
      <w:tblGrid>
        <w:gridCol w:w="9936"/>
      </w:tblGrid>
      <w:tr w:rsidR="004E7811" w:rsidTr="000C2DAD">
        <w:trPr>
          <w:jc w:val="center"/>
        </w:trPr>
        <w:tc>
          <w:tcPr>
            <w:tcW w:w="9936" w:type="dxa"/>
            <w:shd w:val="clear" w:color="auto" w:fill="FFF7E8"/>
            <w:tcMar>
              <w:top w:w="140" w:type="dxa"/>
              <w:left w:w="140" w:type="dxa"/>
              <w:bottom w:w="140" w:type="dxa"/>
              <w:right w:w="140" w:type="dxa"/>
            </w:tcMar>
          </w:tcPr>
          <w:p w:rsidR="004E7811" w:rsidRDefault="004E7811" w:rsidP="000C2DAD">
            <w:pPr>
              <w:spacing w:after="80"/>
            </w:pPr>
            <w:r>
              <w:rPr>
                <w:b/>
                <w:color w:val="1F4E79"/>
                <w:sz w:val="23"/>
              </w:rPr>
              <w:t>Why the formula matters</w:t>
            </w:r>
          </w:p>
          <w:p w:rsidR="004E7811" w:rsidRDefault="004E7811" w:rsidP="000C2DAD">
            <w:pPr>
              <w:spacing w:after="40"/>
            </w:pPr>
            <w:r>
              <w:rPr>
                <w:sz w:val="20"/>
              </w:rPr>
              <w:t>A low PD borrower can still create large ECL if EAD is large.</w:t>
            </w:r>
          </w:p>
          <w:p w:rsidR="004E7811" w:rsidRDefault="004E7811" w:rsidP="000C2DAD">
            <w:pPr>
              <w:spacing w:after="40"/>
            </w:pPr>
            <w:r>
              <w:rPr>
                <w:sz w:val="20"/>
              </w:rPr>
              <w:t>A high PD borrower can still create moderate ECL if collateral reduces LGD.</w:t>
            </w:r>
          </w:p>
          <w:p w:rsidR="004E7811" w:rsidRDefault="004E7811" w:rsidP="000C2DAD">
            <w:pPr>
              <w:spacing w:after="40"/>
            </w:pPr>
            <w:r>
              <w:rPr>
                <w:sz w:val="20"/>
              </w:rPr>
              <w:t>A long-dated exposure can create higher lifetime ECL because risk has more time to build.</w:t>
            </w:r>
          </w:p>
        </w:tc>
      </w:tr>
    </w:tbl>
    <w:p w:rsidR="00506256" w:rsidRDefault="00000000">
      <w:pPr>
        <w:pStyle w:val="Heading1"/>
      </w:pPr>
      <w:r>
        <w:t>CIB-specific mapping: Risk Rating -&gt; PD -&gt; Stage -&gt; ECL</w:t>
      </w:r>
    </w:p>
    <w:p w:rsidR="00506256" w:rsidRDefault="00000000">
      <w:r>
        <w:t>In corporate and institutional banking, the workflow usually starts with the internal risk rating. That rating maps to PD. The PD then helps identify SICR, which drives the stage. Stage chooses the ECL horizon.</w:t>
      </w:r>
    </w:p>
    <w:tbl>
      <w:tblPr>
        <w:tblStyle w:val="TableGrid"/>
        <w:tblW w:w="0" w:type="auto"/>
        <w:jc w:val="center"/>
        <w:tblLook w:val="04A0" w:firstRow="1" w:lastRow="0" w:firstColumn="1" w:lastColumn="0" w:noHBand="0" w:noVBand="1"/>
      </w:tblPr>
      <w:tblGrid>
        <w:gridCol w:w="1546"/>
        <w:gridCol w:w="2552"/>
        <w:gridCol w:w="2414"/>
      </w:tblGrid>
      <w:tr w:rsidR="00506256" w:rsidTr="00E84AEF">
        <w:trPr>
          <w:jc w:val="center"/>
        </w:trPr>
        <w:tc>
          <w:tcPr>
            <w:tcW w:w="1546" w:type="dxa"/>
            <w:shd w:val="clear" w:color="auto" w:fill="D9EAF7"/>
            <w:tcMar>
              <w:top w:w="80" w:type="dxa"/>
              <w:left w:w="80" w:type="dxa"/>
              <w:bottom w:w="80" w:type="dxa"/>
              <w:right w:w="80" w:type="dxa"/>
            </w:tcMar>
            <w:vAlign w:val="center"/>
          </w:tcPr>
          <w:p w:rsidR="00506256" w:rsidRDefault="00000000">
            <w:r>
              <w:rPr>
                <w:b/>
                <w:sz w:val="19"/>
              </w:rPr>
              <w:t>Risk-rating view</w:t>
            </w:r>
          </w:p>
        </w:tc>
        <w:tc>
          <w:tcPr>
            <w:tcW w:w="2552" w:type="dxa"/>
            <w:shd w:val="clear" w:color="auto" w:fill="D9EAF7"/>
            <w:tcMar>
              <w:top w:w="80" w:type="dxa"/>
              <w:left w:w="80" w:type="dxa"/>
              <w:bottom w:w="80" w:type="dxa"/>
              <w:right w:w="80" w:type="dxa"/>
            </w:tcMar>
            <w:vAlign w:val="center"/>
          </w:tcPr>
          <w:p w:rsidR="00506256" w:rsidRDefault="00000000">
            <w:r>
              <w:rPr>
                <w:b/>
                <w:sz w:val="19"/>
              </w:rPr>
              <w:t>Typical banking interpretation</w:t>
            </w:r>
          </w:p>
        </w:tc>
        <w:tc>
          <w:tcPr>
            <w:tcW w:w="2414" w:type="dxa"/>
            <w:shd w:val="clear" w:color="auto" w:fill="D9EAF7"/>
            <w:tcMar>
              <w:top w:w="80" w:type="dxa"/>
              <w:left w:w="80" w:type="dxa"/>
              <w:bottom w:w="80" w:type="dxa"/>
              <w:right w:w="80" w:type="dxa"/>
            </w:tcMar>
            <w:vAlign w:val="center"/>
          </w:tcPr>
          <w:p w:rsidR="00506256" w:rsidRDefault="00000000">
            <w:r>
              <w:rPr>
                <w:b/>
                <w:sz w:val="19"/>
              </w:rPr>
              <w:t>IFRS 9 direction</w:t>
            </w:r>
          </w:p>
        </w:tc>
      </w:tr>
      <w:tr w:rsidR="00506256" w:rsidTr="00E84AEF">
        <w:trPr>
          <w:jc w:val="center"/>
        </w:trPr>
        <w:tc>
          <w:tcPr>
            <w:tcW w:w="1546" w:type="dxa"/>
            <w:tcMar>
              <w:top w:w="80" w:type="dxa"/>
              <w:left w:w="80" w:type="dxa"/>
              <w:bottom w:w="80" w:type="dxa"/>
              <w:right w:w="80" w:type="dxa"/>
            </w:tcMar>
            <w:vAlign w:val="center"/>
          </w:tcPr>
          <w:p w:rsidR="00506256" w:rsidRDefault="00000000">
            <w:r>
              <w:rPr>
                <w:sz w:val="19"/>
              </w:rPr>
              <w:t>Strong rating</w:t>
            </w:r>
          </w:p>
        </w:tc>
        <w:tc>
          <w:tcPr>
            <w:tcW w:w="2552" w:type="dxa"/>
            <w:tcMar>
              <w:top w:w="80" w:type="dxa"/>
              <w:left w:w="80" w:type="dxa"/>
              <w:bottom w:w="80" w:type="dxa"/>
              <w:right w:w="80" w:type="dxa"/>
            </w:tcMar>
            <w:vAlign w:val="center"/>
          </w:tcPr>
          <w:p w:rsidR="00506256" w:rsidRDefault="00000000">
            <w:r>
              <w:rPr>
                <w:sz w:val="19"/>
              </w:rPr>
              <w:t>Low default risk</w:t>
            </w:r>
          </w:p>
        </w:tc>
        <w:tc>
          <w:tcPr>
            <w:tcW w:w="2414" w:type="dxa"/>
            <w:tcMar>
              <w:top w:w="80" w:type="dxa"/>
              <w:left w:w="80" w:type="dxa"/>
              <w:bottom w:w="80" w:type="dxa"/>
              <w:right w:w="80" w:type="dxa"/>
            </w:tcMar>
            <w:vAlign w:val="center"/>
          </w:tcPr>
          <w:p w:rsidR="00506256" w:rsidRDefault="00000000">
            <w:r>
              <w:rPr>
                <w:sz w:val="19"/>
              </w:rPr>
              <w:t>Usually Stage 1</w:t>
            </w:r>
          </w:p>
        </w:tc>
      </w:tr>
      <w:tr w:rsidR="00506256" w:rsidTr="00E84AEF">
        <w:trPr>
          <w:jc w:val="center"/>
        </w:trPr>
        <w:tc>
          <w:tcPr>
            <w:tcW w:w="1546" w:type="dxa"/>
            <w:tcMar>
              <w:top w:w="80" w:type="dxa"/>
              <w:left w:w="80" w:type="dxa"/>
              <w:bottom w:w="80" w:type="dxa"/>
              <w:right w:w="80" w:type="dxa"/>
            </w:tcMar>
            <w:vAlign w:val="center"/>
          </w:tcPr>
          <w:p w:rsidR="00506256" w:rsidRDefault="00000000">
            <w:r>
              <w:rPr>
                <w:sz w:val="19"/>
              </w:rPr>
              <w:t>Rating weakens</w:t>
            </w:r>
          </w:p>
        </w:tc>
        <w:tc>
          <w:tcPr>
            <w:tcW w:w="2552" w:type="dxa"/>
            <w:tcMar>
              <w:top w:w="80" w:type="dxa"/>
              <w:left w:w="80" w:type="dxa"/>
              <w:bottom w:w="80" w:type="dxa"/>
              <w:right w:w="80" w:type="dxa"/>
            </w:tcMar>
            <w:vAlign w:val="center"/>
          </w:tcPr>
          <w:p w:rsidR="00506256" w:rsidRDefault="00000000">
            <w:r>
              <w:rPr>
                <w:sz w:val="19"/>
              </w:rPr>
              <w:t>Risk has increased</w:t>
            </w:r>
          </w:p>
        </w:tc>
        <w:tc>
          <w:tcPr>
            <w:tcW w:w="2414" w:type="dxa"/>
            <w:tcMar>
              <w:top w:w="80" w:type="dxa"/>
              <w:left w:w="80" w:type="dxa"/>
              <w:bottom w:w="80" w:type="dxa"/>
              <w:right w:w="80" w:type="dxa"/>
            </w:tcMar>
            <w:vAlign w:val="center"/>
          </w:tcPr>
          <w:p w:rsidR="00506256" w:rsidRDefault="00000000">
            <w:r>
              <w:rPr>
                <w:sz w:val="19"/>
              </w:rPr>
              <w:t>Possible Stage 2</w:t>
            </w:r>
          </w:p>
        </w:tc>
      </w:tr>
      <w:tr w:rsidR="00506256" w:rsidTr="00E84AEF">
        <w:trPr>
          <w:jc w:val="center"/>
        </w:trPr>
        <w:tc>
          <w:tcPr>
            <w:tcW w:w="1546" w:type="dxa"/>
            <w:tcMar>
              <w:top w:w="80" w:type="dxa"/>
              <w:left w:w="80" w:type="dxa"/>
              <w:bottom w:w="80" w:type="dxa"/>
              <w:right w:w="80" w:type="dxa"/>
            </w:tcMar>
            <w:vAlign w:val="center"/>
          </w:tcPr>
          <w:p w:rsidR="00506256" w:rsidRDefault="00000000">
            <w:r>
              <w:rPr>
                <w:sz w:val="19"/>
              </w:rPr>
              <w:t>Default / workout</w:t>
            </w:r>
          </w:p>
        </w:tc>
        <w:tc>
          <w:tcPr>
            <w:tcW w:w="2552" w:type="dxa"/>
            <w:tcMar>
              <w:top w:w="80" w:type="dxa"/>
              <w:left w:w="80" w:type="dxa"/>
              <w:bottom w:w="80" w:type="dxa"/>
              <w:right w:w="80" w:type="dxa"/>
            </w:tcMar>
            <w:vAlign w:val="center"/>
          </w:tcPr>
          <w:p w:rsidR="00506256" w:rsidRDefault="00000000">
            <w:r>
              <w:rPr>
                <w:sz w:val="19"/>
              </w:rPr>
              <w:t>Serious credit failure</w:t>
            </w:r>
          </w:p>
        </w:tc>
        <w:tc>
          <w:tcPr>
            <w:tcW w:w="2414" w:type="dxa"/>
            <w:tcMar>
              <w:top w:w="80" w:type="dxa"/>
              <w:left w:w="80" w:type="dxa"/>
              <w:bottom w:w="80" w:type="dxa"/>
              <w:right w:w="80" w:type="dxa"/>
            </w:tcMar>
            <w:vAlign w:val="center"/>
          </w:tcPr>
          <w:p w:rsidR="00506256" w:rsidRDefault="00000000">
            <w:r>
              <w:rPr>
                <w:sz w:val="19"/>
              </w:rPr>
              <w:t>Stage 3 likely</w:t>
            </w:r>
          </w:p>
        </w:tc>
      </w:tr>
    </w:tbl>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t>Analogy</w:t>
            </w:r>
          </w:p>
          <w:p w:rsidR="00506256" w:rsidRDefault="00000000">
            <w:pPr>
              <w:spacing w:after="0"/>
            </w:pPr>
            <w:r>
              <w:t>The rating is like a doctor’s vital sign reading. PD is the risk estimate. Stage is the diagnosis. ECL is the financial impact of the diagnosis.</w:t>
            </w:r>
          </w:p>
        </w:tc>
      </w:tr>
    </w:tbl>
    <w:p w:rsidR="00506256" w:rsidRDefault="00000000">
      <w:pPr>
        <w:pStyle w:val="Heading1"/>
      </w:pPr>
      <w:r>
        <w:lastRenderedPageBreak/>
        <w:t>10. Corporate borrower example</w:t>
      </w:r>
    </w:p>
    <w:p w:rsidR="00506256" w:rsidRDefault="00000000">
      <w:r>
        <w:t>Imagine ABC Engineering Ltd. At origination it has a healthy rating, a low PD, and Stage 1 status. A few months later it misses an interest payment, submits delayed financials, and breaches a covenant.</w:t>
      </w:r>
    </w:p>
    <w:p w:rsidR="00506256" w:rsidRDefault="00000000">
      <w:r>
        <w:t>The credit committee reviews the case and downgrades the internal rating. That rating movement pushes the PD higher. If the deterioration is judged significant, the account moves into Stage 2 and lifetime ECL becomes relevant.</w:t>
      </w:r>
    </w:p>
    <w:tbl>
      <w:tblPr>
        <w:tblStyle w:val="TableGrid"/>
        <w:tblW w:w="0" w:type="auto"/>
        <w:jc w:val="center"/>
        <w:tblLook w:val="04A0" w:firstRow="1" w:lastRow="0" w:firstColumn="1" w:lastColumn="0" w:noHBand="0" w:noVBand="1"/>
      </w:tblPr>
      <w:tblGrid>
        <w:gridCol w:w="2160"/>
        <w:gridCol w:w="2442"/>
        <w:gridCol w:w="1842"/>
      </w:tblGrid>
      <w:tr w:rsidR="00506256" w:rsidTr="00E84AEF">
        <w:trPr>
          <w:jc w:val="center"/>
        </w:trPr>
        <w:tc>
          <w:tcPr>
            <w:tcW w:w="2160" w:type="dxa"/>
            <w:shd w:val="clear" w:color="auto" w:fill="D9EAF7"/>
            <w:tcMar>
              <w:top w:w="80" w:type="dxa"/>
              <w:left w:w="80" w:type="dxa"/>
              <w:bottom w:w="80" w:type="dxa"/>
              <w:right w:w="80" w:type="dxa"/>
            </w:tcMar>
            <w:vAlign w:val="center"/>
          </w:tcPr>
          <w:p w:rsidR="00506256" w:rsidRDefault="00000000">
            <w:r>
              <w:rPr>
                <w:b/>
                <w:sz w:val="19"/>
              </w:rPr>
              <w:t>Event</w:t>
            </w:r>
          </w:p>
        </w:tc>
        <w:tc>
          <w:tcPr>
            <w:tcW w:w="2442" w:type="dxa"/>
            <w:shd w:val="clear" w:color="auto" w:fill="D9EAF7"/>
            <w:tcMar>
              <w:top w:w="80" w:type="dxa"/>
              <w:left w:w="80" w:type="dxa"/>
              <w:bottom w:w="80" w:type="dxa"/>
              <w:right w:w="80" w:type="dxa"/>
            </w:tcMar>
            <w:vAlign w:val="center"/>
          </w:tcPr>
          <w:p w:rsidR="00506256" w:rsidRDefault="00000000">
            <w:r>
              <w:rPr>
                <w:b/>
                <w:sz w:val="19"/>
              </w:rPr>
              <w:t>What the bank sees</w:t>
            </w:r>
          </w:p>
        </w:tc>
        <w:tc>
          <w:tcPr>
            <w:tcW w:w="1842" w:type="dxa"/>
            <w:shd w:val="clear" w:color="auto" w:fill="D9EAF7"/>
            <w:tcMar>
              <w:top w:w="80" w:type="dxa"/>
              <w:left w:w="80" w:type="dxa"/>
              <w:bottom w:w="80" w:type="dxa"/>
              <w:right w:w="80" w:type="dxa"/>
            </w:tcMar>
            <w:vAlign w:val="center"/>
          </w:tcPr>
          <w:p w:rsidR="00506256" w:rsidRDefault="00000000">
            <w:r>
              <w:rPr>
                <w:b/>
                <w:sz w:val="19"/>
              </w:rPr>
              <w:t>Possible stage effect</w:t>
            </w:r>
          </w:p>
        </w:tc>
      </w:tr>
      <w:tr w:rsidR="00506256" w:rsidTr="00E84AEF">
        <w:trPr>
          <w:jc w:val="center"/>
        </w:trPr>
        <w:tc>
          <w:tcPr>
            <w:tcW w:w="2160" w:type="dxa"/>
            <w:tcMar>
              <w:top w:w="80" w:type="dxa"/>
              <w:left w:w="80" w:type="dxa"/>
              <w:bottom w:w="80" w:type="dxa"/>
              <w:right w:w="80" w:type="dxa"/>
            </w:tcMar>
            <w:vAlign w:val="center"/>
          </w:tcPr>
          <w:p w:rsidR="00506256" w:rsidRDefault="00000000">
            <w:r>
              <w:rPr>
                <w:sz w:val="19"/>
              </w:rPr>
              <w:t>Origination</w:t>
            </w:r>
          </w:p>
        </w:tc>
        <w:tc>
          <w:tcPr>
            <w:tcW w:w="2442" w:type="dxa"/>
            <w:tcMar>
              <w:top w:w="80" w:type="dxa"/>
              <w:left w:w="80" w:type="dxa"/>
              <w:bottom w:w="80" w:type="dxa"/>
              <w:right w:w="80" w:type="dxa"/>
            </w:tcMar>
            <w:vAlign w:val="center"/>
          </w:tcPr>
          <w:p w:rsidR="00506256" w:rsidRDefault="00000000">
            <w:r>
              <w:rPr>
                <w:sz w:val="19"/>
              </w:rPr>
              <w:t>Healthy rating and low risk</w:t>
            </w:r>
          </w:p>
        </w:tc>
        <w:tc>
          <w:tcPr>
            <w:tcW w:w="1842" w:type="dxa"/>
            <w:tcMar>
              <w:top w:w="80" w:type="dxa"/>
              <w:left w:w="80" w:type="dxa"/>
              <w:bottom w:w="80" w:type="dxa"/>
              <w:right w:w="80" w:type="dxa"/>
            </w:tcMar>
            <w:vAlign w:val="center"/>
          </w:tcPr>
          <w:p w:rsidR="00506256" w:rsidRDefault="00000000">
            <w:r>
              <w:rPr>
                <w:sz w:val="19"/>
              </w:rPr>
              <w:t>Stage 1</w:t>
            </w:r>
          </w:p>
        </w:tc>
      </w:tr>
      <w:tr w:rsidR="00506256" w:rsidTr="00E84AEF">
        <w:trPr>
          <w:jc w:val="center"/>
        </w:trPr>
        <w:tc>
          <w:tcPr>
            <w:tcW w:w="2160" w:type="dxa"/>
            <w:tcMar>
              <w:top w:w="80" w:type="dxa"/>
              <w:left w:w="80" w:type="dxa"/>
              <w:bottom w:w="80" w:type="dxa"/>
              <w:right w:w="80" w:type="dxa"/>
            </w:tcMar>
            <w:vAlign w:val="center"/>
          </w:tcPr>
          <w:p w:rsidR="00506256" w:rsidRDefault="00000000">
            <w:r>
              <w:rPr>
                <w:sz w:val="19"/>
              </w:rPr>
              <w:t>Covenant breach</w:t>
            </w:r>
          </w:p>
        </w:tc>
        <w:tc>
          <w:tcPr>
            <w:tcW w:w="2442" w:type="dxa"/>
            <w:tcMar>
              <w:top w:w="80" w:type="dxa"/>
              <w:left w:w="80" w:type="dxa"/>
              <w:bottom w:w="80" w:type="dxa"/>
              <w:right w:w="80" w:type="dxa"/>
            </w:tcMar>
            <w:vAlign w:val="center"/>
          </w:tcPr>
          <w:p w:rsidR="00506256" w:rsidRDefault="00000000">
            <w:r>
              <w:rPr>
                <w:sz w:val="19"/>
              </w:rPr>
              <w:t>Credit quality is weakening</w:t>
            </w:r>
          </w:p>
        </w:tc>
        <w:tc>
          <w:tcPr>
            <w:tcW w:w="1842" w:type="dxa"/>
            <w:tcMar>
              <w:top w:w="80" w:type="dxa"/>
              <w:left w:w="80" w:type="dxa"/>
              <w:bottom w:w="80" w:type="dxa"/>
              <w:right w:w="80" w:type="dxa"/>
            </w:tcMar>
            <w:vAlign w:val="center"/>
          </w:tcPr>
          <w:p w:rsidR="00506256" w:rsidRDefault="00000000">
            <w:r>
              <w:rPr>
                <w:sz w:val="19"/>
              </w:rPr>
              <w:t>SICR signal</w:t>
            </w:r>
          </w:p>
        </w:tc>
      </w:tr>
      <w:tr w:rsidR="00506256" w:rsidTr="00E84AEF">
        <w:trPr>
          <w:jc w:val="center"/>
        </w:trPr>
        <w:tc>
          <w:tcPr>
            <w:tcW w:w="2160" w:type="dxa"/>
            <w:tcMar>
              <w:top w:w="80" w:type="dxa"/>
              <w:left w:w="80" w:type="dxa"/>
              <w:bottom w:w="80" w:type="dxa"/>
              <w:right w:w="80" w:type="dxa"/>
            </w:tcMar>
            <w:vAlign w:val="center"/>
          </w:tcPr>
          <w:p w:rsidR="00506256" w:rsidRDefault="00000000">
            <w:r>
              <w:rPr>
                <w:sz w:val="19"/>
              </w:rPr>
              <w:t>Watchlist / downgrade</w:t>
            </w:r>
          </w:p>
        </w:tc>
        <w:tc>
          <w:tcPr>
            <w:tcW w:w="2442" w:type="dxa"/>
            <w:tcMar>
              <w:top w:w="80" w:type="dxa"/>
              <w:left w:w="80" w:type="dxa"/>
              <w:bottom w:w="80" w:type="dxa"/>
              <w:right w:w="80" w:type="dxa"/>
            </w:tcMar>
            <w:vAlign w:val="center"/>
          </w:tcPr>
          <w:p w:rsidR="00506256" w:rsidRDefault="00000000">
            <w:r>
              <w:rPr>
                <w:sz w:val="19"/>
              </w:rPr>
              <w:t>Deterioration is confirmed</w:t>
            </w:r>
          </w:p>
        </w:tc>
        <w:tc>
          <w:tcPr>
            <w:tcW w:w="1842" w:type="dxa"/>
            <w:tcMar>
              <w:top w:w="80" w:type="dxa"/>
              <w:left w:w="80" w:type="dxa"/>
              <w:bottom w:w="80" w:type="dxa"/>
              <w:right w:w="80" w:type="dxa"/>
            </w:tcMar>
            <w:vAlign w:val="center"/>
          </w:tcPr>
          <w:p w:rsidR="00506256" w:rsidRDefault="00000000">
            <w:r>
              <w:rPr>
                <w:sz w:val="19"/>
              </w:rPr>
              <w:t>Stage 2 likely</w:t>
            </w:r>
          </w:p>
        </w:tc>
      </w:tr>
      <w:tr w:rsidR="00506256" w:rsidTr="00E84AEF">
        <w:trPr>
          <w:jc w:val="center"/>
        </w:trPr>
        <w:tc>
          <w:tcPr>
            <w:tcW w:w="2160" w:type="dxa"/>
            <w:tcMar>
              <w:top w:w="80" w:type="dxa"/>
              <w:left w:w="80" w:type="dxa"/>
              <w:bottom w:w="80" w:type="dxa"/>
              <w:right w:w="80" w:type="dxa"/>
            </w:tcMar>
            <w:vAlign w:val="center"/>
          </w:tcPr>
          <w:p w:rsidR="00506256" w:rsidRDefault="00000000">
            <w:r>
              <w:rPr>
                <w:sz w:val="19"/>
              </w:rPr>
              <w:t>Workout / default evidence</w:t>
            </w:r>
          </w:p>
        </w:tc>
        <w:tc>
          <w:tcPr>
            <w:tcW w:w="2442" w:type="dxa"/>
            <w:tcMar>
              <w:top w:w="80" w:type="dxa"/>
              <w:left w:w="80" w:type="dxa"/>
              <w:bottom w:w="80" w:type="dxa"/>
              <w:right w:w="80" w:type="dxa"/>
            </w:tcMar>
            <w:vAlign w:val="center"/>
          </w:tcPr>
          <w:p w:rsidR="00506256" w:rsidRDefault="00000000">
            <w:r>
              <w:rPr>
                <w:sz w:val="19"/>
              </w:rPr>
              <w:t>Serious recovery concern</w:t>
            </w:r>
          </w:p>
        </w:tc>
        <w:tc>
          <w:tcPr>
            <w:tcW w:w="1842" w:type="dxa"/>
            <w:tcMar>
              <w:top w:w="80" w:type="dxa"/>
              <w:left w:w="80" w:type="dxa"/>
              <w:bottom w:w="80" w:type="dxa"/>
              <w:right w:w="80" w:type="dxa"/>
            </w:tcMar>
            <w:vAlign w:val="center"/>
          </w:tcPr>
          <w:p w:rsidR="00506256" w:rsidRDefault="00000000">
            <w:r>
              <w:rPr>
                <w:sz w:val="19"/>
              </w:rPr>
              <w:t>Stage 3 possible</w:t>
            </w:r>
          </w:p>
        </w:tc>
      </w:tr>
    </w:tbl>
    <w:p w:rsidR="00506256" w:rsidRDefault="00000000">
      <w:pPr>
        <w:pStyle w:val="Heading1"/>
      </w:pPr>
      <w:r>
        <w:t>11. Credit committee judgment and governance</w:t>
      </w:r>
    </w:p>
    <w:p w:rsidR="00506256" w:rsidRDefault="00000000">
      <w:r>
        <w:t>CIB IFRS 9 is not only model-driven. Credit committee decisions can trigger watchlist placement, rating downgrade, restructuring approval, or a confirmed belief that the stress is temporary.</w:t>
      </w:r>
    </w:p>
    <w:tbl>
      <w:tblPr>
        <w:tblStyle w:val="TableGrid"/>
        <w:tblW w:w="0" w:type="auto"/>
        <w:jc w:val="center"/>
        <w:tblLook w:val="04A0" w:firstRow="1" w:lastRow="0" w:firstColumn="1" w:lastColumn="0" w:noHBand="0" w:noVBand="1"/>
      </w:tblPr>
      <w:tblGrid>
        <w:gridCol w:w="2931"/>
        <w:gridCol w:w="2410"/>
        <w:gridCol w:w="3827"/>
      </w:tblGrid>
      <w:tr w:rsidR="00506256" w:rsidTr="00E84AEF">
        <w:trPr>
          <w:jc w:val="center"/>
        </w:trPr>
        <w:tc>
          <w:tcPr>
            <w:tcW w:w="2931" w:type="dxa"/>
            <w:shd w:val="clear" w:color="auto" w:fill="D9EAF7"/>
            <w:tcMar>
              <w:top w:w="80" w:type="dxa"/>
              <w:left w:w="80" w:type="dxa"/>
              <w:bottom w:w="80" w:type="dxa"/>
              <w:right w:w="80" w:type="dxa"/>
            </w:tcMar>
            <w:vAlign w:val="center"/>
          </w:tcPr>
          <w:p w:rsidR="00506256" w:rsidRDefault="00000000">
            <w:r>
              <w:rPr>
                <w:b/>
                <w:sz w:val="19"/>
              </w:rPr>
              <w:t>Committee action</w:t>
            </w:r>
          </w:p>
        </w:tc>
        <w:tc>
          <w:tcPr>
            <w:tcW w:w="2410" w:type="dxa"/>
            <w:shd w:val="clear" w:color="auto" w:fill="D9EAF7"/>
            <w:tcMar>
              <w:top w:w="80" w:type="dxa"/>
              <w:left w:w="80" w:type="dxa"/>
              <w:bottom w:w="80" w:type="dxa"/>
              <w:right w:w="80" w:type="dxa"/>
            </w:tcMar>
            <w:vAlign w:val="center"/>
          </w:tcPr>
          <w:p w:rsidR="00506256" w:rsidRDefault="00000000">
            <w:r>
              <w:rPr>
                <w:b/>
                <w:sz w:val="19"/>
              </w:rPr>
              <w:t>What it means</w:t>
            </w:r>
          </w:p>
        </w:tc>
        <w:tc>
          <w:tcPr>
            <w:tcW w:w="3827" w:type="dxa"/>
            <w:shd w:val="clear" w:color="auto" w:fill="D9EAF7"/>
            <w:tcMar>
              <w:top w:w="80" w:type="dxa"/>
              <w:left w:w="80" w:type="dxa"/>
              <w:bottom w:w="80" w:type="dxa"/>
              <w:right w:w="80" w:type="dxa"/>
            </w:tcMar>
            <w:vAlign w:val="center"/>
          </w:tcPr>
          <w:p w:rsidR="00506256" w:rsidRDefault="00000000">
            <w:r>
              <w:rPr>
                <w:b/>
                <w:sz w:val="19"/>
              </w:rPr>
              <w:t>Why it matters</w:t>
            </w:r>
          </w:p>
        </w:tc>
      </w:tr>
      <w:tr w:rsidR="00506256" w:rsidTr="00E84AEF">
        <w:trPr>
          <w:jc w:val="center"/>
        </w:trPr>
        <w:tc>
          <w:tcPr>
            <w:tcW w:w="2931" w:type="dxa"/>
            <w:tcMar>
              <w:top w:w="80" w:type="dxa"/>
              <w:left w:w="80" w:type="dxa"/>
              <w:bottom w:w="80" w:type="dxa"/>
              <w:right w:w="80" w:type="dxa"/>
            </w:tcMar>
            <w:vAlign w:val="center"/>
          </w:tcPr>
          <w:p w:rsidR="00506256" w:rsidRDefault="00000000">
            <w:r>
              <w:rPr>
                <w:sz w:val="19"/>
              </w:rPr>
              <w:t>Rating downgrade</w:t>
            </w:r>
          </w:p>
        </w:tc>
        <w:tc>
          <w:tcPr>
            <w:tcW w:w="2410" w:type="dxa"/>
            <w:tcMar>
              <w:top w:w="80" w:type="dxa"/>
              <w:left w:w="80" w:type="dxa"/>
              <w:bottom w:w="80" w:type="dxa"/>
              <w:right w:w="80" w:type="dxa"/>
            </w:tcMar>
            <w:vAlign w:val="center"/>
          </w:tcPr>
          <w:p w:rsidR="00506256" w:rsidRDefault="00000000">
            <w:r>
              <w:rPr>
                <w:sz w:val="19"/>
              </w:rPr>
              <w:t>Higher risk view</w:t>
            </w:r>
          </w:p>
        </w:tc>
        <w:tc>
          <w:tcPr>
            <w:tcW w:w="3827" w:type="dxa"/>
            <w:tcMar>
              <w:top w:w="80" w:type="dxa"/>
              <w:left w:w="80" w:type="dxa"/>
              <w:bottom w:w="80" w:type="dxa"/>
              <w:right w:w="80" w:type="dxa"/>
            </w:tcMar>
            <w:vAlign w:val="center"/>
          </w:tcPr>
          <w:p w:rsidR="00506256" w:rsidRDefault="00000000">
            <w:r>
              <w:rPr>
                <w:sz w:val="19"/>
              </w:rPr>
              <w:t>Can trigger SICR</w:t>
            </w:r>
          </w:p>
        </w:tc>
      </w:tr>
      <w:tr w:rsidR="00506256" w:rsidTr="00E84AEF">
        <w:trPr>
          <w:jc w:val="center"/>
        </w:trPr>
        <w:tc>
          <w:tcPr>
            <w:tcW w:w="2931" w:type="dxa"/>
            <w:tcMar>
              <w:top w:w="80" w:type="dxa"/>
              <w:left w:w="80" w:type="dxa"/>
              <w:bottom w:w="80" w:type="dxa"/>
              <w:right w:w="80" w:type="dxa"/>
            </w:tcMar>
            <w:vAlign w:val="center"/>
          </w:tcPr>
          <w:p w:rsidR="00506256" w:rsidRDefault="00000000">
            <w:r>
              <w:rPr>
                <w:sz w:val="19"/>
              </w:rPr>
              <w:t>Watchlist placement</w:t>
            </w:r>
          </w:p>
        </w:tc>
        <w:tc>
          <w:tcPr>
            <w:tcW w:w="2410" w:type="dxa"/>
            <w:tcMar>
              <w:top w:w="80" w:type="dxa"/>
              <w:left w:w="80" w:type="dxa"/>
              <w:bottom w:w="80" w:type="dxa"/>
              <w:right w:w="80" w:type="dxa"/>
            </w:tcMar>
            <w:vAlign w:val="center"/>
          </w:tcPr>
          <w:p w:rsidR="00506256" w:rsidRDefault="00000000">
            <w:r>
              <w:rPr>
                <w:sz w:val="19"/>
              </w:rPr>
              <w:t>Formal early warning</w:t>
            </w:r>
          </w:p>
        </w:tc>
        <w:tc>
          <w:tcPr>
            <w:tcW w:w="3827" w:type="dxa"/>
            <w:tcMar>
              <w:top w:w="80" w:type="dxa"/>
              <w:left w:w="80" w:type="dxa"/>
              <w:bottom w:w="80" w:type="dxa"/>
              <w:right w:w="80" w:type="dxa"/>
            </w:tcMar>
            <w:vAlign w:val="center"/>
          </w:tcPr>
          <w:p w:rsidR="00506256" w:rsidRDefault="00000000">
            <w:r>
              <w:rPr>
                <w:sz w:val="19"/>
              </w:rPr>
              <w:t>Supports closer monitoring</w:t>
            </w:r>
          </w:p>
        </w:tc>
      </w:tr>
      <w:tr w:rsidR="00506256" w:rsidTr="00E84AEF">
        <w:trPr>
          <w:jc w:val="center"/>
        </w:trPr>
        <w:tc>
          <w:tcPr>
            <w:tcW w:w="2931" w:type="dxa"/>
            <w:tcMar>
              <w:top w:w="80" w:type="dxa"/>
              <w:left w:w="80" w:type="dxa"/>
              <w:bottom w:w="80" w:type="dxa"/>
              <w:right w:w="80" w:type="dxa"/>
            </w:tcMar>
            <w:vAlign w:val="center"/>
          </w:tcPr>
          <w:p w:rsidR="00506256" w:rsidRDefault="00000000">
            <w:r>
              <w:rPr>
                <w:sz w:val="19"/>
              </w:rPr>
              <w:t>Restructuring</w:t>
            </w:r>
          </w:p>
        </w:tc>
        <w:tc>
          <w:tcPr>
            <w:tcW w:w="2410" w:type="dxa"/>
            <w:tcMar>
              <w:top w:w="80" w:type="dxa"/>
              <w:left w:w="80" w:type="dxa"/>
              <w:bottom w:w="80" w:type="dxa"/>
              <w:right w:w="80" w:type="dxa"/>
            </w:tcMar>
            <w:vAlign w:val="center"/>
          </w:tcPr>
          <w:p w:rsidR="00506256" w:rsidRDefault="00000000">
            <w:r>
              <w:rPr>
                <w:sz w:val="19"/>
              </w:rPr>
              <w:t>Borrower needs relief</w:t>
            </w:r>
          </w:p>
        </w:tc>
        <w:tc>
          <w:tcPr>
            <w:tcW w:w="3827" w:type="dxa"/>
            <w:tcMar>
              <w:top w:w="80" w:type="dxa"/>
              <w:left w:w="80" w:type="dxa"/>
              <w:bottom w:w="80" w:type="dxa"/>
              <w:right w:w="80" w:type="dxa"/>
            </w:tcMar>
            <w:vAlign w:val="center"/>
          </w:tcPr>
          <w:p w:rsidR="00506256" w:rsidRDefault="00000000">
            <w:r>
              <w:rPr>
                <w:sz w:val="19"/>
              </w:rPr>
              <w:t>May push the exposure to Stage 2 or Stage 3</w:t>
            </w:r>
          </w:p>
        </w:tc>
      </w:tr>
      <w:tr w:rsidR="00506256" w:rsidTr="00E84AEF">
        <w:trPr>
          <w:jc w:val="center"/>
        </w:trPr>
        <w:tc>
          <w:tcPr>
            <w:tcW w:w="2931" w:type="dxa"/>
            <w:tcMar>
              <w:top w:w="80" w:type="dxa"/>
              <w:left w:w="80" w:type="dxa"/>
              <w:bottom w:w="80" w:type="dxa"/>
              <w:right w:w="80" w:type="dxa"/>
            </w:tcMar>
            <w:vAlign w:val="center"/>
          </w:tcPr>
          <w:p w:rsidR="00506256" w:rsidRDefault="00000000">
            <w:r>
              <w:rPr>
                <w:sz w:val="19"/>
              </w:rPr>
              <w:t>Temporary forbearance accepted</w:t>
            </w:r>
          </w:p>
        </w:tc>
        <w:tc>
          <w:tcPr>
            <w:tcW w:w="2410" w:type="dxa"/>
            <w:tcMar>
              <w:top w:w="80" w:type="dxa"/>
              <w:left w:w="80" w:type="dxa"/>
              <w:bottom w:w="80" w:type="dxa"/>
              <w:right w:w="80" w:type="dxa"/>
            </w:tcMar>
            <w:vAlign w:val="center"/>
          </w:tcPr>
          <w:p w:rsidR="00506256" w:rsidRDefault="00000000">
            <w:r>
              <w:rPr>
                <w:sz w:val="19"/>
              </w:rPr>
              <w:t>Problem may be short-lived</w:t>
            </w:r>
          </w:p>
        </w:tc>
        <w:tc>
          <w:tcPr>
            <w:tcW w:w="3827" w:type="dxa"/>
            <w:tcMar>
              <w:top w:w="80" w:type="dxa"/>
              <w:left w:w="80" w:type="dxa"/>
              <w:bottom w:w="80" w:type="dxa"/>
              <w:right w:w="80" w:type="dxa"/>
            </w:tcMar>
            <w:vAlign w:val="center"/>
          </w:tcPr>
          <w:p w:rsidR="00506256" w:rsidRDefault="00000000">
            <w:r>
              <w:rPr>
                <w:sz w:val="19"/>
              </w:rPr>
              <w:t>May avoid over-staging if evidence is strong</w:t>
            </w:r>
          </w:p>
        </w:tc>
      </w:tr>
    </w:tbl>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t>Analogy</w:t>
            </w:r>
          </w:p>
          <w:p w:rsidR="00506256" w:rsidRDefault="00000000">
            <w:pPr>
              <w:spacing w:after="0"/>
            </w:pPr>
            <w:r>
              <w:t>The model is the map, but the credit committee is the navigator. If the road is blocked, the navigator decides whether to reroute or stop.</w:t>
            </w:r>
          </w:p>
        </w:tc>
      </w:tr>
    </w:tbl>
    <w:p w:rsidR="00506256" w:rsidRDefault="00000000">
      <w:pPr>
        <w:pStyle w:val="Heading1"/>
      </w:pPr>
      <w:r>
        <w:t>12. Macro-economic layer</w:t>
      </w:r>
    </w:p>
    <w:p w:rsidR="00506256" w:rsidRDefault="00000000">
      <w:r>
        <w:t>IFRS 9 is forward-looking. That means the bank should not only look at what already happened. It also needs to think about how the future environment may affect borrower behavior.</w:t>
      </w:r>
    </w:p>
    <w:tbl>
      <w:tblPr>
        <w:tblStyle w:val="TableGrid"/>
        <w:tblW w:w="0" w:type="auto"/>
        <w:jc w:val="center"/>
        <w:tblLook w:val="04A0" w:firstRow="1" w:lastRow="0" w:firstColumn="1" w:lastColumn="0" w:noHBand="0" w:noVBand="1"/>
      </w:tblPr>
      <w:tblGrid>
        <w:gridCol w:w="1872"/>
        <w:gridCol w:w="2376"/>
        <w:gridCol w:w="2835"/>
      </w:tblGrid>
      <w:tr w:rsidR="00506256" w:rsidTr="00E84AEF">
        <w:trPr>
          <w:jc w:val="center"/>
        </w:trPr>
        <w:tc>
          <w:tcPr>
            <w:tcW w:w="1872" w:type="dxa"/>
            <w:shd w:val="clear" w:color="auto" w:fill="D9EAF7"/>
            <w:tcMar>
              <w:top w:w="80" w:type="dxa"/>
              <w:left w:w="80" w:type="dxa"/>
              <w:bottom w:w="80" w:type="dxa"/>
              <w:right w:w="80" w:type="dxa"/>
            </w:tcMar>
            <w:vAlign w:val="center"/>
          </w:tcPr>
          <w:p w:rsidR="00506256" w:rsidRDefault="00000000">
            <w:r>
              <w:rPr>
                <w:b/>
                <w:sz w:val="19"/>
              </w:rPr>
              <w:t>Macro factor</w:t>
            </w:r>
          </w:p>
        </w:tc>
        <w:tc>
          <w:tcPr>
            <w:tcW w:w="2376" w:type="dxa"/>
            <w:shd w:val="clear" w:color="auto" w:fill="D9EAF7"/>
            <w:tcMar>
              <w:top w:w="80" w:type="dxa"/>
              <w:left w:w="80" w:type="dxa"/>
              <w:bottom w:w="80" w:type="dxa"/>
              <w:right w:w="80" w:type="dxa"/>
            </w:tcMar>
            <w:vAlign w:val="center"/>
          </w:tcPr>
          <w:p w:rsidR="00506256" w:rsidRDefault="00000000">
            <w:r>
              <w:rPr>
                <w:b/>
                <w:sz w:val="19"/>
              </w:rPr>
              <w:t>Possible effect</w:t>
            </w:r>
          </w:p>
        </w:tc>
        <w:tc>
          <w:tcPr>
            <w:tcW w:w="2835" w:type="dxa"/>
            <w:shd w:val="clear" w:color="auto" w:fill="D9EAF7"/>
            <w:tcMar>
              <w:top w:w="80" w:type="dxa"/>
              <w:left w:w="80" w:type="dxa"/>
              <w:bottom w:w="80" w:type="dxa"/>
              <w:right w:w="80" w:type="dxa"/>
            </w:tcMar>
            <w:vAlign w:val="center"/>
          </w:tcPr>
          <w:p w:rsidR="00506256" w:rsidRDefault="00000000">
            <w:r>
              <w:rPr>
                <w:b/>
                <w:sz w:val="19"/>
              </w:rPr>
              <w:t>Why it matters</w:t>
            </w:r>
          </w:p>
        </w:tc>
      </w:tr>
      <w:tr w:rsidR="00506256" w:rsidTr="00E84AEF">
        <w:trPr>
          <w:jc w:val="center"/>
        </w:trPr>
        <w:tc>
          <w:tcPr>
            <w:tcW w:w="1872" w:type="dxa"/>
            <w:tcMar>
              <w:top w:w="80" w:type="dxa"/>
              <w:left w:w="80" w:type="dxa"/>
              <w:bottom w:w="80" w:type="dxa"/>
              <w:right w:w="80" w:type="dxa"/>
            </w:tcMar>
            <w:vAlign w:val="center"/>
          </w:tcPr>
          <w:p w:rsidR="00506256" w:rsidRDefault="00000000">
            <w:r>
              <w:rPr>
                <w:sz w:val="19"/>
              </w:rPr>
              <w:t>Interest rates</w:t>
            </w:r>
          </w:p>
        </w:tc>
        <w:tc>
          <w:tcPr>
            <w:tcW w:w="2376" w:type="dxa"/>
            <w:tcMar>
              <w:top w:w="80" w:type="dxa"/>
              <w:left w:w="80" w:type="dxa"/>
              <w:bottom w:w="80" w:type="dxa"/>
              <w:right w:w="80" w:type="dxa"/>
            </w:tcMar>
            <w:vAlign w:val="center"/>
          </w:tcPr>
          <w:p w:rsidR="00506256" w:rsidRDefault="00000000">
            <w:r>
              <w:rPr>
                <w:sz w:val="19"/>
              </w:rPr>
              <w:t>Debt service burden rises</w:t>
            </w:r>
          </w:p>
        </w:tc>
        <w:tc>
          <w:tcPr>
            <w:tcW w:w="2835" w:type="dxa"/>
            <w:tcMar>
              <w:top w:w="80" w:type="dxa"/>
              <w:left w:w="80" w:type="dxa"/>
              <w:bottom w:w="80" w:type="dxa"/>
              <w:right w:w="80" w:type="dxa"/>
            </w:tcMar>
            <w:vAlign w:val="center"/>
          </w:tcPr>
          <w:p w:rsidR="00506256" w:rsidRDefault="00000000">
            <w:r>
              <w:rPr>
                <w:sz w:val="19"/>
              </w:rPr>
              <w:t>PD may increase</w:t>
            </w:r>
          </w:p>
        </w:tc>
      </w:tr>
      <w:tr w:rsidR="00506256" w:rsidTr="00E84AEF">
        <w:trPr>
          <w:jc w:val="center"/>
        </w:trPr>
        <w:tc>
          <w:tcPr>
            <w:tcW w:w="1872" w:type="dxa"/>
            <w:tcMar>
              <w:top w:w="80" w:type="dxa"/>
              <w:left w:w="80" w:type="dxa"/>
              <w:bottom w:w="80" w:type="dxa"/>
              <w:right w:w="80" w:type="dxa"/>
            </w:tcMar>
            <w:vAlign w:val="center"/>
          </w:tcPr>
          <w:p w:rsidR="00506256" w:rsidRDefault="00000000">
            <w:r>
              <w:rPr>
                <w:sz w:val="19"/>
              </w:rPr>
              <w:t>Industry slowdown</w:t>
            </w:r>
          </w:p>
        </w:tc>
        <w:tc>
          <w:tcPr>
            <w:tcW w:w="2376" w:type="dxa"/>
            <w:tcMar>
              <w:top w:w="80" w:type="dxa"/>
              <w:left w:w="80" w:type="dxa"/>
              <w:bottom w:w="80" w:type="dxa"/>
              <w:right w:w="80" w:type="dxa"/>
            </w:tcMar>
            <w:vAlign w:val="center"/>
          </w:tcPr>
          <w:p w:rsidR="00506256" w:rsidRDefault="00000000">
            <w:r>
              <w:rPr>
                <w:sz w:val="19"/>
              </w:rPr>
              <w:t>Revenue pressure</w:t>
            </w:r>
          </w:p>
        </w:tc>
        <w:tc>
          <w:tcPr>
            <w:tcW w:w="2835" w:type="dxa"/>
            <w:tcMar>
              <w:top w:w="80" w:type="dxa"/>
              <w:left w:w="80" w:type="dxa"/>
              <w:bottom w:w="80" w:type="dxa"/>
              <w:right w:w="80" w:type="dxa"/>
            </w:tcMar>
            <w:vAlign w:val="center"/>
          </w:tcPr>
          <w:p w:rsidR="00506256" w:rsidRDefault="00000000">
            <w:r>
              <w:rPr>
                <w:sz w:val="19"/>
              </w:rPr>
              <w:t>Borrowers may weaken together</w:t>
            </w:r>
          </w:p>
        </w:tc>
      </w:tr>
      <w:tr w:rsidR="00506256" w:rsidTr="00E84AEF">
        <w:trPr>
          <w:jc w:val="center"/>
        </w:trPr>
        <w:tc>
          <w:tcPr>
            <w:tcW w:w="1872" w:type="dxa"/>
            <w:tcMar>
              <w:top w:w="80" w:type="dxa"/>
              <w:left w:w="80" w:type="dxa"/>
              <w:bottom w:w="80" w:type="dxa"/>
              <w:right w:w="80" w:type="dxa"/>
            </w:tcMar>
            <w:vAlign w:val="center"/>
          </w:tcPr>
          <w:p w:rsidR="00506256" w:rsidRDefault="00000000">
            <w:r>
              <w:rPr>
                <w:sz w:val="19"/>
              </w:rPr>
              <w:t>Liquidity stress</w:t>
            </w:r>
          </w:p>
        </w:tc>
        <w:tc>
          <w:tcPr>
            <w:tcW w:w="2376" w:type="dxa"/>
            <w:tcMar>
              <w:top w:w="80" w:type="dxa"/>
              <w:left w:w="80" w:type="dxa"/>
              <w:bottom w:w="80" w:type="dxa"/>
              <w:right w:w="80" w:type="dxa"/>
            </w:tcMar>
            <w:vAlign w:val="center"/>
          </w:tcPr>
          <w:p w:rsidR="00506256" w:rsidRDefault="00000000">
            <w:r>
              <w:rPr>
                <w:sz w:val="19"/>
              </w:rPr>
              <w:t>Refinancing becomes harder</w:t>
            </w:r>
          </w:p>
        </w:tc>
        <w:tc>
          <w:tcPr>
            <w:tcW w:w="2835" w:type="dxa"/>
            <w:tcMar>
              <w:top w:w="80" w:type="dxa"/>
              <w:left w:w="80" w:type="dxa"/>
              <w:bottom w:w="80" w:type="dxa"/>
              <w:right w:w="80" w:type="dxa"/>
            </w:tcMar>
            <w:vAlign w:val="center"/>
          </w:tcPr>
          <w:p w:rsidR="00506256" w:rsidRDefault="00000000">
            <w:r>
              <w:rPr>
                <w:sz w:val="19"/>
              </w:rPr>
              <w:t>Stages may move faster</w:t>
            </w:r>
          </w:p>
        </w:tc>
      </w:tr>
      <w:tr w:rsidR="00506256" w:rsidTr="00E84AEF">
        <w:trPr>
          <w:jc w:val="center"/>
        </w:trPr>
        <w:tc>
          <w:tcPr>
            <w:tcW w:w="1872" w:type="dxa"/>
            <w:tcMar>
              <w:top w:w="80" w:type="dxa"/>
              <w:left w:w="80" w:type="dxa"/>
              <w:bottom w:w="80" w:type="dxa"/>
              <w:right w:w="80" w:type="dxa"/>
            </w:tcMar>
            <w:vAlign w:val="center"/>
          </w:tcPr>
          <w:p w:rsidR="00506256" w:rsidRDefault="00000000">
            <w:r>
              <w:rPr>
                <w:sz w:val="19"/>
              </w:rPr>
              <w:t>Currency or commodity shock</w:t>
            </w:r>
          </w:p>
        </w:tc>
        <w:tc>
          <w:tcPr>
            <w:tcW w:w="2376" w:type="dxa"/>
            <w:tcMar>
              <w:top w:w="80" w:type="dxa"/>
              <w:left w:w="80" w:type="dxa"/>
              <w:bottom w:w="80" w:type="dxa"/>
              <w:right w:w="80" w:type="dxa"/>
            </w:tcMar>
            <w:vAlign w:val="center"/>
          </w:tcPr>
          <w:p w:rsidR="00506256" w:rsidRDefault="00000000">
            <w:r>
              <w:rPr>
                <w:sz w:val="19"/>
              </w:rPr>
              <w:t>Margins are squeezed</w:t>
            </w:r>
          </w:p>
        </w:tc>
        <w:tc>
          <w:tcPr>
            <w:tcW w:w="2835" w:type="dxa"/>
            <w:tcMar>
              <w:top w:w="80" w:type="dxa"/>
              <w:left w:w="80" w:type="dxa"/>
              <w:bottom w:w="80" w:type="dxa"/>
              <w:right w:w="80" w:type="dxa"/>
            </w:tcMar>
            <w:vAlign w:val="center"/>
          </w:tcPr>
          <w:p w:rsidR="00506256" w:rsidRDefault="00000000">
            <w:r>
              <w:rPr>
                <w:sz w:val="19"/>
              </w:rPr>
              <w:t>Recovery quality may fall</w:t>
            </w:r>
          </w:p>
        </w:tc>
      </w:tr>
    </w:tbl>
    <w:p w:rsidR="00506256" w:rsidRDefault="00000000">
      <w:pPr>
        <w:pStyle w:val="Heading1"/>
      </w:pPr>
      <w:r>
        <w:lastRenderedPageBreak/>
        <w:t>13. Worked ECL example</w:t>
      </w:r>
    </w:p>
    <w:p w:rsidR="00E84AEF" w:rsidRDefault="00000000">
      <w:r>
        <w:t xml:space="preserve">Suppose a corporate borrower has a 50 million exposure. </w:t>
      </w:r>
    </w:p>
    <w:p w:rsidR="00506256" w:rsidRDefault="00000000">
      <w:r>
        <w:t>The current stage is Stage 2. The lifetime PD is 18 percent, the LGD is 35 percent, and the EAD is 50 million.</w:t>
      </w:r>
    </w:p>
    <w:p w:rsidR="00E84AEF" w:rsidRDefault="00000000">
      <w:r>
        <w:t>ECL = 50,000,000 x 18% x 35% = 3,150,000.</w:t>
      </w:r>
    </w:p>
    <w:p w:rsidR="00506256" w:rsidRDefault="00000000">
      <w:r>
        <w:t xml:space="preserve"> That is the gross expected loss before any further scenario or discounting adjustments.</w:t>
      </w:r>
    </w:p>
    <w:tbl>
      <w:tblPr>
        <w:tblStyle w:val="TableGrid"/>
        <w:tblW w:w="0" w:type="auto"/>
        <w:jc w:val="center"/>
        <w:tblLook w:val="04A0" w:firstRow="1" w:lastRow="0" w:firstColumn="1" w:lastColumn="0" w:noHBand="0" w:noVBand="1"/>
      </w:tblPr>
      <w:tblGrid>
        <w:gridCol w:w="1872"/>
        <w:gridCol w:w="1872"/>
        <w:gridCol w:w="2417"/>
      </w:tblGrid>
      <w:tr w:rsidR="00506256" w:rsidTr="00E84AEF">
        <w:trPr>
          <w:jc w:val="center"/>
        </w:trPr>
        <w:tc>
          <w:tcPr>
            <w:tcW w:w="1872" w:type="dxa"/>
            <w:shd w:val="clear" w:color="auto" w:fill="D9EAF7"/>
            <w:tcMar>
              <w:top w:w="80" w:type="dxa"/>
              <w:left w:w="80" w:type="dxa"/>
              <w:bottom w:w="80" w:type="dxa"/>
              <w:right w:w="80" w:type="dxa"/>
            </w:tcMar>
            <w:vAlign w:val="center"/>
          </w:tcPr>
          <w:p w:rsidR="00506256" w:rsidRDefault="00000000">
            <w:r>
              <w:rPr>
                <w:b/>
                <w:sz w:val="19"/>
              </w:rPr>
              <w:t>Item</w:t>
            </w:r>
          </w:p>
        </w:tc>
        <w:tc>
          <w:tcPr>
            <w:tcW w:w="1872" w:type="dxa"/>
            <w:shd w:val="clear" w:color="auto" w:fill="D9EAF7"/>
            <w:tcMar>
              <w:top w:w="80" w:type="dxa"/>
              <w:left w:w="80" w:type="dxa"/>
              <w:bottom w:w="80" w:type="dxa"/>
              <w:right w:w="80" w:type="dxa"/>
            </w:tcMar>
            <w:vAlign w:val="center"/>
          </w:tcPr>
          <w:p w:rsidR="00506256" w:rsidRDefault="00000000">
            <w:r>
              <w:rPr>
                <w:b/>
                <w:sz w:val="19"/>
              </w:rPr>
              <w:t>Value</w:t>
            </w:r>
          </w:p>
        </w:tc>
        <w:tc>
          <w:tcPr>
            <w:tcW w:w="2417" w:type="dxa"/>
            <w:shd w:val="clear" w:color="auto" w:fill="D9EAF7"/>
            <w:tcMar>
              <w:top w:w="80" w:type="dxa"/>
              <w:left w:w="80" w:type="dxa"/>
              <w:bottom w:w="80" w:type="dxa"/>
              <w:right w:w="80" w:type="dxa"/>
            </w:tcMar>
            <w:vAlign w:val="center"/>
          </w:tcPr>
          <w:p w:rsidR="00506256" w:rsidRDefault="00000000">
            <w:r>
              <w:rPr>
                <w:b/>
                <w:sz w:val="19"/>
              </w:rPr>
              <w:t>Meaning</w:t>
            </w:r>
          </w:p>
        </w:tc>
      </w:tr>
      <w:tr w:rsidR="00506256" w:rsidTr="00E84AEF">
        <w:trPr>
          <w:jc w:val="center"/>
        </w:trPr>
        <w:tc>
          <w:tcPr>
            <w:tcW w:w="1872" w:type="dxa"/>
            <w:tcMar>
              <w:top w:w="80" w:type="dxa"/>
              <w:left w:w="80" w:type="dxa"/>
              <w:bottom w:w="80" w:type="dxa"/>
              <w:right w:w="80" w:type="dxa"/>
            </w:tcMar>
            <w:vAlign w:val="center"/>
          </w:tcPr>
          <w:p w:rsidR="00506256" w:rsidRDefault="00000000">
            <w:r>
              <w:rPr>
                <w:sz w:val="19"/>
              </w:rPr>
              <w:t>EAD</w:t>
            </w:r>
          </w:p>
        </w:tc>
        <w:tc>
          <w:tcPr>
            <w:tcW w:w="1872" w:type="dxa"/>
            <w:tcMar>
              <w:top w:w="80" w:type="dxa"/>
              <w:left w:w="80" w:type="dxa"/>
              <w:bottom w:w="80" w:type="dxa"/>
              <w:right w:w="80" w:type="dxa"/>
            </w:tcMar>
            <w:vAlign w:val="center"/>
          </w:tcPr>
          <w:p w:rsidR="00506256" w:rsidRDefault="00000000">
            <w:r>
              <w:rPr>
                <w:sz w:val="19"/>
              </w:rPr>
              <w:t>50,000,000</w:t>
            </w:r>
          </w:p>
        </w:tc>
        <w:tc>
          <w:tcPr>
            <w:tcW w:w="2417" w:type="dxa"/>
            <w:tcMar>
              <w:top w:w="80" w:type="dxa"/>
              <w:left w:w="80" w:type="dxa"/>
              <w:bottom w:w="80" w:type="dxa"/>
              <w:right w:w="80" w:type="dxa"/>
            </w:tcMar>
            <w:vAlign w:val="center"/>
          </w:tcPr>
          <w:p w:rsidR="00506256" w:rsidRDefault="00000000">
            <w:r>
              <w:rPr>
                <w:sz w:val="19"/>
              </w:rPr>
              <w:t>Exposure at default</w:t>
            </w:r>
          </w:p>
        </w:tc>
      </w:tr>
      <w:tr w:rsidR="00506256" w:rsidTr="00E84AEF">
        <w:trPr>
          <w:jc w:val="center"/>
        </w:trPr>
        <w:tc>
          <w:tcPr>
            <w:tcW w:w="1872" w:type="dxa"/>
            <w:tcMar>
              <w:top w:w="80" w:type="dxa"/>
              <w:left w:w="80" w:type="dxa"/>
              <w:bottom w:w="80" w:type="dxa"/>
              <w:right w:w="80" w:type="dxa"/>
            </w:tcMar>
            <w:vAlign w:val="center"/>
          </w:tcPr>
          <w:p w:rsidR="00506256" w:rsidRDefault="00000000">
            <w:r>
              <w:rPr>
                <w:sz w:val="19"/>
              </w:rPr>
              <w:t>PD</w:t>
            </w:r>
          </w:p>
        </w:tc>
        <w:tc>
          <w:tcPr>
            <w:tcW w:w="1872" w:type="dxa"/>
            <w:tcMar>
              <w:top w:w="80" w:type="dxa"/>
              <w:left w:w="80" w:type="dxa"/>
              <w:bottom w:w="80" w:type="dxa"/>
              <w:right w:w="80" w:type="dxa"/>
            </w:tcMar>
            <w:vAlign w:val="center"/>
          </w:tcPr>
          <w:p w:rsidR="00506256" w:rsidRDefault="00000000">
            <w:r>
              <w:rPr>
                <w:sz w:val="19"/>
              </w:rPr>
              <w:t>18%</w:t>
            </w:r>
          </w:p>
        </w:tc>
        <w:tc>
          <w:tcPr>
            <w:tcW w:w="2417" w:type="dxa"/>
            <w:tcMar>
              <w:top w:w="80" w:type="dxa"/>
              <w:left w:w="80" w:type="dxa"/>
              <w:bottom w:w="80" w:type="dxa"/>
              <w:right w:w="80" w:type="dxa"/>
            </w:tcMar>
            <w:vAlign w:val="center"/>
          </w:tcPr>
          <w:p w:rsidR="00506256" w:rsidRDefault="00000000">
            <w:r>
              <w:rPr>
                <w:sz w:val="19"/>
              </w:rPr>
              <w:t>Lifetime chance of default</w:t>
            </w:r>
          </w:p>
        </w:tc>
      </w:tr>
      <w:tr w:rsidR="00506256" w:rsidTr="00E84AEF">
        <w:trPr>
          <w:jc w:val="center"/>
        </w:trPr>
        <w:tc>
          <w:tcPr>
            <w:tcW w:w="1872" w:type="dxa"/>
            <w:tcMar>
              <w:top w:w="80" w:type="dxa"/>
              <w:left w:w="80" w:type="dxa"/>
              <w:bottom w:w="80" w:type="dxa"/>
              <w:right w:w="80" w:type="dxa"/>
            </w:tcMar>
            <w:vAlign w:val="center"/>
          </w:tcPr>
          <w:p w:rsidR="00506256" w:rsidRDefault="00000000">
            <w:r>
              <w:rPr>
                <w:sz w:val="19"/>
              </w:rPr>
              <w:t>LGD</w:t>
            </w:r>
          </w:p>
        </w:tc>
        <w:tc>
          <w:tcPr>
            <w:tcW w:w="1872" w:type="dxa"/>
            <w:tcMar>
              <w:top w:w="80" w:type="dxa"/>
              <w:left w:w="80" w:type="dxa"/>
              <w:bottom w:w="80" w:type="dxa"/>
              <w:right w:w="80" w:type="dxa"/>
            </w:tcMar>
            <w:vAlign w:val="center"/>
          </w:tcPr>
          <w:p w:rsidR="00506256" w:rsidRDefault="00000000">
            <w:r>
              <w:rPr>
                <w:sz w:val="19"/>
              </w:rPr>
              <w:t>35%</w:t>
            </w:r>
          </w:p>
        </w:tc>
        <w:tc>
          <w:tcPr>
            <w:tcW w:w="2417" w:type="dxa"/>
            <w:tcMar>
              <w:top w:w="80" w:type="dxa"/>
              <w:left w:w="80" w:type="dxa"/>
              <w:bottom w:w="80" w:type="dxa"/>
              <w:right w:w="80" w:type="dxa"/>
            </w:tcMar>
            <w:vAlign w:val="center"/>
          </w:tcPr>
          <w:p w:rsidR="00506256" w:rsidRDefault="00000000">
            <w:r>
              <w:rPr>
                <w:sz w:val="19"/>
              </w:rPr>
              <w:t>Loss severity after recovery</w:t>
            </w:r>
          </w:p>
        </w:tc>
      </w:tr>
      <w:tr w:rsidR="00506256" w:rsidTr="00E84AEF">
        <w:trPr>
          <w:jc w:val="center"/>
        </w:trPr>
        <w:tc>
          <w:tcPr>
            <w:tcW w:w="1872" w:type="dxa"/>
            <w:tcMar>
              <w:top w:w="80" w:type="dxa"/>
              <w:left w:w="80" w:type="dxa"/>
              <w:bottom w:w="80" w:type="dxa"/>
              <w:right w:w="80" w:type="dxa"/>
            </w:tcMar>
            <w:vAlign w:val="center"/>
          </w:tcPr>
          <w:p w:rsidR="00506256" w:rsidRDefault="00000000">
            <w:r>
              <w:rPr>
                <w:sz w:val="19"/>
              </w:rPr>
              <w:t>ECL</w:t>
            </w:r>
          </w:p>
        </w:tc>
        <w:tc>
          <w:tcPr>
            <w:tcW w:w="1872" w:type="dxa"/>
            <w:tcMar>
              <w:top w:w="80" w:type="dxa"/>
              <w:left w:w="80" w:type="dxa"/>
              <w:bottom w:w="80" w:type="dxa"/>
              <w:right w:w="80" w:type="dxa"/>
            </w:tcMar>
            <w:vAlign w:val="center"/>
          </w:tcPr>
          <w:p w:rsidR="00506256" w:rsidRDefault="00000000">
            <w:r>
              <w:rPr>
                <w:sz w:val="19"/>
              </w:rPr>
              <w:t>3,150,000</w:t>
            </w:r>
          </w:p>
        </w:tc>
        <w:tc>
          <w:tcPr>
            <w:tcW w:w="2417" w:type="dxa"/>
            <w:tcMar>
              <w:top w:w="80" w:type="dxa"/>
              <w:left w:w="80" w:type="dxa"/>
              <w:bottom w:w="80" w:type="dxa"/>
              <w:right w:w="80" w:type="dxa"/>
            </w:tcMar>
            <w:vAlign w:val="center"/>
          </w:tcPr>
          <w:p w:rsidR="00506256" w:rsidRDefault="00000000">
            <w:r>
              <w:rPr>
                <w:sz w:val="19"/>
              </w:rPr>
              <w:t>Expected credit loss</w:t>
            </w:r>
          </w:p>
        </w:tc>
      </w:tr>
    </w:tbl>
    <w:tbl>
      <w:tblPr>
        <w:tblW w:w="0" w:type="auto"/>
        <w:jc w:val="center"/>
        <w:tblLook w:val="04A0" w:firstRow="1" w:lastRow="0" w:firstColumn="1" w:lastColumn="0" w:noHBand="0" w:noVBand="1"/>
      </w:tblPr>
      <w:tblGrid>
        <w:gridCol w:w="10224"/>
      </w:tblGrid>
      <w:tr w:rsidR="00506256">
        <w:trPr>
          <w:jc w:val="center"/>
        </w:trPr>
        <w:tc>
          <w:tcPr>
            <w:tcW w:w="10224" w:type="dxa"/>
            <w:shd w:val="clear" w:color="auto" w:fill="F7F7F7"/>
            <w:tcMar>
              <w:top w:w="140" w:type="dxa"/>
              <w:left w:w="140" w:type="dxa"/>
              <w:bottom w:w="140" w:type="dxa"/>
              <w:right w:w="140" w:type="dxa"/>
            </w:tcMar>
          </w:tcPr>
          <w:p w:rsidR="00506256" w:rsidRDefault="00000000">
            <w:r>
              <w:rPr>
                <w:b/>
                <w:sz w:val="22"/>
              </w:rPr>
              <w:t>Analogy</w:t>
            </w:r>
          </w:p>
          <w:p w:rsidR="00506256" w:rsidRDefault="00000000">
            <w:pPr>
              <w:spacing w:after="0"/>
            </w:pPr>
            <w:r>
              <w:t>If there are 100 similar baskets and 18 are expected to fail, and if each failure loses about a third of the basket value, the expected loss is the product of those two ideas.</w:t>
            </w:r>
          </w:p>
        </w:tc>
      </w:tr>
    </w:tbl>
    <w:p w:rsidR="00506256" w:rsidRDefault="00000000">
      <w:pPr>
        <w:pStyle w:val="Heading1"/>
      </w:pPr>
      <w:r>
        <w:t>1</w:t>
      </w:r>
      <w:r w:rsidR="00E84AEF">
        <w:t>4</w:t>
      </w:r>
      <w:r>
        <w:t>. End-to-end flow</w:t>
      </w:r>
    </w:p>
    <w:p w:rsidR="00506256" w:rsidRDefault="00000000">
      <w:r>
        <w:rPr>
          <w:noProof/>
        </w:rPr>
        <w:drawing>
          <wp:inline distT="0" distB="0" distL="0" distR="0">
            <wp:extent cx="6217920" cy="1541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rs9_flow.png"/>
                    <pic:cNvPicPr/>
                  </pic:nvPicPr>
                  <pic:blipFill>
                    <a:blip r:embed="rId6"/>
                    <a:stretch>
                      <a:fillRect/>
                    </a:stretch>
                  </pic:blipFill>
                  <pic:spPr>
                    <a:xfrm>
                      <a:off x="0" y="0"/>
                      <a:ext cx="6217920" cy="1541390"/>
                    </a:xfrm>
                    <a:prstGeom prst="rect">
                      <a:avLst/>
                    </a:prstGeom>
                  </pic:spPr>
                </pic:pic>
              </a:graphicData>
            </a:graphic>
          </wp:inline>
        </w:drawing>
      </w:r>
    </w:p>
    <w:p w:rsidR="00506256" w:rsidRDefault="00000000">
      <w:r>
        <w:t>The full logic can be remembered as one chain: data feeds the rating system, rating feeds PD, PD helps determine SICR, stage chooses the loss horizon, LGD and EAD turn the risk into money, and ECL becomes the provision.</w:t>
      </w:r>
    </w:p>
    <w:p w:rsidR="00506256" w:rsidRDefault="00506256">
      <w:pPr>
        <w:jc w:val="center"/>
      </w:pPr>
    </w:p>
    <w:sectPr w:rsidR="0050625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829489">
    <w:abstractNumId w:val="8"/>
  </w:num>
  <w:num w:numId="2" w16cid:durableId="281500754">
    <w:abstractNumId w:val="6"/>
  </w:num>
  <w:num w:numId="3" w16cid:durableId="866068117">
    <w:abstractNumId w:val="5"/>
  </w:num>
  <w:num w:numId="4" w16cid:durableId="2094929353">
    <w:abstractNumId w:val="4"/>
  </w:num>
  <w:num w:numId="5" w16cid:durableId="810944611">
    <w:abstractNumId w:val="7"/>
  </w:num>
  <w:num w:numId="6" w16cid:durableId="501044617">
    <w:abstractNumId w:val="3"/>
  </w:num>
  <w:num w:numId="7" w16cid:durableId="1699694194">
    <w:abstractNumId w:val="2"/>
  </w:num>
  <w:num w:numId="8" w16cid:durableId="1319110337">
    <w:abstractNumId w:val="1"/>
  </w:num>
  <w:num w:numId="9" w16cid:durableId="138171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3C80"/>
    <w:rsid w:val="00326F90"/>
    <w:rsid w:val="004E7811"/>
    <w:rsid w:val="00506256"/>
    <w:rsid w:val="00AA1D8D"/>
    <w:rsid w:val="00B47730"/>
    <w:rsid w:val="00C82A6F"/>
    <w:rsid w:val="00CB0664"/>
    <w:rsid w:val="00E84A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97EFE"/>
  <w14:defaultImageDpi w14:val="300"/>
  <w15:docId w15:val="{09F4E187-FAE3-C941-B6B0-EC8A038F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Tiwari</cp:lastModifiedBy>
  <cp:revision>2</cp:revision>
  <dcterms:created xsi:type="dcterms:W3CDTF">2026-04-11T07:33:00Z</dcterms:created>
  <dcterms:modified xsi:type="dcterms:W3CDTF">2026-04-11T07:33:00Z</dcterms:modified>
  <cp:category/>
</cp:coreProperties>
</file>